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C81F5" w14:textId="4013DA6D" w:rsidR="00791DAB" w:rsidRDefault="00DE05E2">
      <w:pPr>
        <w:rPr>
          <w:b/>
          <w:bCs/>
          <w:sz w:val="44"/>
          <w:szCs w:val="44"/>
          <w:u w:val="single"/>
          <w:lang w:val="en-US"/>
        </w:rPr>
      </w:pPr>
      <w:r w:rsidRPr="00DE05E2">
        <w:rPr>
          <w:b/>
          <w:bCs/>
          <w:sz w:val="44"/>
          <w:szCs w:val="44"/>
          <w:u w:val="single"/>
          <w:lang w:val="en-US"/>
        </w:rPr>
        <w:t>Queries and Responses from the LLM with RAG</w:t>
      </w:r>
    </w:p>
    <w:p w14:paraId="65820B25" w14:textId="77777777" w:rsidR="00DE05E2" w:rsidRDefault="00DE05E2">
      <w:pPr>
        <w:rPr>
          <w:b/>
          <w:bCs/>
          <w:sz w:val="44"/>
          <w:szCs w:val="44"/>
          <w:u w:val="single"/>
          <w:lang w:val="en-US"/>
        </w:rPr>
      </w:pPr>
    </w:p>
    <w:p w14:paraId="186DB3C4" w14:textId="77777777" w:rsidR="00DE05E2" w:rsidRDefault="00DE05E2" w:rsidP="00DE05E2">
      <w:pPr>
        <w:jc w:val="center"/>
        <w:rPr>
          <w:b/>
          <w:bCs/>
          <w:sz w:val="44"/>
          <w:szCs w:val="44"/>
          <w:u w:val="single"/>
          <w:lang w:val="en-US"/>
        </w:rPr>
      </w:pPr>
    </w:p>
    <w:tbl>
      <w:tblPr>
        <w:tblStyle w:val="TableGrid"/>
        <w:tblW w:w="10349" w:type="dxa"/>
        <w:tblInd w:w="-289" w:type="dxa"/>
        <w:tblLook w:val="04A0" w:firstRow="1" w:lastRow="0" w:firstColumn="1" w:lastColumn="0" w:noHBand="0" w:noVBand="1"/>
      </w:tblPr>
      <w:tblGrid>
        <w:gridCol w:w="1186"/>
        <w:gridCol w:w="3832"/>
        <w:gridCol w:w="5331"/>
      </w:tblGrid>
      <w:tr w:rsidR="00DE05E2" w14:paraId="15C98C98" w14:textId="373386AD" w:rsidTr="00DE05E2">
        <w:tc>
          <w:tcPr>
            <w:tcW w:w="1186" w:type="dxa"/>
          </w:tcPr>
          <w:p w14:paraId="0390579C" w14:textId="38821AD4" w:rsidR="00DE05E2" w:rsidRPr="00DE05E2" w:rsidRDefault="00DE05E2" w:rsidP="00DE05E2">
            <w:pPr>
              <w:jc w:val="center"/>
              <w:rPr>
                <w:b/>
                <w:bCs/>
                <w:sz w:val="44"/>
                <w:szCs w:val="44"/>
                <w:lang w:val="en-US"/>
              </w:rPr>
            </w:pPr>
            <w:r>
              <w:rPr>
                <w:b/>
                <w:bCs/>
                <w:sz w:val="44"/>
                <w:szCs w:val="44"/>
                <w:lang w:val="en-US"/>
              </w:rPr>
              <w:t>S.No.</w:t>
            </w:r>
          </w:p>
        </w:tc>
        <w:tc>
          <w:tcPr>
            <w:tcW w:w="4060" w:type="dxa"/>
          </w:tcPr>
          <w:p w14:paraId="537DA256" w14:textId="3AF3E96B" w:rsidR="00DE05E2" w:rsidRPr="00DE05E2" w:rsidRDefault="00DE05E2" w:rsidP="00DE05E2">
            <w:pPr>
              <w:jc w:val="center"/>
              <w:rPr>
                <w:b/>
                <w:bCs/>
                <w:sz w:val="44"/>
                <w:szCs w:val="44"/>
                <w:lang w:val="en-US"/>
              </w:rPr>
            </w:pPr>
            <w:r w:rsidRPr="00DE05E2">
              <w:rPr>
                <w:b/>
                <w:bCs/>
                <w:sz w:val="44"/>
                <w:szCs w:val="44"/>
                <w:lang w:val="en-US"/>
              </w:rPr>
              <w:t>Queries</w:t>
            </w:r>
          </w:p>
        </w:tc>
        <w:tc>
          <w:tcPr>
            <w:tcW w:w="5103" w:type="dxa"/>
          </w:tcPr>
          <w:p w14:paraId="4EC272BD" w14:textId="08D159E8" w:rsidR="00DE05E2" w:rsidRPr="00DE05E2" w:rsidRDefault="00DE05E2" w:rsidP="00DE05E2">
            <w:pPr>
              <w:jc w:val="center"/>
              <w:rPr>
                <w:b/>
                <w:bCs/>
                <w:sz w:val="44"/>
                <w:szCs w:val="44"/>
                <w:lang w:val="en-US"/>
              </w:rPr>
            </w:pPr>
            <w:r w:rsidRPr="00DE05E2">
              <w:rPr>
                <w:b/>
                <w:bCs/>
                <w:sz w:val="44"/>
                <w:szCs w:val="44"/>
                <w:lang w:val="en-US"/>
              </w:rPr>
              <w:t>Responses</w:t>
            </w:r>
          </w:p>
        </w:tc>
      </w:tr>
      <w:tr w:rsidR="00DE05E2" w:rsidRPr="00DE05E2" w14:paraId="1264F532" w14:textId="77777777" w:rsidTr="00DE05E2">
        <w:tc>
          <w:tcPr>
            <w:tcW w:w="1186" w:type="dxa"/>
          </w:tcPr>
          <w:p w14:paraId="2236569E" w14:textId="24F39BB5" w:rsidR="00DE05E2" w:rsidRPr="00DE05E2" w:rsidRDefault="00DE05E2" w:rsidP="00DE05E2">
            <w:pPr>
              <w:jc w:val="center"/>
              <w:rPr>
                <w:sz w:val="24"/>
                <w:szCs w:val="24"/>
                <w:lang w:val="en-US"/>
              </w:rPr>
            </w:pPr>
            <w:r w:rsidRPr="00DE05E2">
              <w:rPr>
                <w:sz w:val="24"/>
                <w:szCs w:val="24"/>
                <w:lang w:val="en-US"/>
              </w:rPr>
              <w:t>1.</w:t>
            </w:r>
          </w:p>
        </w:tc>
        <w:tc>
          <w:tcPr>
            <w:tcW w:w="4060" w:type="dxa"/>
          </w:tcPr>
          <w:p w14:paraId="19A5A82B" w14:textId="13457150" w:rsidR="00DE05E2" w:rsidRPr="00DE05E2" w:rsidRDefault="00DE05E2" w:rsidP="00DE05E2">
            <w:pPr>
              <w:rPr>
                <w:sz w:val="24"/>
                <w:szCs w:val="24"/>
                <w:lang w:val="en-US"/>
              </w:rPr>
            </w:pPr>
            <w:r w:rsidRPr="00DE05E2">
              <w:rPr>
                <w:sz w:val="24"/>
                <w:szCs w:val="24"/>
                <w:lang w:val="en-US"/>
              </w:rPr>
              <w:t>Compare the laboratory confirmation methods for Chikungunya and diabetes, and which diseases are diagnosed through blood glucose measurements?</w:t>
            </w:r>
          </w:p>
        </w:tc>
        <w:tc>
          <w:tcPr>
            <w:tcW w:w="5103" w:type="dxa"/>
          </w:tcPr>
          <w:p w14:paraId="03313904" w14:textId="25CB4E51" w:rsidR="00DE05E2" w:rsidRPr="00DE05E2" w:rsidRDefault="00DE05E2" w:rsidP="00DE05E2">
            <w:pPr>
              <w:jc w:val="center"/>
              <w:rPr>
                <w:sz w:val="24"/>
                <w:szCs w:val="24"/>
                <w:lang w:val="en-US"/>
              </w:rPr>
            </w:pPr>
            <w:r w:rsidRPr="00DE05E2">
              <w:rPr>
                <w:sz w:val="24"/>
                <w:szCs w:val="24"/>
                <w:lang w:val="en-US"/>
              </w:rPr>
              <w:t>The laboratory confirmation methods for Chikungunya and diabetes are different. Chikungunya is confirmed using serological tests and PCR, while diabetes diagnosis involves blood glucose measurements. Serological tests detect the presence of antibodies against Chikungunya virus in the blood, while PCR (polymerase chain reaction) can detect the virus genome in samples from infected individuals.</w:t>
            </w:r>
          </w:p>
        </w:tc>
      </w:tr>
      <w:tr w:rsidR="00DE05E2" w14:paraId="6195CABC" w14:textId="77777777" w:rsidTr="00DE05E2">
        <w:trPr>
          <w:trHeight w:val="1977"/>
        </w:trPr>
        <w:tc>
          <w:tcPr>
            <w:tcW w:w="1186" w:type="dxa"/>
          </w:tcPr>
          <w:p w14:paraId="509B4741" w14:textId="1A51EA0A" w:rsidR="00DE05E2" w:rsidRPr="00DE05E2" w:rsidRDefault="00DE05E2" w:rsidP="00DE05E2">
            <w:pPr>
              <w:jc w:val="center"/>
              <w:rPr>
                <w:sz w:val="28"/>
                <w:szCs w:val="28"/>
                <w:lang w:val="en-US"/>
              </w:rPr>
            </w:pPr>
            <w:r>
              <w:rPr>
                <w:sz w:val="28"/>
                <w:szCs w:val="28"/>
                <w:lang w:val="en-US"/>
              </w:rPr>
              <w:t>2.</w:t>
            </w:r>
          </w:p>
        </w:tc>
        <w:tc>
          <w:tcPr>
            <w:tcW w:w="4060" w:type="dxa"/>
          </w:tcPr>
          <w:p w14:paraId="70096765" w14:textId="547C00B7" w:rsidR="00DE05E2" w:rsidRPr="00DE05E2" w:rsidRDefault="00DE05E2" w:rsidP="00DE05E2">
            <w:pPr>
              <w:jc w:val="center"/>
              <w:rPr>
                <w:sz w:val="24"/>
                <w:szCs w:val="24"/>
                <w:lang w:val="en-US"/>
              </w:rPr>
            </w:pPr>
            <w:r w:rsidRPr="00DE05E2">
              <w:rPr>
                <w:sz w:val="24"/>
                <w:szCs w:val="24"/>
                <w:lang w:val="en-US"/>
              </w:rPr>
              <w:t>'How do you differentiate between national and district responsibilities for risk assessment, and why is a collaborative approach crucial?'</w:t>
            </w:r>
          </w:p>
        </w:tc>
        <w:tc>
          <w:tcPr>
            <w:tcW w:w="5103" w:type="dxa"/>
          </w:tcPr>
          <w:p w14:paraId="33D08547" w14:textId="22DEB920" w:rsidR="00DE05E2" w:rsidRPr="00DE05E2" w:rsidRDefault="00DE05E2" w:rsidP="00DE05E2">
            <w:pPr>
              <w:jc w:val="center"/>
              <w:rPr>
                <w:sz w:val="24"/>
                <w:szCs w:val="24"/>
                <w:lang w:val="en-US"/>
              </w:rPr>
            </w:pPr>
            <w:r w:rsidRPr="00DE05E2">
              <w:rPr>
                <w:sz w:val="24"/>
                <w:szCs w:val="24"/>
                <w:lang w:val="en-US"/>
              </w:rPr>
              <w:t>National and district responsibilities for risk assessment are differentiated based on their respective roles in the outbreak response. National responsibilities include decision-making and resource allocation, while districts focus on local implementation and reporting. Collaboration is crucial to ensure a comprehensive risk assessment by integrating diverse perspectives and resources. This collaboration allows for a more thorough understanding of the outbreak and effective risk management</w:t>
            </w:r>
          </w:p>
        </w:tc>
      </w:tr>
      <w:tr w:rsidR="00DE05E2" w14:paraId="031221DA" w14:textId="77777777" w:rsidTr="00DE05E2">
        <w:trPr>
          <w:trHeight w:val="1977"/>
        </w:trPr>
        <w:tc>
          <w:tcPr>
            <w:tcW w:w="1186" w:type="dxa"/>
          </w:tcPr>
          <w:p w14:paraId="242E2E23" w14:textId="1F4BBCE3" w:rsidR="00DE05E2" w:rsidRDefault="00DE05E2" w:rsidP="00DE05E2">
            <w:pPr>
              <w:jc w:val="center"/>
              <w:rPr>
                <w:sz w:val="28"/>
                <w:szCs w:val="28"/>
                <w:lang w:val="en-US"/>
              </w:rPr>
            </w:pPr>
            <w:r>
              <w:rPr>
                <w:sz w:val="28"/>
                <w:szCs w:val="28"/>
                <w:lang w:val="en-US"/>
              </w:rPr>
              <w:t>3.</w:t>
            </w:r>
          </w:p>
        </w:tc>
        <w:tc>
          <w:tcPr>
            <w:tcW w:w="4060" w:type="dxa"/>
          </w:tcPr>
          <w:p w14:paraId="1AACC6B0" w14:textId="57DE0090" w:rsidR="00DE05E2" w:rsidRPr="00DE05E2" w:rsidRDefault="00DE05E2" w:rsidP="00DE05E2">
            <w:pPr>
              <w:jc w:val="center"/>
              <w:rPr>
                <w:sz w:val="24"/>
                <w:szCs w:val="24"/>
                <w:lang w:val="en-US"/>
              </w:rPr>
            </w:pPr>
            <w:r w:rsidRPr="00DE05E2">
              <w:rPr>
                <w:sz w:val="24"/>
                <w:szCs w:val="24"/>
                <w:lang w:val="en-US"/>
              </w:rPr>
              <w:t>What factors prompted the review and development of the Third Edition of the IDSR technical guidelines?</w:t>
            </w:r>
          </w:p>
        </w:tc>
        <w:tc>
          <w:tcPr>
            <w:tcW w:w="5103" w:type="dxa"/>
          </w:tcPr>
          <w:p w14:paraId="714F1CD6" w14:textId="191B4011" w:rsidR="00DE05E2" w:rsidRPr="00DE05E2" w:rsidRDefault="00DE05E2" w:rsidP="00DE05E2">
            <w:pPr>
              <w:rPr>
                <w:sz w:val="24"/>
                <w:szCs w:val="24"/>
                <w:lang w:val="en-US"/>
              </w:rPr>
            </w:pPr>
            <w:r w:rsidRPr="00DE05E2">
              <w:rPr>
                <w:sz w:val="24"/>
                <w:szCs w:val="24"/>
                <w:lang w:val="en-US"/>
              </w:rPr>
              <w:t>The Third Edition of the IDSR technical guidelines was reviewed and developed due to the need to incorporate new developments in the public health landscape, including addressing emerging diseases and conditions, improving disease surveillance systems, and aligning with broader system strengthening objectives.</w:t>
            </w:r>
          </w:p>
        </w:tc>
      </w:tr>
      <w:tr w:rsidR="00DE05E2" w14:paraId="3462145E" w14:textId="77777777" w:rsidTr="00DE05E2">
        <w:trPr>
          <w:trHeight w:val="1977"/>
        </w:trPr>
        <w:tc>
          <w:tcPr>
            <w:tcW w:w="1186" w:type="dxa"/>
          </w:tcPr>
          <w:p w14:paraId="71623859" w14:textId="43CA1760" w:rsidR="00DE05E2" w:rsidRDefault="00DE05E2" w:rsidP="00DE05E2">
            <w:pPr>
              <w:jc w:val="center"/>
              <w:rPr>
                <w:sz w:val="28"/>
                <w:szCs w:val="28"/>
                <w:lang w:val="en-US"/>
              </w:rPr>
            </w:pPr>
            <w:r>
              <w:rPr>
                <w:sz w:val="28"/>
                <w:szCs w:val="28"/>
                <w:lang w:val="en-US"/>
              </w:rPr>
              <w:t>4.</w:t>
            </w:r>
          </w:p>
        </w:tc>
        <w:tc>
          <w:tcPr>
            <w:tcW w:w="4060" w:type="dxa"/>
          </w:tcPr>
          <w:p w14:paraId="4CDA25CB" w14:textId="77777777" w:rsidR="00DE05E2" w:rsidRPr="00DE05E2" w:rsidRDefault="00DE05E2" w:rsidP="00DE05E2">
            <w:pPr>
              <w:rPr>
                <w:sz w:val="24"/>
                <w:szCs w:val="24"/>
                <w:lang w:val="en-US"/>
              </w:rPr>
            </w:pPr>
            <w:r w:rsidRPr="00DE05E2">
              <w:rPr>
                <w:sz w:val="24"/>
                <w:szCs w:val="24"/>
                <w:lang w:val="en-US"/>
              </w:rPr>
              <w:t>What mechanisms ensure the flow of information in the early warning system?</w:t>
            </w:r>
          </w:p>
          <w:p w14:paraId="6018A2D8" w14:textId="77777777" w:rsidR="00DE05E2" w:rsidRPr="00DE05E2" w:rsidRDefault="00DE05E2" w:rsidP="00DE05E2">
            <w:pPr>
              <w:jc w:val="center"/>
              <w:rPr>
                <w:sz w:val="24"/>
                <w:szCs w:val="24"/>
                <w:lang w:val="en-US"/>
              </w:rPr>
            </w:pPr>
          </w:p>
        </w:tc>
        <w:tc>
          <w:tcPr>
            <w:tcW w:w="5103" w:type="dxa"/>
          </w:tcPr>
          <w:p w14:paraId="2C2C23B1" w14:textId="2E8873AA" w:rsidR="00DE05E2" w:rsidRPr="00DE05E2" w:rsidRDefault="00DE05E2" w:rsidP="00DE05E2">
            <w:pPr>
              <w:rPr>
                <w:sz w:val="24"/>
                <w:szCs w:val="24"/>
                <w:lang w:val="en-US"/>
              </w:rPr>
            </w:pPr>
            <w:r w:rsidRPr="00DE05E2">
              <w:rPr>
                <w:sz w:val="24"/>
                <w:szCs w:val="24"/>
                <w:lang w:val="en-US"/>
              </w:rPr>
              <w:t>The mechanisms that ensure the flow of information in the early warning system include immediate communication from local and intermediate levels to national levels, immediate alert mechanisms from national and/or intermediate levels to local levels, and alert and communication coordination with national and international stakeholders.</w:t>
            </w:r>
          </w:p>
        </w:tc>
      </w:tr>
      <w:tr w:rsidR="00DE05E2" w14:paraId="79978743" w14:textId="77777777" w:rsidTr="00DE05E2">
        <w:trPr>
          <w:trHeight w:val="1977"/>
        </w:trPr>
        <w:tc>
          <w:tcPr>
            <w:tcW w:w="1186" w:type="dxa"/>
          </w:tcPr>
          <w:p w14:paraId="23A367BE" w14:textId="69FFD0F0" w:rsidR="00DE05E2" w:rsidRDefault="00DE05E2" w:rsidP="00DE05E2">
            <w:pPr>
              <w:jc w:val="center"/>
              <w:rPr>
                <w:sz w:val="28"/>
                <w:szCs w:val="28"/>
                <w:lang w:val="en-US"/>
              </w:rPr>
            </w:pPr>
            <w:r>
              <w:rPr>
                <w:sz w:val="28"/>
                <w:szCs w:val="28"/>
                <w:lang w:val="en-US"/>
              </w:rPr>
              <w:lastRenderedPageBreak/>
              <w:t>5.</w:t>
            </w:r>
          </w:p>
        </w:tc>
        <w:tc>
          <w:tcPr>
            <w:tcW w:w="4060" w:type="dxa"/>
          </w:tcPr>
          <w:p w14:paraId="38C3A0EE" w14:textId="77777777" w:rsidR="00DE05E2" w:rsidRPr="00DE05E2" w:rsidRDefault="00DE05E2" w:rsidP="00DE05E2">
            <w:pPr>
              <w:rPr>
                <w:sz w:val="24"/>
                <w:szCs w:val="24"/>
                <w:lang w:val="en-US"/>
              </w:rPr>
            </w:pPr>
            <w:r w:rsidRPr="00DE05E2">
              <w:rPr>
                <w:sz w:val="24"/>
                <w:szCs w:val="24"/>
                <w:lang w:val="en-US"/>
              </w:rPr>
              <w:t>Why is analyzing data by person important in disease surveillance?</w:t>
            </w:r>
          </w:p>
          <w:p w14:paraId="4401A8A5" w14:textId="77777777" w:rsidR="00DE05E2" w:rsidRPr="00DE05E2" w:rsidRDefault="00DE05E2" w:rsidP="00DE05E2">
            <w:pPr>
              <w:rPr>
                <w:sz w:val="24"/>
                <w:szCs w:val="24"/>
                <w:lang w:val="en-US"/>
              </w:rPr>
            </w:pPr>
          </w:p>
          <w:p w14:paraId="4ECFB3AC" w14:textId="77777777" w:rsidR="00DE05E2" w:rsidRPr="00DE05E2" w:rsidRDefault="00DE05E2" w:rsidP="00DE05E2">
            <w:pPr>
              <w:rPr>
                <w:sz w:val="24"/>
                <w:szCs w:val="24"/>
                <w:lang w:val="en-US"/>
              </w:rPr>
            </w:pPr>
          </w:p>
        </w:tc>
        <w:tc>
          <w:tcPr>
            <w:tcW w:w="5103" w:type="dxa"/>
          </w:tcPr>
          <w:p w14:paraId="112CAA8C" w14:textId="03D263FE" w:rsidR="00DE05E2" w:rsidRPr="00DE05E2" w:rsidRDefault="00DE05E2" w:rsidP="00DE05E2">
            <w:pPr>
              <w:rPr>
                <w:sz w:val="24"/>
                <w:szCs w:val="24"/>
                <w:lang w:val="en-US"/>
              </w:rPr>
            </w:pPr>
            <w:r w:rsidRPr="00DE05E2">
              <w:rPr>
                <w:sz w:val="24"/>
                <w:szCs w:val="24"/>
                <w:lang w:val="en-US"/>
              </w:rPr>
              <w:t>Analyzing data by person is important in disease surveillance because it provides information on the population affected by the disease and those at risk, offering valuable insights into the disease's occurrence and how to control it.</w:t>
            </w:r>
          </w:p>
        </w:tc>
      </w:tr>
      <w:tr w:rsidR="00DE05E2" w14:paraId="6A5499EC" w14:textId="77777777" w:rsidTr="00DE05E2">
        <w:trPr>
          <w:trHeight w:val="1977"/>
        </w:trPr>
        <w:tc>
          <w:tcPr>
            <w:tcW w:w="1186" w:type="dxa"/>
          </w:tcPr>
          <w:p w14:paraId="402F2CB9" w14:textId="3CA7CFC6" w:rsidR="00DE05E2" w:rsidRDefault="00DE05E2" w:rsidP="00DE05E2">
            <w:pPr>
              <w:jc w:val="center"/>
              <w:rPr>
                <w:sz w:val="28"/>
                <w:szCs w:val="28"/>
                <w:lang w:val="en-US"/>
              </w:rPr>
            </w:pPr>
            <w:r>
              <w:rPr>
                <w:sz w:val="28"/>
                <w:szCs w:val="28"/>
                <w:lang w:val="en-US"/>
              </w:rPr>
              <w:t>6.</w:t>
            </w:r>
          </w:p>
        </w:tc>
        <w:tc>
          <w:tcPr>
            <w:tcW w:w="4060" w:type="dxa"/>
          </w:tcPr>
          <w:p w14:paraId="6CD39843" w14:textId="5B5DF5D6" w:rsidR="00DE05E2" w:rsidRPr="00DE05E2" w:rsidRDefault="00DE05E2" w:rsidP="00DE05E2">
            <w:pPr>
              <w:rPr>
                <w:sz w:val="24"/>
                <w:szCs w:val="24"/>
                <w:lang w:val="en-US"/>
              </w:rPr>
            </w:pPr>
            <w:r w:rsidRPr="00DE05E2">
              <w:rPr>
                <w:sz w:val="24"/>
                <w:szCs w:val="24"/>
                <w:lang w:val="en-US"/>
              </w:rPr>
              <w:t>Compare the goals of surveillance for Anthrax and bacterial meningitis.</w:t>
            </w:r>
          </w:p>
        </w:tc>
        <w:tc>
          <w:tcPr>
            <w:tcW w:w="5103" w:type="dxa"/>
          </w:tcPr>
          <w:p w14:paraId="0C852121" w14:textId="625B3FF1" w:rsidR="00DE05E2" w:rsidRPr="00DE05E2" w:rsidRDefault="00DE05E2" w:rsidP="00DE05E2">
            <w:pPr>
              <w:rPr>
                <w:sz w:val="24"/>
                <w:szCs w:val="24"/>
                <w:lang w:val="en-US"/>
              </w:rPr>
            </w:pPr>
            <w:r w:rsidRPr="00DE05E2">
              <w:rPr>
                <w:sz w:val="24"/>
                <w:szCs w:val="24"/>
                <w:lang w:val="en-US"/>
              </w:rPr>
              <w:t>The goals of surveillance for Anthrax include detecting outbreaks and monitoring control and prevention programs, while the goals of surveillance for bacterial meningitis involve promptly detecting outbreaks, confirming the etiology, planning for treatment and vaccination, assessing the epidemic spread, monitoring serogroup shifts, and monitoring antibiotic susceptibility.</w:t>
            </w:r>
          </w:p>
        </w:tc>
      </w:tr>
      <w:tr w:rsidR="00DE05E2" w14:paraId="14582438" w14:textId="77777777" w:rsidTr="00DE05E2">
        <w:trPr>
          <w:trHeight w:val="1977"/>
        </w:trPr>
        <w:tc>
          <w:tcPr>
            <w:tcW w:w="1186" w:type="dxa"/>
          </w:tcPr>
          <w:p w14:paraId="1DE1EE3F" w14:textId="7F0A1ACA" w:rsidR="00DE05E2" w:rsidRDefault="00DE05E2" w:rsidP="00DE05E2">
            <w:pPr>
              <w:jc w:val="center"/>
              <w:rPr>
                <w:sz w:val="28"/>
                <w:szCs w:val="28"/>
                <w:lang w:val="en-US"/>
              </w:rPr>
            </w:pPr>
            <w:r>
              <w:rPr>
                <w:sz w:val="28"/>
                <w:szCs w:val="28"/>
                <w:lang w:val="en-US"/>
              </w:rPr>
              <w:t>7.</w:t>
            </w:r>
          </w:p>
        </w:tc>
        <w:tc>
          <w:tcPr>
            <w:tcW w:w="4060" w:type="dxa"/>
          </w:tcPr>
          <w:p w14:paraId="7F7DB7A8" w14:textId="1120DFF4" w:rsidR="00DE05E2" w:rsidRPr="00DE05E2" w:rsidRDefault="00DE05E2" w:rsidP="00DE05E2">
            <w:pPr>
              <w:rPr>
                <w:sz w:val="24"/>
                <w:szCs w:val="24"/>
                <w:lang w:val="en-US"/>
              </w:rPr>
            </w:pPr>
            <w:r w:rsidRPr="00DE05E2">
              <w:rPr>
                <w:sz w:val="24"/>
                <w:szCs w:val="24"/>
                <w:lang w:val="en-US"/>
              </w:rPr>
              <w:t>What does DRM stand for, and is it explained in the TG?</w:t>
            </w:r>
          </w:p>
        </w:tc>
        <w:tc>
          <w:tcPr>
            <w:tcW w:w="5103" w:type="dxa"/>
          </w:tcPr>
          <w:p w14:paraId="14FBA0E5" w14:textId="59C51F89" w:rsidR="00DE05E2" w:rsidRPr="00DE05E2" w:rsidRDefault="00DE05E2" w:rsidP="00DE05E2">
            <w:pPr>
              <w:rPr>
                <w:sz w:val="24"/>
                <w:szCs w:val="24"/>
                <w:lang w:val="en-US"/>
              </w:rPr>
            </w:pPr>
            <w:r w:rsidRPr="00DE05E2">
              <w:rPr>
                <w:sz w:val="24"/>
                <w:szCs w:val="24"/>
                <w:lang w:val="en-US"/>
              </w:rPr>
              <w:t>DRM stands for Digital Rights Management. It refers to the technological measures used to protect digital media from unauthorized use or reproduction. Yes, the concept of DRM is explained in the TG.</w:t>
            </w:r>
          </w:p>
        </w:tc>
      </w:tr>
      <w:tr w:rsidR="00DE05E2" w14:paraId="72F6C096" w14:textId="77777777" w:rsidTr="00DE05E2">
        <w:trPr>
          <w:trHeight w:val="1977"/>
        </w:trPr>
        <w:tc>
          <w:tcPr>
            <w:tcW w:w="1186" w:type="dxa"/>
          </w:tcPr>
          <w:p w14:paraId="380559C3" w14:textId="662E63D3" w:rsidR="00DE05E2" w:rsidRDefault="00DE05E2" w:rsidP="00DE05E2">
            <w:pPr>
              <w:jc w:val="center"/>
              <w:rPr>
                <w:sz w:val="28"/>
                <w:szCs w:val="28"/>
                <w:lang w:val="en-US"/>
              </w:rPr>
            </w:pPr>
            <w:r>
              <w:rPr>
                <w:sz w:val="28"/>
                <w:szCs w:val="28"/>
                <w:lang w:val="en-US"/>
              </w:rPr>
              <w:t>8.</w:t>
            </w:r>
          </w:p>
        </w:tc>
        <w:tc>
          <w:tcPr>
            <w:tcW w:w="4060" w:type="dxa"/>
          </w:tcPr>
          <w:p w14:paraId="40516BBA" w14:textId="625C40F3" w:rsidR="00DE05E2" w:rsidRPr="00DE05E2" w:rsidRDefault="00DE05E2" w:rsidP="00DE05E2">
            <w:pPr>
              <w:rPr>
                <w:sz w:val="24"/>
                <w:szCs w:val="24"/>
                <w:lang w:val="en-US"/>
              </w:rPr>
            </w:pPr>
            <w:r w:rsidRPr="00DE05E2">
              <w:rPr>
                <w:sz w:val="24"/>
                <w:szCs w:val="24"/>
                <w:lang w:val="en-US"/>
              </w:rPr>
              <w:t>Where can the ICD-10 application to deaths during the perinatal period be found?</w:t>
            </w:r>
          </w:p>
        </w:tc>
        <w:tc>
          <w:tcPr>
            <w:tcW w:w="5103" w:type="dxa"/>
          </w:tcPr>
          <w:p w14:paraId="7263F94C" w14:textId="77777777" w:rsidR="00DE05E2" w:rsidRDefault="00DE05E2" w:rsidP="00DE05E2">
            <w:pPr>
              <w:rPr>
                <w:sz w:val="24"/>
                <w:szCs w:val="24"/>
                <w:lang w:val="en-US"/>
              </w:rPr>
            </w:pPr>
            <w:r w:rsidRPr="00DE05E2">
              <w:rPr>
                <w:sz w:val="24"/>
                <w:szCs w:val="24"/>
                <w:lang w:val="en-US"/>
              </w:rPr>
              <w:t>The ICD-10 application to deaths during the perinatal period can be found at</w:t>
            </w:r>
            <w:r>
              <w:rPr>
                <w:sz w:val="24"/>
                <w:szCs w:val="24"/>
                <w:lang w:val="en-US"/>
              </w:rPr>
              <w:t>:</w:t>
            </w:r>
          </w:p>
          <w:p w14:paraId="6A6E7833" w14:textId="611FDF27" w:rsidR="00DE05E2" w:rsidRDefault="00000000" w:rsidP="00DE05E2">
            <w:pPr>
              <w:rPr>
                <w:sz w:val="24"/>
                <w:szCs w:val="24"/>
                <w:lang w:val="en-US"/>
              </w:rPr>
            </w:pPr>
            <w:hyperlink r:id="rId4" w:history="1">
              <w:r w:rsidR="00DE05E2" w:rsidRPr="002D5C27">
                <w:rPr>
                  <w:rStyle w:val="Hyperlink"/>
                  <w:sz w:val="24"/>
                  <w:szCs w:val="24"/>
                  <w:lang w:val="en-US"/>
                </w:rPr>
                <w:t>https://www.who.int/maternal_child_adolescent/en</w:t>
              </w:r>
            </w:hyperlink>
          </w:p>
          <w:p w14:paraId="048CC95D" w14:textId="7EC270CC" w:rsidR="00DE05E2" w:rsidRDefault="00DE05E2" w:rsidP="00DE05E2">
            <w:pPr>
              <w:rPr>
                <w:sz w:val="24"/>
                <w:szCs w:val="24"/>
                <w:lang w:val="en-US"/>
              </w:rPr>
            </w:pPr>
            <w:r>
              <w:rPr>
                <w:sz w:val="24"/>
                <w:szCs w:val="24"/>
                <w:lang w:val="en-US"/>
              </w:rPr>
              <w:t xml:space="preserve">and </w:t>
            </w:r>
            <w:r w:rsidRPr="00DE05E2">
              <w:rPr>
                <w:sz w:val="24"/>
                <w:szCs w:val="24"/>
                <w:lang w:val="en-US"/>
              </w:rPr>
              <w:t>https://apps.who.int/iris/bitstream</w:t>
            </w:r>
          </w:p>
          <w:p w14:paraId="53581D03" w14:textId="22257455" w:rsidR="00DE05E2" w:rsidRDefault="00DE05E2" w:rsidP="00DE05E2">
            <w:pPr>
              <w:rPr>
                <w:sz w:val="24"/>
                <w:szCs w:val="24"/>
                <w:lang w:val="en-US"/>
              </w:rPr>
            </w:pPr>
            <w:r w:rsidRPr="00DE05E2">
              <w:rPr>
                <w:sz w:val="24"/>
                <w:szCs w:val="24"/>
                <w:lang w:val="en-US"/>
              </w:rPr>
              <w:t>/handle/10665/249515/9789241549752-eng.pdf?sequence=</w:t>
            </w:r>
            <w:r>
              <w:rPr>
                <w:sz w:val="24"/>
                <w:szCs w:val="24"/>
                <w:lang w:val="en-US"/>
              </w:rPr>
              <w:t>1</w:t>
            </w:r>
          </w:p>
          <w:p w14:paraId="0E9E88E7" w14:textId="0FAA9D31" w:rsidR="00DE05E2" w:rsidRPr="00DE05E2" w:rsidRDefault="00DE05E2" w:rsidP="00DE05E2">
            <w:pPr>
              <w:rPr>
                <w:sz w:val="24"/>
                <w:szCs w:val="24"/>
                <w:lang w:val="en-US"/>
              </w:rPr>
            </w:pPr>
          </w:p>
        </w:tc>
      </w:tr>
      <w:tr w:rsidR="00DE05E2" w14:paraId="0C0F2EE7" w14:textId="77777777" w:rsidTr="00DE05E2">
        <w:trPr>
          <w:trHeight w:val="1977"/>
        </w:trPr>
        <w:tc>
          <w:tcPr>
            <w:tcW w:w="1186" w:type="dxa"/>
          </w:tcPr>
          <w:p w14:paraId="60316536" w14:textId="015B920C" w:rsidR="00DE05E2" w:rsidRDefault="00DE05E2" w:rsidP="00DE05E2">
            <w:pPr>
              <w:jc w:val="center"/>
              <w:rPr>
                <w:sz w:val="28"/>
                <w:szCs w:val="28"/>
                <w:lang w:val="en-US"/>
              </w:rPr>
            </w:pPr>
            <w:r>
              <w:rPr>
                <w:sz w:val="28"/>
                <w:szCs w:val="28"/>
                <w:lang w:val="en-US"/>
              </w:rPr>
              <w:t>9.</w:t>
            </w:r>
          </w:p>
        </w:tc>
        <w:tc>
          <w:tcPr>
            <w:tcW w:w="4060" w:type="dxa"/>
          </w:tcPr>
          <w:p w14:paraId="6204ADFE" w14:textId="788D7CA8" w:rsidR="00DE05E2" w:rsidRPr="00DE05E2" w:rsidRDefault="004F5C0E" w:rsidP="00DE05E2">
            <w:pPr>
              <w:rPr>
                <w:sz w:val="24"/>
                <w:szCs w:val="24"/>
                <w:lang w:val="en-US"/>
              </w:rPr>
            </w:pPr>
            <w:r w:rsidRPr="004F5C0E">
              <w:rPr>
                <w:sz w:val="24"/>
                <w:szCs w:val="24"/>
                <w:lang w:val="en-US"/>
              </w:rPr>
              <w:t>Why are clear roles needed for CBS Fical supervisors?</w:t>
            </w:r>
          </w:p>
        </w:tc>
        <w:tc>
          <w:tcPr>
            <w:tcW w:w="5103" w:type="dxa"/>
          </w:tcPr>
          <w:p w14:paraId="6893E042" w14:textId="1A03386A" w:rsidR="00DE05E2" w:rsidRPr="00DE05E2" w:rsidRDefault="004F5C0E" w:rsidP="00DE05E2">
            <w:pPr>
              <w:rPr>
                <w:sz w:val="24"/>
                <w:szCs w:val="24"/>
                <w:lang w:val="en-US"/>
              </w:rPr>
            </w:pPr>
            <w:r w:rsidRPr="004F5C0E">
              <w:rPr>
                <w:sz w:val="24"/>
                <w:szCs w:val="24"/>
                <w:lang w:val="en-US"/>
              </w:rPr>
              <w:t>The answer to the question is: Clear roles for CBS Focal supervisors are needed so that they should not be the ones deciding if something is a health risk based only on notification.</w:t>
            </w:r>
          </w:p>
        </w:tc>
      </w:tr>
      <w:tr w:rsidR="004F5C0E" w14:paraId="54298275" w14:textId="77777777" w:rsidTr="00DE05E2">
        <w:trPr>
          <w:trHeight w:val="1977"/>
        </w:trPr>
        <w:tc>
          <w:tcPr>
            <w:tcW w:w="1186" w:type="dxa"/>
          </w:tcPr>
          <w:p w14:paraId="6136DD0F" w14:textId="538B9643" w:rsidR="004F5C0E" w:rsidRDefault="004F5C0E" w:rsidP="00DE05E2">
            <w:pPr>
              <w:jc w:val="center"/>
              <w:rPr>
                <w:sz w:val="28"/>
                <w:szCs w:val="28"/>
                <w:lang w:val="en-US"/>
              </w:rPr>
            </w:pPr>
            <w:r>
              <w:rPr>
                <w:sz w:val="28"/>
                <w:szCs w:val="28"/>
                <w:lang w:val="en-US"/>
              </w:rPr>
              <w:t>10.</w:t>
            </w:r>
          </w:p>
        </w:tc>
        <w:tc>
          <w:tcPr>
            <w:tcW w:w="4060" w:type="dxa"/>
          </w:tcPr>
          <w:p w14:paraId="10CB7B51" w14:textId="573C09AB" w:rsidR="004F5C0E" w:rsidRPr="004F5C0E" w:rsidRDefault="004F5C0E" w:rsidP="00DE05E2">
            <w:pPr>
              <w:rPr>
                <w:sz w:val="24"/>
                <w:szCs w:val="24"/>
                <w:lang w:val="en-US"/>
              </w:rPr>
            </w:pPr>
            <w:r w:rsidRPr="004F5C0E">
              <w:rPr>
                <w:sz w:val="24"/>
                <w:szCs w:val="24"/>
                <w:lang w:val="en-US"/>
              </w:rPr>
              <w:t>What steps should be taken to ensure the completeness of data on each required variable in a surveillance form?</w:t>
            </w:r>
          </w:p>
        </w:tc>
        <w:tc>
          <w:tcPr>
            <w:tcW w:w="5103" w:type="dxa"/>
          </w:tcPr>
          <w:p w14:paraId="4E737FBF" w14:textId="77777777" w:rsidR="004F5C0E" w:rsidRPr="004F5C0E" w:rsidRDefault="004F5C0E" w:rsidP="004F5C0E">
            <w:pPr>
              <w:rPr>
                <w:sz w:val="24"/>
                <w:szCs w:val="24"/>
                <w:lang w:val="en-US"/>
              </w:rPr>
            </w:pPr>
            <w:r w:rsidRPr="004F5C0E">
              <w:rPr>
                <w:sz w:val="24"/>
                <w:szCs w:val="24"/>
                <w:lang w:val="en-US"/>
              </w:rPr>
              <w:t>The answer to your question is:</w:t>
            </w:r>
          </w:p>
          <w:p w14:paraId="3FF8B4A7" w14:textId="77777777" w:rsidR="004F5C0E" w:rsidRPr="004F5C0E" w:rsidRDefault="004F5C0E" w:rsidP="004F5C0E">
            <w:pPr>
              <w:rPr>
                <w:sz w:val="24"/>
                <w:szCs w:val="24"/>
                <w:lang w:val="en-US"/>
              </w:rPr>
            </w:pPr>
            <w:r w:rsidRPr="004F5C0E">
              <w:rPr>
                <w:sz w:val="24"/>
                <w:szCs w:val="24"/>
                <w:lang w:val="en-US"/>
              </w:rPr>
              <w:t>To ensure the completeness of data on each required variable in a surveillance form, the following steps should be taken:</w:t>
            </w:r>
          </w:p>
          <w:p w14:paraId="43374495" w14:textId="77777777" w:rsidR="004F5C0E" w:rsidRPr="004F5C0E" w:rsidRDefault="004F5C0E" w:rsidP="004F5C0E">
            <w:pPr>
              <w:rPr>
                <w:sz w:val="24"/>
                <w:szCs w:val="24"/>
                <w:lang w:val="en-US"/>
              </w:rPr>
            </w:pPr>
            <w:r w:rsidRPr="004F5C0E">
              <w:rPr>
                <w:sz w:val="24"/>
                <w:szCs w:val="24"/>
                <w:lang w:val="en-US"/>
              </w:rPr>
              <w:t>1. Ensure that all data on required variables are collected.</w:t>
            </w:r>
          </w:p>
          <w:p w14:paraId="3A4EE0C5" w14:textId="77777777" w:rsidR="004F5C0E" w:rsidRPr="004F5C0E" w:rsidRDefault="004F5C0E" w:rsidP="004F5C0E">
            <w:pPr>
              <w:rPr>
                <w:sz w:val="24"/>
                <w:szCs w:val="24"/>
                <w:lang w:val="en-US"/>
              </w:rPr>
            </w:pPr>
            <w:r w:rsidRPr="004F5C0E">
              <w:rPr>
                <w:sz w:val="24"/>
                <w:szCs w:val="24"/>
                <w:lang w:val="en-US"/>
              </w:rPr>
              <w:t>2. Register the data to prevent errors during data entry.</w:t>
            </w:r>
          </w:p>
          <w:p w14:paraId="7F11BAD5" w14:textId="77777777" w:rsidR="004F5C0E" w:rsidRPr="004F5C0E" w:rsidRDefault="004F5C0E" w:rsidP="004F5C0E">
            <w:pPr>
              <w:rPr>
                <w:sz w:val="24"/>
                <w:szCs w:val="24"/>
                <w:lang w:val="en-US"/>
              </w:rPr>
            </w:pPr>
            <w:r w:rsidRPr="004F5C0E">
              <w:rPr>
                <w:sz w:val="24"/>
                <w:szCs w:val="24"/>
                <w:lang w:val="en-US"/>
              </w:rPr>
              <w:t>3. Validate the data to check for accuracy and completeness.</w:t>
            </w:r>
          </w:p>
          <w:p w14:paraId="6946975C" w14:textId="66397257" w:rsidR="004F5C0E" w:rsidRPr="004F5C0E" w:rsidRDefault="004F5C0E" w:rsidP="004F5C0E">
            <w:pPr>
              <w:rPr>
                <w:sz w:val="24"/>
                <w:szCs w:val="24"/>
                <w:lang w:val="en-US"/>
              </w:rPr>
            </w:pPr>
            <w:r w:rsidRPr="004F5C0E">
              <w:rPr>
                <w:sz w:val="24"/>
                <w:szCs w:val="24"/>
                <w:lang w:val="en-US"/>
              </w:rPr>
              <w:t>4. Compile the data into a comprehensive survey form.</w:t>
            </w:r>
          </w:p>
        </w:tc>
      </w:tr>
      <w:tr w:rsidR="004F5C0E" w14:paraId="21CDE352" w14:textId="77777777" w:rsidTr="00DE05E2">
        <w:trPr>
          <w:trHeight w:val="1977"/>
        </w:trPr>
        <w:tc>
          <w:tcPr>
            <w:tcW w:w="1186" w:type="dxa"/>
          </w:tcPr>
          <w:p w14:paraId="4CF8E732" w14:textId="1F1C59CE" w:rsidR="004F5C0E" w:rsidRDefault="004F5C0E" w:rsidP="00DE05E2">
            <w:pPr>
              <w:jc w:val="center"/>
              <w:rPr>
                <w:sz w:val="28"/>
                <w:szCs w:val="28"/>
                <w:lang w:val="en-US"/>
              </w:rPr>
            </w:pPr>
            <w:r>
              <w:rPr>
                <w:sz w:val="28"/>
                <w:szCs w:val="28"/>
                <w:lang w:val="en-US"/>
              </w:rPr>
              <w:lastRenderedPageBreak/>
              <w:t>11.</w:t>
            </w:r>
          </w:p>
        </w:tc>
        <w:tc>
          <w:tcPr>
            <w:tcW w:w="4060" w:type="dxa"/>
          </w:tcPr>
          <w:p w14:paraId="03CA475A" w14:textId="5B0F169C" w:rsidR="004F5C0E" w:rsidRPr="004F5C0E" w:rsidRDefault="004F5C0E" w:rsidP="00DE05E2">
            <w:pPr>
              <w:rPr>
                <w:sz w:val="24"/>
                <w:szCs w:val="24"/>
                <w:lang w:val="en-US"/>
              </w:rPr>
            </w:pPr>
            <w:r w:rsidRPr="004F5C0E">
              <w:rPr>
                <w:sz w:val="24"/>
                <w:szCs w:val="24"/>
                <w:lang w:val="en-US"/>
              </w:rPr>
              <w:t>Why has Monkeypox become more prevalent since the eradication of smallpox?</w:t>
            </w:r>
          </w:p>
        </w:tc>
        <w:tc>
          <w:tcPr>
            <w:tcW w:w="5103" w:type="dxa"/>
          </w:tcPr>
          <w:p w14:paraId="0220078A" w14:textId="7530D170" w:rsidR="004F5C0E" w:rsidRPr="004F5C0E" w:rsidRDefault="004F5C0E" w:rsidP="004F5C0E">
            <w:pPr>
              <w:rPr>
                <w:sz w:val="24"/>
                <w:szCs w:val="24"/>
                <w:lang w:val="en-US"/>
              </w:rPr>
            </w:pPr>
            <w:r w:rsidRPr="004F5C0E">
              <w:rPr>
                <w:sz w:val="24"/>
                <w:szCs w:val="24"/>
                <w:lang w:val="en-US"/>
              </w:rPr>
              <w:t>Monkeypox has become more prevalent since the eradication of smallpox due to the discontinuation of smallpox vaccination, leading to a lack of vaccine-induced immunity in younger people.</w:t>
            </w:r>
          </w:p>
        </w:tc>
      </w:tr>
      <w:tr w:rsidR="004F5C0E" w14:paraId="03887F26" w14:textId="77777777" w:rsidTr="00DE05E2">
        <w:trPr>
          <w:trHeight w:val="1977"/>
        </w:trPr>
        <w:tc>
          <w:tcPr>
            <w:tcW w:w="1186" w:type="dxa"/>
          </w:tcPr>
          <w:p w14:paraId="3CF15629" w14:textId="673F8B87" w:rsidR="004F5C0E" w:rsidRDefault="004F5C0E" w:rsidP="00DE05E2">
            <w:pPr>
              <w:jc w:val="center"/>
              <w:rPr>
                <w:sz w:val="28"/>
                <w:szCs w:val="28"/>
                <w:lang w:val="en-US"/>
              </w:rPr>
            </w:pPr>
            <w:r>
              <w:rPr>
                <w:sz w:val="28"/>
                <w:szCs w:val="28"/>
                <w:lang w:val="en-US"/>
              </w:rPr>
              <w:t>12.</w:t>
            </w:r>
          </w:p>
        </w:tc>
        <w:tc>
          <w:tcPr>
            <w:tcW w:w="4060" w:type="dxa"/>
          </w:tcPr>
          <w:p w14:paraId="41771ED5" w14:textId="77777777" w:rsidR="004F5C0E" w:rsidRPr="004F5C0E" w:rsidRDefault="004F5C0E" w:rsidP="004F5C0E">
            <w:pPr>
              <w:rPr>
                <w:sz w:val="24"/>
                <w:szCs w:val="24"/>
                <w:lang w:val="en-US"/>
              </w:rPr>
            </w:pPr>
            <w:r w:rsidRPr="004F5C0E">
              <w:rPr>
                <w:sz w:val="24"/>
                <w:szCs w:val="24"/>
                <w:lang w:val="en-US"/>
              </w:rPr>
              <w:t>What actions are recommended when the measles outbreak threshold is reached in Malawi?</w:t>
            </w:r>
          </w:p>
          <w:p w14:paraId="118345E1" w14:textId="77777777" w:rsidR="004F5C0E" w:rsidRPr="004F5C0E" w:rsidRDefault="004F5C0E" w:rsidP="00DE05E2">
            <w:pPr>
              <w:rPr>
                <w:sz w:val="24"/>
                <w:szCs w:val="24"/>
                <w:lang w:val="en-US"/>
              </w:rPr>
            </w:pPr>
          </w:p>
        </w:tc>
        <w:tc>
          <w:tcPr>
            <w:tcW w:w="5103" w:type="dxa"/>
          </w:tcPr>
          <w:p w14:paraId="38DDA55D" w14:textId="77777777" w:rsidR="004F5C0E" w:rsidRPr="004F5C0E" w:rsidRDefault="004F5C0E" w:rsidP="004F5C0E">
            <w:pPr>
              <w:rPr>
                <w:sz w:val="24"/>
                <w:szCs w:val="24"/>
                <w:lang w:val="en-US"/>
              </w:rPr>
            </w:pPr>
            <w:r w:rsidRPr="004F5C0E">
              <w:rPr>
                <w:sz w:val="24"/>
                <w:szCs w:val="24"/>
                <w:lang w:val="en-US"/>
              </w:rPr>
              <w:t>When the measles outbreak threshold is reached in Malawi, the recommended actions include improving routine vaccine coverage, leading supplemental vaccination activities, mobilizing the community, and providing Vitamin A doses.</w:t>
            </w:r>
          </w:p>
          <w:p w14:paraId="741C7A30" w14:textId="77777777" w:rsidR="004F5C0E" w:rsidRPr="004F5C0E" w:rsidRDefault="004F5C0E" w:rsidP="004F5C0E">
            <w:pPr>
              <w:rPr>
                <w:sz w:val="24"/>
                <w:szCs w:val="24"/>
                <w:lang w:val="en-US"/>
              </w:rPr>
            </w:pPr>
          </w:p>
        </w:tc>
      </w:tr>
      <w:tr w:rsidR="004F5C0E" w14:paraId="4CFF86A9" w14:textId="77777777" w:rsidTr="00DE05E2">
        <w:trPr>
          <w:trHeight w:val="1977"/>
        </w:trPr>
        <w:tc>
          <w:tcPr>
            <w:tcW w:w="1186" w:type="dxa"/>
          </w:tcPr>
          <w:p w14:paraId="1AAC9703" w14:textId="59EF378A" w:rsidR="004F5C0E" w:rsidRDefault="004F5C0E" w:rsidP="00DE05E2">
            <w:pPr>
              <w:jc w:val="center"/>
              <w:rPr>
                <w:sz w:val="28"/>
                <w:szCs w:val="28"/>
                <w:lang w:val="en-US"/>
              </w:rPr>
            </w:pPr>
            <w:r>
              <w:rPr>
                <w:sz w:val="28"/>
                <w:szCs w:val="28"/>
                <w:lang w:val="en-US"/>
              </w:rPr>
              <w:t>13.</w:t>
            </w:r>
          </w:p>
        </w:tc>
        <w:tc>
          <w:tcPr>
            <w:tcW w:w="4060" w:type="dxa"/>
          </w:tcPr>
          <w:p w14:paraId="6A2A1FC2" w14:textId="56DFD593" w:rsidR="004F5C0E" w:rsidRPr="004F5C0E" w:rsidRDefault="004F5C0E" w:rsidP="004F5C0E">
            <w:pPr>
              <w:rPr>
                <w:sz w:val="24"/>
                <w:szCs w:val="24"/>
                <w:lang w:val="en-US"/>
              </w:rPr>
            </w:pPr>
            <w:r w:rsidRPr="004F5C0E">
              <w:rPr>
                <w:sz w:val="24"/>
                <w:szCs w:val="24"/>
                <w:lang w:val="en-US"/>
              </w:rPr>
              <w:t>Which section of the guidelines provides a description of control measures for each priority disease, and why is this information important during an outbreak investigation?</w:t>
            </w:r>
          </w:p>
        </w:tc>
        <w:tc>
          <w:tcPr>
            <w:tcW w:w="5103" w:type="dxa"/>
          </w:tcPr>
          <w:p w14:paraId="6D11553A" w14:textId="01732CB0" w:rsidR="004F5C0E" w:rsidRPr="004F5C0E" w:rsidRDefault="004F5C0E" w:rsidP="004F5C0E">
            <w:pPr>
              <w:rPr>
                <w:sz w:val="24"/>
                <w:szCs w:val="24"/>
                <w:lang w:val="en-US"/>
              </w:rPr>
            </w:pPr>
            <w:r w:rsidRPr="004F5C0E">
              <w:rPr>
                <w:sz w:val="24"/>
                <w:szCs w:val="24"/>
                <w:lang w:val="en-US"/>
              </w:rPr>
              <w:t>Section 11.0 of the guidelines provides a description of control measures for each priority disease. This information is important during an outbreak investigation because it allows investigators to tailor their control measures to the specific characteristics of the outbreak and ensure an effective response. By referring to Section 11.0, investigators can identify the most appropriate interventions to implement based on the cause of the outbreak, the severity of the illness, and the location and population.</w:t>
            </w:r>
          </w:p>
        </w:tc>
      </w:tr>
      <w:tr w:rsidR="004F5C0E" w14:paraId="3FDA6916" w14:textId="77777777" w:rsidTr="00DE05E2">
        <w:trPr>
          <w:trHeight w:val="1977"/>
        </w:trPr>
        <w:tc>
          <w:tcPr>
            <w:tcW w:w="1186" w:type="dxa"/>
          </w:tcPr>
          <w:p w14:paraId="106C6F6E" w14:textId="52CCAD64" w:rsidR="004F5C0E" w:rsidRDefault="004F5C0E" w:rsidP="00DE05E2">
            <w:pPr>
              <w:jc w:val="center"/>
              <w:rPr>
                <w:sz w:val="28"/>
                <w:szCs w:val="28"/>
                <w:lang w:val="en-US"/>
              </w:rPr>
            </w:pPr>
            <w:r>
              <w:rPr>
                <w:sz w:val="28"/>
                <w:szCs w:val="28"/>
                <w:lang w:val="en-US"/>
              </w:rPr>
              <w:t>14.</w:t>
            </w:r>
          </w:p>
        </w:tc>
        <w:tc>
          <w:tcPr>
            <w:tcW w:w="4060" w:type="dxa"/>
          </w:tcPr>
          <w:p w14:paraId="2AFB92B3" w14:textId="447FD887" w:rsidR="004F5C0E" w:rsidRPr="004F5C0E" w:rsidRDefault="004F5C0E" w:rsidP="004F5C0E">
            <w:pPr>
              <w:rPr>
                <w:sz w:val="24"/>
                <w:szCs w:val="24"/>
                <w:lang w:val="en-US"/>
              </w:rPr>
            </w:pPr>
            <w:r w:rsidRPr="004F5C0E">
              <w:rPr>
                <w:sz w:val="24"/>
                <w:szCs w:val="24"/>
                <w:lang w:val="en-US"/>
              </w:rPr>
              <w:t>In what ways do the verification and documentation processes of early warning in emergency contexts differ from those in non-emergency contexts?</w:t>
            </w:r>
          </w:p>
        </w:tc>
        <w:tc>
          <w:tcPr>
            <w:tcW w:w="5103" w:type="dxa"/>
          </w:tcPr>
          <w:p w14:paraId="1037984D" w14:textId="72213133" w:rsidR="004F5C0E" w:rsidRPr="004F5C0E" w:rsidRDefault="004F5C0E" w:rsidP="004F5C0E">
            <w:pPr>
              <w:rPr>
                <w:sz w:val="24"/>
                <w:szCs w:val="24"/>
                <w:lang w:val="en-US"/>
              </w:rPr>
            </w:pPr>
            <w:r w:rsidRPr="004F5C0E">
              <w:rPr>
                <w:sz w:val="24"/>
                <w:szCs w:val="24"/>
                <w:lang w:val="en-US"/>
              </w:rPr>
              <w:t>In emergency contexts, the verification and documentation processes of early warning systems differ from those in non-emergency contexts in several ways. Firstly, in emergency situations, these processes must be rapid and adaptable to the rapidly changing situation, focusing on prioritized health risks. This means that information must be collected quickly and accurately, and decisions must be made swiftly based on the available data.</w:t>
            </w:r>
          </w:p>
        </w:tc>
      </w:tr>
      <w:tr w:rsidR="004F5C0E" w14:paraId="04A5B3A1" w14:textId="77777777" w:rsidTr="00DE05E2">
        <w:trPr>
          <w:trHeight w:val="1977"/>
        </w:trPr>
        <w:tc>
          <w:tcPr>
            <w:tcW w:w="1186" w:type="dxa"/>
          </w:tcPr>
          <w:p w14:paraId="4B7133C2" w14:textId="7A848A88" w:rsidR="004F5C0E" w:rsidRDefault="004F5C0E" w:rsidP="00DE05E2">
            <w:pPr>
              <w:jc w:val="center"/>
              <w:rPr>
                <w:sz w:val="28"/>
                <w:szCs w:val="28"/>
                <w:lang w:val="en-US"/>
              </w:rPr>
            </w:pPr>
            <w:r>
              <w:rPr>
                <w:sz w:val="28"/>
                <w:szCs w:val="28"/>
                <w:lang w:val="en-US"/>
              </w:rPr>
              <w:t>15.</w:t>
            </w:r>
          </w:p>
        </w:tc>
        <w:tc>
          <w:tcPr>
            <w:tcW w:w="4060" w:type="dxa"/>
          </w:tcPr>
          <w:p w14:paraId="50DB6BAC" w14:textId="14ABACC7" w:rsidR="004F5C0E" w:rsidRPr="004F5C0E" w:rsidRDefault="004F5C0E" w:rsidP="004F5C0E">
            <w:pPr>
              <w:rPr>
                <w:sz w:val="24"/>
                <w:szCs w:val="24"/>
                <w:lang w:val="en-US"/>
              </w:rPr>
            </w:pPr>
            <w:r w:rsidRPr="004F5C0E">
              <w:rPr>
                <w:sz w:val="24"/>
                <w:szCs w:val="24"/>
                <w:lang w:val="en-US"/>
              </w:rPr>
              <w:t>What role does the examination of burial ceremonies play in the verification and confirmation process?</w:t>
            </w:r>
          </w:p>
        </w:tc>
        <w:tc>
          <w:tcPr>
            <w:tcW w:w="5103" w:type="dxa"/>
          </w:tcPr>
          <w:p w14:paraId="2FE1B73F" w14:textId="77777777" w:rsidR="004F5C0E" w:rsidRPr="004F5C0E" w:rsidRDefault="004F5C0E" w:rsidP="004F5C0E">
            <w:pPr>
              <w:rPr>
                <w:sz w:val="24"/>
                <w:szCs w:val="24"/>
                <w:lang w:val="en-US"/>
              </w:rPr>
            </w:pPr>
          </w:p>
          <w:p w14:paraId="0CBE894B" w14:textId="013FAF67" w:rsidR="004F5C0E" w:rsidRPr="004F5C0E" w:rsidRDefault="004F5C0E" w:rsidP="004F5C0E">
            <w:pPr>
              <w:rPr>
                <w:sz w:val="24"/>
                <w:szCs w:val="24"/>
                <w:lang w:val="en-US"/>
              </w:rPr>
            </w:pPr>
            <w:r w:rsidRPr="004F5C0E">
              <w:rPr>
                <w:sz w:val="24"/>
                <w:szCs w:val="24"/>
                <w:lang w:val="en-US"/>
              </w:rPr>
              <w:t>The examination of burial ceremonies plays a crucial role in identifying potential exposure and transmission events within the community, including roles played by the patient. By analyzing the burial ceremony, medical professionals can gain insights into the patient's social interactions and determine who may have come into contact with the virus. This information is essential for verifying and confirming cases, as well as for tracking the spread of the disease within the community.</w:t>
            </w:r>
          </w:p>
        </w:tc>
      </w:tr>
      <w:tr w:rsidR="004F5C0E" w14:paraId="6DDD756E" w14:textId="77777777" w:rsidTr="00DE05E2">
        <w:trPr>
          <w:trHeight w:val="1977"/>
        </w:trPr>
        <w:tc>
          <w:tcPr>
            <w:tcW w:w="1186" w:type="dxa"/>
          </w:tcPr>
          <w:p w14:paraId="1CB102BD" w14:textId="0985CE59" w:rsidR="004F5C0E" w:rsidRDefault="004F5C0E" w:rsidP="00DE05E2">
            <w:pPr>
              <w:jc w:val="center"/>
              <w:rPr>
                <w:sz w:val="28"/>
                <w:szCs w:val="28"/>
                <w:lang w:val="en-US"/>
              </w:rPr>
            </w:pPr>
            <w:r>
              <w:rPr>
                <w:sz w:val="28"/>
                <w:szCs w:val="28"/>
                <w:lang w:val="en-US"/>
              </w:rPr>
              <w:lastRenderedPageBreak/>
              <w:t>16.</w:t>
            </w:r>
          </w:p>
        </w:tc>
        <w:tc>
          <w:tcPr>
            <w:tcW w:w="4060" w:type="dxa"/>
          </w:tcPr>
          <w:p w14:paraId="4DC2BE00" w14:textId="438D047D" w:rsidR="004F5C0E" w:rsidRPr="004F5C0E" w:rsidRDefault="004F5C0E" w:rsidP="004F5C0E">
            <w:pPr>
              <w:rPr>
                <w:sz w:val="24"/>
                <w:szCs w:val="24"/>
                <w:lang w:val="en-US"/>
              </w:rPr>
            </w:pPr>
            <w:r w:rsidRPr="004F5C0E">
              <w:rPr>
                <w:sz w:val="24"/>
                <w:szCs w:val="24"/>
                <w:lang w:val="en-US"/>
              </w:rPr>
              <w:t>How do case fatality rates and attack rates differ in providing information about an outbreak?</w:t>
            </w:r>
          </w:p>
        </w:tc>
        <w:tc>
          <w:tcPr>
            <w:tcW w:w="5103" w:type="dxa"/>
          </w:tcPr>
          <w:p w14:paraId="42FFE413" w14:textId="3F3D7E25" w:rsidR="004F5C0E" w:rsidRPr="004F5C0E" w:rsidRDefault="004F5C0E" w:rsidP="004F5C0E">
            <w:pPr>
              <w:rPr>
                <w:sz w:val="24"/>
                <w:szCs w:val="24"/>
                <w:lang w:val="en-US"/>
              </w:rPr>
            </w:pPr>
            <w:r w:rsidRPr="004F5C0E">
              <w:rPr>
                <w:sz w:val="24"/>
                <w:szCs w:val="24"/>
                <w:lang w:val="en-US"/>
              </w:rPr>
              <w:t>Case fatality rates and attack rates provide distinct information about an outbreak. Case fatality rates focus on the proportion of cases resulting in death, indicating the severity of the outbreak, while attack rates assess the proportion of the population affected, aiding in understanding the overall impact of the outbreak. In other words, case fatality rates tell us how deadly the outbreak is, while attack rates tell us how widespread it is.</w:t>
            </w:r>
          </w:p>
        </w:tc>
      </w:tr>
      <w:tr w:rsidR="004F5C0E" w14:paraId="6BACD257" w14:textId="77777777" w:rsidTr="00DE05E2">
        <w:trPr>
          <w:trHeight w:val="1977"/>
        </w:trPr>
        <w:tc>
          <w:tcPr>
            <w:tcW w:w="1186" w:type="dxa"/>
          </w:tcPr>
          <w:p w14:paraId="0CE7E919" w14:textId="5A724846" w:rsidR="004F5C0E" w:rsidRDefault="004F5C0E" w:rsidP="00DE05E2">
            <w:pPr>
              <w:jc w:val="center"/>
              <w:rPr>
                <w:sz w:val="28"/>
                <w:szCs w:val="28"/>
                <w:lang w:val="en-US"/>
              </w:rPr>
            </w:pPr>
            <w:r>
              <w:rPr>
                <w:sz w:val="28"/>
                <w:szCs w:val="28"/>
                <w:lang w:val="en-US"/>
              </w:rPr>
              <w:t>17.</w:t>
            </w:r>
          </w:p>
        </w:tc>
        <w:tc>
          <w:tcPr>
            <w:tcW w:w="4060" w:type="dxa"/>
          </w:tcPr>
          <w:p w14:paraId="37E61ADB" w14:textId="3CA3987E" w:rsidR="004F5C0E" w:rsidRPr="004F5C0E" w:rsidRDefault="004F5C0E" w:rsidP="004F5C0E">
            <w:pPr>
              <w:rPr>
                <w:sz w:val="24"/>
                <w:szCs w:val="24"/>
                <w:lang w:val="en-US"/>
              </w:rPr>
            </w:pPr>
            <w:r w:rsidRPr="004F5C0E">
              <w:rPr>
                <w:sz w:val="24"/>
                <w:szCs w:val="24"/>
                <w:lang w:val="en-US"/>
              </w:rPr>
              <w:t>When reporting suspected cases, what details should be provided immediately to the next health system level?</w:t>
            </w:r>
          </w:p>
        </w:tc>
        <w:tc>
          <w:tcPr>
            <w:tcW w:w="5103" w:type="dxa"/>
          </w:tcPr>
          <w:p w14:paraId="11A114EF" w14:textId="7A669139" w:rsidR="004F5C0E" w:rsidRPr="004F5C0E" w:rsidRDefault="004F5C0E" w:rsidP="004F5C0E">
            <w:pPr>
              <w:rPr>
                <w:sz w:val="24"/>
                <w:szCs w:val="24"/>
                <w:lang w:val="en-US"/>
              </w:rPr>
            </w:pPr>
            <w:r w:rsidRPr="004F5C0E">
              <w:rPr>
                <w:sz w:val="24"/>
                <w:szCs w:val="24"/>
                <w:lang w:val="en-US"/>
              </w:rPr>
              <w:t>Immediately to the next health system level, details such as case-based information, risk factors, and immediate management specifics should be provided.</w:t>
            </w:r>
          </w:p>
        </w:tc>
      </w:tr>
      <w:tr w:rsidR="004F5C0E" w14:paraId="5C5AE6E4" w14:textId="77777777" w:rsidTr="00DE05E2">
        <w:trPr>
          <w:trHeight w:val="1977"/>
        </w:trPr>
        <w:tc>
          <w:tcPr>
            <w:tcW w:w="1186" w:type="dxa"/>
          </w:tcPr>
          <w:p w14:paraId="5B6E8DE3" w14:textId="60689DEE" w:rsidR="004F5C0E" w:rsidRDefault="004F5C0E" w:rsidP="00DE05E2">
            <w:pPr>
              <w:jc w:val="center"/>
              <w:rPr>
                <w:sz w:val="28"/>
                <w:szCs w:val="28"/>
                <w:lang w:val="en-US"/>
              </w:rPr>
            </w:pPr>
            <w:r>
              <w:rPr>
                <w:sz w:val="28"/>
                <w:szCs w:val="28"/>
                <w:lang w:val="en-US"/>
              </w:rPr>
              <w:t>18.</w:t>
            </w:r>
          </w:p>
        </w:tc>
        <w:tc>
          <w:tcPr>
            <w:tcW w:w="4060" w:type="dxa"/>
          </w:tcPr>
          <w:p w14:paraId="3B462EC2" w14:textId="6DC50690" w:rsidR="004F5C0E" w:rsidRPr="004F5C0E" w:rsidRDefault="004F5C0E" w:rsidP="004F5C0E">
            <w:pPr>
              <w:rPr>
                <w:sz w:val="24"/>
                <w:szCs w:val="24"/>
                <w:lang w:val="en-US"/>
              </w:rPr>
            </w:pPr>
            <w:r w:rsidRPr="004F5C0E">
              <w:rPr>
                <w:sz w:val="24"/>
                <w:szCs w:val="24"/>
                <w:lang w:val="en-US"/>
              </w:rPr>
              <w:t>Why is it important to include geo-mapping coordinates in the line list register for identified cases during an outbreak investigation?</w:t>
            </w:r>
          </w:p>
        </w:tc>
        <w:tc>
          <w:tcPr>
            <w:tcW w:w="5103" w:type="dxa"/>
          </w:tcPr>
          <w:p w14:paraId="0E7C9488" w14:textId="74B0CC1F" w:rsidR="004F5C0E" w:rsidRPr="004F5C0E" w:rsidRDefault="004F5C0E" w:rsidP="004F5C0E">
            <w:pPr>
              <w:rPr>
                <w:sz w:val="24"/>
                <w:szCs w:val="24"/>
                <w:lang w:val="en-US"/>
              </w:rPr>
            </w:pPr>
            <w:r w:rsidRPr="004F5C0E">
              <w:rPr>
                <w:sz w:val="24"/>
                <w:szCs w:val="24"/>
                <w:lang w:val="en-US"/>
              </w:rPr>
              <w:t>Including geo-mapping coordinates in the line list register for identified cases during an outbreak investigation is crucial for spatial analysis, which helps understand the geographic distribution of cases, identify clusters, and implement targeted interventions.</w:t>
            </w:r>
          </w:p>
        </w:tc>
      </w:tr>
      <w:tr w:rsidR="004F5C0E" w14:paraId="346C6507" w14:textId="77777777" w:rsidTr="00DE05E2">
        <w:trPr>
          <w:trHeight w:val="1977"/>
        </w:trPr>
        <w:tc>
          <w:tcPr>
            <w:tcW w:w="1186" w:type="dxa"/>
          </w:tcPr>
          <w:p w14:paraId="60B30BB5" w14:textId="3E0D81BE" w:rsidR="004F5C0E" w:rsidRDefault="004F5C0E" w:rsidP="00DE05E2">
            <w:pPr>
              <w:jc w:val="center"/>
              <w:rPr>
                <w:sz w:val="28"/>
                <w:szCs w:val="28"/>
                <w:lang w:val="en-US"/>
              </w:rPr>
            </w:pPr>
            <w:r>
              <w:rPr>
                <w:sz w:val="28"/>
                <w:szCs w:val="28"/>
                <w:lang w:val="en-US"/>
              </w:rPr>
              <w:t>19.</w:t>
            </w:r>
          </w:p>
        </w:tc>
        <w:tc>
          <w:tcPr>
            <w:tcW w:w="4060" w:type="dxa"/>
          </w:tcPr>
          <w:p w14:paraId="4FD50C99" w14:textId="1277080B" w:rsidR="004F5C0E" w:rsidRPr="004F5C0E" w:rsidRDefault="004F5C0E" w:rsidP="004F5C0E">
            <w:pPr>
              <w:rPr>
                <w:sz w:val="24"/>
                <w:szCs w:val="24"/>
                <w:lang w:val="en-US"/>
              </w:rPr>
            </w:pPr>
            <w:r w:rsidRPr="004F5C0E">
              <w:rPr>
                <w:sz w:val="24"/>
                <w:szCs w:val="24"/>
                <w:lang w:val="en-US"/>
              </w:rPr>
              <w:t>Which intervals should be monitored for detection of immediately reportable diseases?</w:t>
            </w:r>
          </w:p>
        </w:tc>
        <w:tc>
          <w:tcPr>
            <w:tcW w:w="5103" w:type="dxa"/>
          </w:tcPr>
          <w:p w14:paraId="4FF8C591" w14:textId="77777777" w:rsidR="004F5C0E" w:rsidRPr="004F5C0E" w:rsidRDefault="004F5C0E" w:rsidP="004F5C0E">
            <w:pPr>
              <w:rPr>
                <w:sz w:val="24"/>
                <w:szCs w:val="24"/>
                <w:lang w:val="en-US"/>
              </w:rPr>
            </w:pPr>
            <w:r w:rsidRPr="004F5C0E">
              <w:rPr>
                <w:sz w:val="24"/>
                <w:szCs w:val="24"/>
                <w:lang w:val="en-US"/>
              </w:rPr>
              <w:t>The intervals that should be monitored for detection of immediately reportable diseases are:</w:t>
            </w:r>
          </w:p>
          <w:p w14:paraId="15C02D4F" w14:textId="77777777" w:rsidR="004F5C0E" w:rsidRPr="004F5C0E" w:rsidRDefault="004F5C0E" w:rsidP="004F5C0E">
            <w:pPr>
              <w:rPr>
                <w:sz w:val="24"/>
                <w:szCs w:val="24"/>
                <w:lang w:val="en-US"/>
              </w:rPr>
            </w:pPr>
            <w:r w:rsidRPr="004F5C0E">
              <w:rPr>
                <w:sz w:val="24"/>
                <w:szCs w:val="24"/>
                <w:lang w:val="en-US"/>
              </w:rPr>
              <w:t>* The interval between the onset of the first known case and when the case was seen in the health facility</w:t>
            </w:r>
          </w:p>
          <w:p w14:paraId="0896FD2E" w14:textId="77777777" w:rsidR="004F5C0E" w:rsidRPr="004F5C0E" w:rsidRDefault="004F5C0E" w:rsidP="004F5C0E">
            <w:pPr>
              <w:rPr>
                <w:sz w:val="24"/>
                <w:szCs w:val="24"/>
                <w:lang w:val="en-US"/>
              </w:rPr>
            </w:pPr>
            <w:r w:rsidRPr="004F5C0E">
              <w:rPr>
                <w:sz w:val="24"/>
                <w:szCs w:val="24"/>
                <w:lang w:val="en-US"/>
              </w:rPr>
              <w:t>* Reporting from the community to the health facility and to the district (within 24 hours of onset of illness)</w:t>
            </w:r>
          </w:p>
          <w:p w14:paraId="3B512E5C" w14:textId="237B7A25" w:rsidR="004F5C0E" w:rsidRPr="004F5C0E" w:rsidRDefault="004F5C0E" w:rsidP="004F5C0E">
            <w:pPr>
              <w:rPr>
                <w:sz w:val="24"/>
                <w:szCs w:val="24"/>
                <w:lang w:val="en-US"/>
              </w:rPr>
            </w:pPr>
            <w:r w:rsidRPr="004F5C0E">
              <w:rPr>
                <w:sz w:val="24"/>
                <w:szCs w:val="24"/>
                <w:lang w:val="en-US"/>
              </w:rPr>
              <w:t>* From the health facility to the district (within 24 hours)</w:t>
            </w:r>
          </w:p>
        </w:tc>
      </w:tr>
      <w:tr w:rsidR="004F5C0E" w14:paraId="182E1793" w14:textId="77777777" w:rsidTr="00DE05E2">
        <w:trPr>
          <w:trHeight w:val="1977"/>
        </w:trPr>
        <w:tc>
          <w:tcPr>
            <w:tcW w:w="1186" w:type="dxa"/>
          </w:tcPr>
          <w:p w14:paraId="18140234" w14:textId="459128F2" w:rsidR="004F5C0E" w:rsidRDefault="004F5C0E" w:rsidP="00DE05E2">
            <w:pPr>
              <w:jc w:val="center"/>
              <w:rPr>
                <w:sz w:val="28"/>
                <w:szCs w:val="28"/>
                <w:lang w:val="en-US"/>
              </w:rPr>
            </w:pPr>
            <w:r>
              <w:rPr>
                <w:sz w:val="28"/>
                <w:szCs w:val="28"/>
                <w:lang w:val="en-US"/>
              </w:rPr>
              <w:t>20.</w:t>
            </w:r>
          </w:p>
        </w:tc>
        <w:tc>
          <w:tcPr>
            <w:tcW w:w="4060" w:type="dxa"/>
          </w:tcPr>
          <w:p w14:paraId="52A53D3C" w14:textId="79C6E079" w:rsidR="004F5C0E" w:rsidRPr="004F5C0E" w:rsidRDefault="004F5C0E" w:rsidP="004F5C0E">
            <w:pPr>
              <w:rPr>
                <w:sz w:val="24"/>
                <w:szCs w:val="24"/>
                <w:lang w:val="en-US"/>
              </w:rPr>
            </w:pPr>
            <w:r w:rsidRPr="004F5C0E">
              <w:rPr>
                <w:sz w:val="24"/>
                <w:szCs w:val="24"/>
                <w:lang w:val="en-US"/>
              </w:rPr>
              <w:t>How are viral hepatitis B and C transmitted, and what are the major causes of infection worldwide?</w:t>
            </w:r>
          </w:p>
        </w:tc>
        <w:tc>
          <w:tcPr>
            <w:tcW w:w="5103" w:type="dxa"/>
          </w:tcPr>
          <w:p w14:paraId="282B176A" w14:textId="7FC73BB9" w:rsidR="004F5C0E" w:rsidRPr="004F5C0E" w:rsidRDefault="004F5C0E" w:rsidP="004F5C0E">
            <w:pPr>
              <w:rPr>
                <w:sz w:val="24"/>
                <w:szCs w:val="24"/>
                <w:lang w:val="en-US"/>
              </w:rPr>
            </w:pPr>
            <w:r w:rsidRPr="004F5C0E">
              <w:rPr>
                <w:sz w:val="24"/>
                <w:szCs w:val="24"/>
                <w:lang w:val="en-US"/>
              </w:rPr>
              <w:t>The main ways that hepatitis B and C are transmitted globally are through percutaneous or mucosal exposure to blood or other infectious body fluids, such as during childbirth, medical procedures, or sharing needles. The major causes of infection worldwide include unscreened blood transfusions and re-use of inadequately sterilized needles.</w:t>
            </w:r>
          </w:p>
        </w:tc>
      </w:tr>
    </w:tbl>
    <w:p w14:paraId="74496D01" w14:textId="77777777" w:rsidR="00DE05E2" w:rsidRPr="00DE05E2" w:rsidRDefault="00DE05E2">
      <w:pPr>
        <w:rPr>
          <w:b/>
          <w:bCs/>
          <w:sz w:val="44"/>
          <w:szCs w:val="44"/>
          <w:lang w:val="en-US"/>
        </w:rPr>
      </w:pPr>
    </w:p>
    <w:sectPr w:rsidR="00DE05E2" w:rsidRPr="00DE0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E2"/>
    <w:rsid w:val="001F5275"/>
    <w:rsid w:val="004F5C0E"/>
    <w:rsid w:val="00791DAB"/>
    <w:rsid w:val="008A080F"/>
    <w:rsid w:val="00C41915"/>
    <w:rsid w:val="00DE0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2593"/>
  <w15:chartTrackingRefBased/>
  <w15:docId w15:val="{F46B3F2E-EA18-4DCD-8BD4-D55E24C3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05E2"/>
    <w:rPr>
      <w:color w:val="0563C1" w:themeColor="hyperlink"/>
      <w:u w:val="single"/>
    </w:rPr>
  </w:style>
  <w:style w:type="character" w:styleId="UnresolvedMention">
    <w:name w:val="Unresolved Mention"/>
    <w:basedOn w:val="DefaultParagraphFont"/>
    <w:uiPriority w:val="99"/>
    <w:semiHidden/>
    <w:unhideWhenUsed/>
    <w:rsid w:val="00DE0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maternal_child_adolesce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bhardwaj</dc:creator>
  <cp:keywords/>
  <dc:description/>
  <cp:lastModifiedBy>shivam bhardwaj</cp:lastModifiedBy>
  <cp:revision>2</cp:revision>
  <dcterms:created xsi:type="dcterms:W3CDTF">2024-07-06T18:23:00Z</dcterms:created>
  <dcterms:modified xsi:type="dcterms:W3CDTF">2024-07-06T18:23:00Z</dcterms:modified>
</cp:coreProperties>
</file>