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6A43B" w14:textId="77777777" w:rsidR="00070698" w:rsidRPr="0099355B" w:rsidRDefault="00BF0E89" w:rsidP="00BF0E89">
      <w:pPr>
        <w:rPr>
          <w:b/>
        </w:rPr>
      </w:pPr>
      <w:r w:rsidRPr="0099355B">
        <w:rPr>
          <w:b/>
        </w:rPr>
        <w:t>Introduction</w:t>
      </w:r>
    </w:p>
    <w:p w14:paraId="42372CC5" w14:textId="5459B953" w:rsidR="00832CC9" w:rsidRPr="0099355B" w:rsidRDefault="00364E1C" w:rsidP="007F187D">
      <w:pPr>
        <w:ind w:firstLine="720"/>
      </w:pPr>
      <w:r w:rsidRPr="0099355B">
        <w:t xml:space="preserve">Defining and quantifying uncertainty play vital roles in measuring psychopathology. </w:t>
      </w:r>
      <w:r w:rsidRPr="0099355B">
        <w:rPr>
          <w:i/>
        </w:rPr>
        <w:t>Additive models</w:t>
      </w:r>
      <w:r w:rsidR="007F6B5A" w:rsidRPr="0099355B">
        <w:t xml:space="preserve"> (</w:t>
      </w:r>
      <w:r w:rsidR="00AA5FF7" w:rsidRPr="0099355B">
        <w:t>AM</w:t>
      </w:r>
      <w:r w:rsidR="007F6B5A" w:rsidRPr="0099355B">
        <w:t>)</w:t>
      </w:r>
      <w:r w:rsidRPr="0099355B">
        <w:t xml:space="preserve"> </w:t>
      </w:r>
      <w:r w:rsidR="00995C81" w:rsidRPr="0099355B">
        <w:t xml:space="preserve">maintain that psychopathology </w:t>
      </w:r>
      <w:r w:rsidR="006C1F26" w:rsidRPr="0099355B">
        <w:t>is the sum of individual components</w:t>
      </w:r>
      <w:r w:rsidR="00BB7367" w:rsidRPr="0099355B">
        <w:t xml:space="preserve"> (e.g., depressed mood = low positive affect + high negative affect </w:t>
      </w:r>
      <w:r w:rsidR="00BB7367" w:rsidRPr="0099355B">
        <w:fldChar w:fldCharType="begin" w:fldLock="1"/>
      </w:r>
      <w:r w:rsidR="003D6B31" w:rsidRPr="0099355B">
        <w:instrText>ADDIN CSL_CITATION {"citationItems":[{"id":"ITEM-1","itemData":{"DOI":"10.1037/0033-2909.98.2.219","ISSN":"1939-1455","abstract":"Reanalyses of 7 studies of self-reported mood by researchers such as M. A. Lebo and J. R. Nesselroade (see record 1979-30118-001) and J. A. Russell and D. Ridgeway (see record 1984-03807-001) indicate that Positive Affect and Negative Affect consistently emerge as the 1st 2 varimax rotated dimensions in orthogonal factor analyses or as the 1st 2 2nd-order factors derived from oblique solutions. The 2 factors emerged with varying sets of descriptors and were even replicated in several data sets characterized by possible methodological problems (e.g., acquiescence response bias, inappropriate response formats) noted by earlier authors. The results thus attest to the stability and robustness of Positive and Negative Affect in self-report. Because this same 2-dimensional configuration has also been consistently identified in most other major lines of mood research, it is now firmly established as the basic structure of English-language affect at the general factor level.","author":[{"dropping-particle":"","family":"Watson","given":"David","non-dropping-particle":"","parse-names":false,"suffix":""},{"dropping-particle":"","family":"Tellegen","given":"Auke","non-dropping-particle":"","parse-names":false,"suffix":""}],"container-title":"Psychological Bulletin","id":"ITEM-1","issue":"2","issued":{"date-parts":[["1985"]]},"page":"219-235","title":"Toward a consensual structure of mood.","type":"article-journal","volume":"98"},"uris":["http://www.mendeley.com/documents/?uuid=89fbeacd-e949-4657-8866-726579c7e161"]}],"mendeley":{"formattedCitation":"[1]","plainTextFormattedCitation":"[1]","previouslyFormattedCitation":"(Watson and Tellegen)"},"properties":{"noteIndex":0},"schema":"https://github.com/citation-style-language/schema/raw/master/csl-citation.json"}</w:instrText>
      </w:r>
      <w:r w:rsidR="00BB7367" w:rsidRPr="0099355B">
        <w:fldChar w:fldCharType="separate"/>
      </w:r>
      <w:r w:rsidR="003D6B31" w:rsidRPr="0099355B">
        <w:rPr>
          <w:noProof/>
        </w:rPr>
        <w:t>[1]</w:t>
      </w:r>
      <w:r w:rsidR="00BB7367" w:rsidRPr="0099355B">
        <w:fldChar w:fldCharType="end"/>
      </w:r>
      <w:r w:rsidR="00BB7367" w:rsidRPr="0099355B">
        <w:t>) and</w:t>
      </w:r>
      <w:r w:rsidR="00AF6412" w:rsidRPr="0099355B">
        <w:t xml:space="preserve"> change</w:t>
      </w:r>
      <w:r w:rsidR="00BB7367" w:rsidRPr="0099355B">
        <w:t>s</w:t>
      </w:r>
      <w:r w:rsidR="00AF6412" w:rsidRPr="0099355B">
        <w:t xml:space="preserve"> in a linear and additive fashion</w:t>
      </w:r>
      <w:r w:rsidR="007F6B5A" w:rsidRPr="0099355B">
        <w:t xml:space="preserve"> (</w:t>
      </w:r>
      <w:r w:rsidR="00AF6412" w:rsidRPr="0099355B">
        <w:t>e.g., depression at one month = change + depression at baseline</w:t>
      </w:r>
      <w:r w:rsidR="007F6B5A" w:rsidRPr="0099355B">
        <w:t>)</w:t>
      </w:r>
      <w:r w:rsidR="00AF6412" w:rsidRPr="0099355B">
        <w:t>.</w:t>
      </w:r>
      <w:r w:rsidR="00891451" w:rsidRPr="0099355B">
        <w:t xml:space="preserve"> </w:t>
      </w:r>
      <w:r w:rsidR="00F13C87" w:rsidRPr="0099355B">
        <w:t>The p</w:t>
      </w:r>
      <w:r w:rsidR="00A83FAA" w:rsidRPr="0099355B">
        <w:t>revalence of additive models come</w:t>
      </w:r>
      <w:r w:rsidR="00BB7367" w:rsidRPr="0099355B">
        <w:t>s</w:t>
      </w:r>
      <w:r w:rsidR="00A83FAA" w:rsidRPr="0099355B">
        <w:t xml:space="preserve"> from statistical conventions and lack of alternatives</w:t>
      </w:r>
      <w:r w:rsidR="00891451" w:rsidRPr="0099355B">
        <w:t xml:space="preserve">, </w:t>
      </w:r>
      <w:r w:rsidR="006868ED" w:rsidRPr="0099355B">
        <w:t xml:space="preserve">rather than theoretical basis or empirical observations, </w:t>
      </w:r>
      <w:r w:rsidR="00891451" w:rsidRPr="0099355B">
        <w:t xml:space="preserve">leading to methodological rigidity that can hinder psychopathology research. For example, research has found treatment-induced change in psychopathology </w:t>
      </w:r>
      <w:r w:rsidR="002161E3" w:rsidRPr="0099355B">
        <w:t>to</w:t>
      </w:r>
      <w:r w:rsidR="00891451" w:rsidRPr="0099355B">
        <w:t xml:space="preserve"> show multiplicative patterns: </w:t>
      </w:r>
      <w:r w:rsidR="004C180E">
        <w:t>P</w:t>
      </w:r>
      <w:r w:rsidR="00891451" w:rsidRPr="0099355B">
        <w:t>sychotherapy can result in change</w:t>
      </w:r>
      <w:r w:rsidR="008F5E86" w:rsidRPr="0099355B">
        <w:t>s</w:t>
      </w:r>
      <w:r w:rsidR="00891451" w:rsidRPr="0099355B">
        <w:t xml:space="preserve"> proportional to the baseline symptoms where</w:t>
      </w:r>
      <w:r w:rsidR="003962B5">
        <w:t>in</w:t>
      </w:r>
      <w:r w:rsidR="00891451" w:rsidRPr="0099355B">
        <w:t xml:space="preserve"> post-treatment symptom severity = treatment effect </w:t>
      </w:r>
      <m:oMath>
        <m:r>
          <w:rPr>
            <w:rFonts w:ascii="Cambria Math" w:hAnsi="Cambria Math"/>
          </w:rPr>
          <m:t>×</m:t>
        </m:r>
      </m:oMath>
      <w:r w:rsidR="00891451" w:rsidRPr="0099355B">
        <w:t xml:space="preserve"> pre-treatment severity </w:t>
      </w:r>
      <w:r w:rsidR="00891451" w:rsidRPr="0099355B">
        <w:rPr>
          <w:rStyle w:val="FootnoteReference"/>
        </w:rPr>
        <w:fldChar w:fldCharType="begin" w:fldLock="1"/>
      </w:r>
      <w:r w:rsidR="003D6B31" w:rsidRPr="0099355B">
        <w:instrText>ADDIN CSL_CITATION {"citationItems":[{"id":"ITEM-1","itemData":{"DOI":"10.1016/J.BETH.2016.09.003","ISSN":"0005-7894","abstract":"Cognitive-behavioral therapy (CBT) for depression is highly effective. An essential element of this therapy involves acquiring and utilizing CBT skills; however, it is unclear whether the type of CBT skill used is associated with differential symptom alleviation. Outpatients (N = 356) diagnosed with a primary mood disorder received 14 two-hour group sessions of CBT for depression, using the Mind Over Mood protocol. In each session, patients completed the Beck Depression Inventory and throughout the week they reported on their use of CBT skills: behavioral activation (BA), cognitive restructuring (CR), and core belief (CB) strategies. Bivariate latent difference score (LDS) longitudinal analyses were used to examine patterns of differential skill use and subsequent symptom change, and multigroup LDS analyses were used to determine whether longitudinal associations differed as a function of initial depression severity. Higher levels of BA use were associated with a greater subsequent decrease in depressive symptoms for patients with mild to moderate initial depression symptoms relative to those with severe symptoms. Higher levels of CR use were associated with a greater subsequent decrease in depressive symptoms, whereas higher levels of CB use were followed by a subsequent increase in depressive symptoms, regardless of initial severity. Results indicated that the type of CBT skill used is associated with differential patterns of subsequent symptom change. BA use was associated with differential subsequent change as a function of initial severity (patients with less severe depression symptoms demonstrated greater symptom improvement), whereas CR use was associated with symptom alleviation and CB use with an increase in subsequent symptoms as related to initial severity.","author":[{"dropping-particle":"","family":"Hawley","given":"Lance L.","non-dropping-particle":"","parse-names":false,"suffix":""},{"dropping-particle":"","family":"Padesky","given":"Christine A.","non-dropping-particle":"","parse-names":false,"suffix":""},{"dropping-particle":"","family":"Hollon","given":"Steven D.","non-dropping-particle":"","parse-names":false,"suffix":""},{"dropping-particle":"","family":"Mancuso","given":"Enza","non-dropping-particle":"","parse-names":false,"suffix":""},{"dropping-particle":"","family":"Laposa","given":"Judith M.","non-dropping-particle":"","parse-names":false,"suffix":""},{"dropping-particle":"","family":"Brozina","given":"Karen","non-dropping-particle":"","parse-names":false,"suffix":""},{"dropping-particle":"V.","family":"Segal","given":"Zindel","non-dropping-particle":"","parse-names":false,"suffix":""}],"container-title":"Behavior Therapy","id":"ITEM-1","issue":"1","issued":{"date-parts":[["2017","1","1"]]},"page":"29-44","publisher":"Elsevier","title":"Cognitive-Behavioral Therapy for Depression Using Mind Over Mood: CBT Skill Use and Differential Symptom Alleviation","type":"article-journal","volume":"48"},"uris":["http://www.mendeley.com/documents/?uuid=2b2a3599-9b08-3d88-82ac-74ca75a437f1"]},{"id":"ITEM-2","itemData":{"DOI":"10.1371/journal.pone.0139119","ISBN":"1932-6203(Electronic)","ISSN":"19326203","PMID":"26418357","abstract":"The stability of post-traumatic growth over time and the relationship between post-traumatic growth and traditional distress outcomes remains unclear. We tracked post-traumatic growth in a population-based sample of colorectal cancer patients from soon after diagnosis to five years subsequently to assess the heterogeneity of a post-traumatic growth response to cancer over time and describe the simultaneous and longitudinal relationships between post-traumatic growth and psychological distress. 1966 colorectal patients who were five months post diagnosis were assessed six times over a five year period. There was consid-erable heterogeneity associated with both psychological distress and benefit finding scores over time. However, both for benefit finding and psychological distress, the variation in indi-vidual scores suggested an underlying positive linear trend and both lagged and lagged change components. Specifically, benefit finding and psychological distress are mutual leading indicators of each other. First, benefit finding served as a leading indicator of dis-tress, in that increases in reported benefit finding from year to year predicted higher future increases in psychological distress. As well, in an inverse relationship, psychological dis-tress served as a leading indicator of benefit finding, such that increases in reported distress from year to year predicted lower future increases in benefit finding. Post-traumatic growth may reflect patients coping efforts to enhance perceptions of wellbeing in response to esca-lating cancer–related threats, acting as harbinger of increasing trajectories of psychological distress. This explanation is consistent with a cognitive dissonance response in which threats to the integrity of the self then lead to a tendency to accentuate positive aspects of the self.","author":[{"dropping-particle":"","family":"Occhipinti","given":"Stefano","non-dropping-particle":"","parse-names":false,"suffix":""},{"dropping-particle":"","family":"Chambers","given":"Suzanne K.","non-dropping-particle":"","parse-names":false,"suffix":""},{"dropping-particle":"","family":"Lepore","given":"Stephen","non-dropping-particle":"","parse-names":false,"suffix":""},{"dropping-particle":"","family":"Aitken","given":"Joanne","non-dropping-particle":"","parse-names":false,"suffix":""},{"dropping-particle":"","family":"Dunn","given":"Jeff","non-dropping-particle":"","parse-names":false,"suffix":""}],"container-title":"PLoS ONE","id":"ITEM-2","issue":"9","issued":{"date-parts":[["2015"]]},"page":"1-12","title":"A longitudinal study of post-traumatic growth and psychological distress in colorectal cancer survivors","type":"article-journal","volume":"10"},"uris":["http://www.mendeley.com/documents/?uuid=99f2cb82-affb-4efa-b1c1-b76b8d3ea0c5"]},{"id":"ITEM-3","itemData":{"DOI":"10.1016/J.BRAT.2015.04.005","ISSN":"0005-7967","abstract":"The present study investigated mechanisms of change for two group treatments for social anxiety disorder (SAD): cognitive behavioral group therapy (CBGT) and mindfulness and acceptance-based group therapy (MAGT). Participants were treatment completers (n = 37 for MAGT, n = 32 for CBGT) from a randomized clinical trial. Cognitive reappraisal was the hypothesized mechanism of change for CBGT. Mindfulness and acceptance were hypothesized mechanisms of change for MAGT. Latent difference score (LDS) analysis results demonstrate that cognitive reappraisal coupling (in which cognitive reappraisal is negatively associated with the subsequent rate of change in social anxiety) had a greater impact on social anxiety for CBGT than MAGT. The LDS bidirectional mindfulness model (mindfulness predicts subsequent change in social anxiety; social anxiety predicts subsequent change in mindfulness) was supported for both treatments. Results for acceptance were less clear. Cognitive reappraisal may be a more important mechanism of change for CBGT than MAGT, whereas mindfulness may be an important mechanism of change for both treatments.","author":[{"dropping-particle":"","family":"Kocovski","given":"Nancy L.","non-dropping-particle":"","parse-names":false,"suffix":""},{"dropping-particle":"","family":"Fleming","given":"Jan E.","non-dropping-particle":"","parse-names":false,"suffix":""},{"dropping-particle":"","family":"Hawley","given":"Lance L.","non-dropping-particle":"","parse-names":false,"suffix":""},{"dropping-particle":"","family":"Ho","given":"Moon-Ho Ringo","non-dropping-particle":"","parse-names":false,"suffix":""},{"dropping-particle":"","family":"Antony","given":"Martin M.","non-dropping-particle":"","parse-names":false,"suffix":""}],"container-title":"Behaviour Research and Therapy","id":"ITEM-3","issued":{"date-parts":[["2015","7","1"]]},"page":"11-22","publisher":"Pergamon","title":"Mindfulness and acceptance-based group therapy and traditional cognitive behavioral group therapy for social anxiety disorder: Mechanisms of change","type":"article-journal","volume":"70"},"uris":["http://www.mendeley.com/documents/?uuid=3db59c88-ea1c-3823-857c-7874b9f5ddd1"]}],"mendeley":{"formattedCitation":"[2]–[4]","plainTextFormattedCitation":"[2]–[4]","previouslyFormattedCitation":"(Hawley et al.; Occhipinti et al.; Kocovski et al.)"},"properties":{"noteIndex":0},"schema":"https://github.com/citation-style-language/schema/raw/master/csl-citation.json"}</w:instrText>
      </w:r>
      <w:r w:rsidR="00891451" w:rsidRPr="0099355B">
        <w:rPr>
          <w:rStyle w:val="FootnoteReference"/>
        </w:rPr>
        <w:fldChar w:fldCharType="separate"/>
      </w:r>
      <w:r w:rsidR="003D6B31" w:rsidRPr="0099355B">
        <w:rPr>
          <w:noProof/>
        </w:rPr>
        <w:t>[2]–[4]</w:t>
      </w:r>
      <w:r w:rsidR="00891451" w:rsidRPr="0099355B">
        <w:rPr>
          <w:rStyle w:val="FootnoteReference"/>
        </w:rPr>
        <w:fldChar w:fldCharType="end"/>
      </w:r>
      <w:r w:rsidR="00891451" w:rsidRPr="0099355B">
        <w:t xml:space="preserve">. </w:t>
      </w:r>
      <w:r w:rsidR="002161E3" w:rsidRPr="0099355B">
        <w:t xml:space="preserve">Thus, we propose </w:t>
      </w:r>
      <w:r w:rsidR="002161E3" w:rsidRPr="0099355B">
        <w:rPr>
          <w:i/>
        </w:rPr>
        <w:t>multiplicative models</w:t>
      </w:r>
      <w:r w:rsidR="002161E3" w:rsidRPr="0099355B">
        <w:t xml:space="preserve"> </w:t>
      </w:r>
      <w:r w:rsidR="00AA5FF7" w:rsidRPr="0099355B">
        <w:t xml:space="preserve">(MM) </w:t>
      </w:r>
      <w:r w:rsidR="00E77BA4" w:rsidRPr="0099355B">
        <w:t>that</w:t>
      </w:r>
      <w:r w:rsidR="007F187D" w:rsidRPr="0099355B">
        <w:t xml:space="preserve"> depict psychopathology</w:t>
      </w:r>
      <w:r w:rsidR="00E77BA4" w:rsidRPr="0099355B">
        <w:t xml:space="preserve"> with greater flexibility and</w:t>
      </w:r>
      <w:r w:rsidR="00C21710">
        <w:t xml:space="preserve"> higher</w:t>
      </w:r>
      <w:r w:rsidR="00E77BA4" w:rsidRPr="0099355B">
        <w:t xml:space="preserve"> faithfulness</w:t>
      </w:r>
      <w:r w:rsidR="007F187D" w:rsidRPr="0099355B">
        <w:t>.</w:t>
      </w:r>
      <w:r w:rsidR="00AF6412" w:rsidRPr="0099355B">
        <w:t xml:space="preserve"> </w:t>
      </w:r>
    </w:p>
    <w:p w14:paraId="036A9995" w14:textId="41ACBFDB" w:rsidR="00E97B0D" w:rsidRPr="0099355B" w:rsidRDefault="00AA5FF7" w:rsidP="00214B0D">
      <w:pPr>
        <w:ind w:firstLine="720"/>
      </w:pPr>
      <w:r w:rsidRPr="0099355B">
        <w:t>MMs</w:t>
      </w:r>
      <w:r w:rsidR="00E33A09" w:rsidRPr="0099355B">
        <w:t xml:space="preserve"> represent psychopathology more faithful</w:t>
      </w:r>
      <w:r w:rsidR="00BB7367" w:rsidRPr="0099355B">
        <w:t>ly</w:t>
      </w:r>
      <w:r w:rsidR="00E33A09" w:rsidRPr="0099355B">
        <w:t xml:space="preserve"> than </w:t>
      </w:r>
      <w:r w:rsidRPr="0099355B">
        <w:t>AMs</w:t>
      </w:r>
      <w:r w:rsidR="002D31C9" w:rsidRPr="0099355B">
        <w:t>.</w:t>
      </w:r>
      <w:r w:rsidR="001F3DE3" w:rsidRPr="0099355B">
        <w:t xml:space="preserve"> </w:t>
      </w:r>
      <w:r w:rsidRPr="0099355B">
        <w:t>AMs</w:t>
      </w:r>
      <w:r w:rsidR="001F3DE3" w:rsidRPr="0099355B">
        <w:t xml:space="preserve"> </w:t>
      </w:r>
      <w:r w:rsidR="00E77BA4" w:rsidRPr="0099355B">
        <w:t>impl</w:t>
      </w:r>
      <w:r w:rsidR="00F13C87" w:rsidRPr="0099355B">
        <w:t>y</w:t>
      </w:r>
      <w:r w:rsidR="00DC3ACC" w:rsidRPr="0099355B">
        <w:t xml:space="preserve"> </w:t>
      </w:r>
      <w:r w:rsidR="001F3DE3" w:rsidRPr="0099355B">
        <w:t>normality</w:t>
      </w:r>
      <w:r w:rsidR="00E77BA4" w:rsidRPr="0099355B">
        <w:t xml:space="preserve"> of the psychopathology construct</w:t>
      </w:r>
      <w:r w:rsidR="002D31C9" w:rsidRPr="0099355B">
        <w:t xml:space="preserve"> </w:t>
      </w:r>
      <w:r w:rsidR="002D31C9" w:rsidRPr="0099355B">
        <w:fldChar w:fldCharType="begin" w:fldLock="1"/>
      </w:r>
      <w:r w:rsidR="003D6B31" w:rsidRPr="0099355B">
        <w:instrText>ADDIN CSL_CITATION {"citationItems":[{"id":"ITEM-1","itemData":{"DOI":"10.1080/03461238.1928.10416862","ISSN":"0346-1238","abstract":"1. By a variable in the sense of the Theory of Probability we mean a quantity z, which may assume certain real values with certain probahilities. We shall call V(t) the probability function of z if, for every real t, V(t) is equal to the probabiliby that z has a value &lt; t, increased by half the probability that z has exactly the value t.","author":[{"dropping-particle":"","family":"Cramér","given":"Harald","non-dropping-particle":"","parse-names":false,"suffix":""}],"container-title":"Scandinavian Actuarial Journal","id":"ITEM-1","issue":"1","issued":{"date-parts":[["1928","1","1"]]},"note":"doi: 10.1080/03461238.1928.10416862","page":"13-74","publisher":"Taylor &amp; Francis","title":"On the composition of elementary errors","type":"article-journal","volume":"1928"},"uris":["http://www.mendeley.com/documents/?uuid=6ebd5cac-44b7-496a-9f87-556ea5b42889"]}],"mendeley":{"formattedCitation":"[5]","plainTextFormattedCitation":"[5]","previouslyFormattedCitation":"(Cramér)"},"properties":{"noteIndex":0},"schema":"https://github.com/citation-style-language/schema/raw/master/csl-citation.json"}</w:instrText>
      </w:r>
      <w:r w:rsidR="002D31C9" w:rsidRPr="0099355B">
        <w:fldChar w:fldCharType="separate"/>
      </w:r>
      <w:r w:rsidR="003D6B31" w:rsidRPr="0099355B">
        <w:rPr>
          <w:noProof/>
        </w:rPr>
        <w:t>[5]</w:t>
      </w:r>
      <w:r w:rsidR="002D31C9" w:rsidRPr="0099355B">
        <w:fldChar w:fldCharType="end"/>
      </w:r>
      <w:r w:rsidR="002D31C9" w:rsidRPr="0099355B">
        <w:t>.</w:t>
      </w:r>
      <w:r w:rsidR="00E33A09" w:rsidRPr="0099355B">
        <w:t xml:space="preserve"> </w:t>
      </w:r>
      <w:r w:rsidR="001E02B1" w:rsidRPr="0099355B">
        <w:t xml:space="preserve">Normality in psychopathology </w:t>
      </w:r>
      <w:r w:rsidR="009413B1" w:rsidRPr="0099355B">
        <w:t>suggest</w:t>
      </w:r>
      <w:r w:rsidR="001E02B1" w:rsidRPr="0099355B">
        <w:t xml:space="preserve"> that those who score low on psychopathology </w:t>
      </w:r>
      <w:r w:rsidR="009413B1" w:rsidRPr="0099355B">
        <w:t>are</w:t>
      </w:r>
      <w:r w:rsidR="001E02B1" w:rsidRPr="0099355B">
        <w:t xml:space="preserve"> as rare as those who score high on psychopathology and </w:t>
      </w:r>
      <w:r w:rsidR="003962B5">
        <w:t xml:space="preserve">that </w:t>
      </w:r>
      <w:r w:rsidR="001E02B1" w:rsidRPr="0099355B">
        <w:t xml:space="preserve">such proportions are symmetric. In the general population, however, empirical research </w:t>
      </w:r>
      <w:r w:rsidR="008F5E86" w:rsidRPr="0099355B">
        <w:t>shows that data collected on</w:t>
      </w:r>
      <w:r w:rsidR="00EE29CA" w:rsidRPr="0099355B">
        <w:t xml:space="preserve"> </w:t>
      </w:r>
      <w:r w:rsidR="008F5E86" w:rsidRPr="0099355B">
        <w:t xml:space="preserve">psychopathology follow </w:t>
      </w:r>
      <w:r w:rsidR="00EE29CA" w:rsidRPr="0099355B">
        <w:t>lognormality</w:t>
      </w:r>
      <w:r w:rsidR="008F5E86" w:rsidRPr="0099355B">
        <w:t xml:space="preserve">. That is, the data are asymmetrically distributed with the majority of the population scoring low on indices of psychopathology and sizably smaller proportion of the population showing high severity </w:t>
      </w:r>
      <w:r w:rsidR="00025F57" w:rsidRPr="0099355B">
        <w:fldChar w:fldCharType="begin" w:fldLock="1"/>
      </w:r>
      <w:r w:rsidR="003D6B31" w:rsidRPr="0099355B">
        <w:instrText>ADDIN CSL_CITATION {"citationItems":[{"id":"ITEM-1","itemData":{"DOI":"10.1186/1756-0500-7-636","ISSN":"1756-0500","author":[{"dropping-particle":"","family":"Tomitaka","given":"Shinichiro","non-dropping-particle":"","parse-names":false,"suffix":""},{"dropping-particle":"","family":"Furukawa","given":"Toshiaki A","non-dropping-particle":"","parse-names":false,"suffix":""}],"container-title":"BMC Research Notes","id":"ITEM-1","issue":"1","issued":{"date-parts":[["2014"]]},"page":"636","title":"Mathematical model for the distribution of major depressive episode durations","type":"article-journal","volume":"7"},"uris":["http://www.mendeley.com/documents/?uuid=4ab89b4b-bd58-41cb-b8ea-2d083c8afee3"]},{"id":"ITEM-2","itemData":{"DOI":"10.1371/journal.pone.0147577","ISSN":"1932-6203","author":[{"dropping-particle":"","family":"Tomitaka","given":"Shinichiro","non-dropping-particle":"","parse-names":false,"suffix":""},{"dropping-particle":"","family":"Kawasaki","given":"Yohei","non-dropping-particle":"","parse-names":false,"suffix":""},{"dropping-particle":"","family":"Ide","given":"Kazuki","non-dropping-particle":"","parse-names":false,"suffix":""},{"dropping-particle":"","family":"Yamada","given":"Hiroshi","non-dropping-particle":"","parse-names":false,"suffix":""},{"dropping-particle":"","family":"Miyake","given":"Hirotsugu","non-dropping-particle":"","parse-names":false,"suffix":""},{"dropping-particle":"","family":"Furukaw","given":"Toshiaki A.","non-dropping-particle":"","parse-names":false,"suffix":""}],"container-title":"PLOS ONE","editor":[{"dropping-particle":"","family":"Hashimoto","given":"Kenji","non-dropping-particle":"","parse-names":false,"suffix":""}],"id":"ITEM-2","issue":"1","issued":{"date-parts":[["2016","1","26"]]},"page":"e0147577","title":"Distribution of Total Depressive Symptoms Scores and Each Depressive Symptom Item in a Sample of Japanese Employees","type":"article-journal","volume":"11"},"uris":["http://www.mendeley.com/documents/?uuid=c47a2d9f-2258-40c4-bb52-e590aac7e9ad"]}],"mendeley":{"formattedCitation":"[6], [7]","plainTextFormattedCitation":"[6], [7]","previouslyFormattedCitation":"(Tomitaka and Furukawa; Tomitaka et al.)"},"properties":{"noteIndex":0},"schema":"https://github.com/citation-style-language/schema/raw/master/csl-citation.json"}</w:instrText>
      </w:r>
      <w:r w:rsidR="00025F57" w:rsidRPr="0099355B">
        <w:fldChar w:fldCharType="separate"/>
      </w:r>
      <w:r w:rsidR="003D6B31" w:rsidRPr="0099355B">
        <w:rPr>
          <w:noProof/>
        </w:rPr>
        <w:t>[6], [7]</w:t>
      </w:r>
      <w:r w:rsidR="00025F57" w:rsidRPr="0099355B">
        <w:fldChar w:fldCharType="end"/>
      </w:r>
      <w:r w:rsidR="001E02B1" w:rsidRPr="0099355B">
        <w:t>.</w:t>
      </w:r>
      <w:r w:rsidR="00971D21" w:rsidRPr="0099355B">
        <w:t xml:space="preserve"> </w:t>
      </w:r>
      <w:r w:rsidR="003D3644" w:rsidRPr="0099355B">
        <w:t>Thus, l</w:t>
      </w:r>
      <w:r w:rsidR="00FE169A" w:rsidRPr="0099355B">
        <w:t>ognormality</w:t>
      </w:r>
      <w:r w:rsidR="00E150C2" w:rsidRPr="0099355B">
        <w:t xml:space="preserve"> from MMs</w:t>
      </w:r>
      <w:r w:rsidR="00FE169A" w:rsidRPr="0099355B">
        <w:t xml:space="preserve"> may better describe </w:t>
      </w:r>
      <w:r w:rsidR="00BB7367" w:rsidRPr="0099355B">
        <w:t>psychopatholog</w:t>
      </w:r>
      <w:r w:rsidR="009413B1" w:rsidRPr="0099355B">
        <w:t>y</w:t>
      </w:r>
      <w:r w:rsidR="00E77BA4" w:rsidRPr="0099355B">
        <w:t xml:space="preserve"> </w:t>
      </w:r>
      <w:r w:rsidR="00A10E47" w:rsidRPr="0099355B">
        <w:fldChar w:fldCharType="begin" w:fldLock="1"/>
      </w:r>
      <w:r w:rsidR="003D6B31" w:rsidRPr="0099355B">
        <w:instrText>ADDIN CSL_CITATION {"citationItems":[{"id":"ITEM-1","itemData":{"author":[{"dropping-particle":"","family":"Gibrat","given":"R","non-dropping-particle":"","parse-names":false,"suffix":""}],"edition":"1","id":"ITEM-1","issued":{"date-parts":[["1931"]]},"publisher":"Recueil Sirey","publisher-place":"Paris, France","title":"Les Inégalités économiques","type":"book"},"uris":["http://www.mendeley.com/documents/?uuid=0034ecec-f0b7-4c04-b907-b700ab8bfa50"]},{"id":"ITEM-2","itemData":{"DOI":"10.1641/0006-3568(2001)051[0341:LNDATS]2.0.CO;2","ISBN":"0122862805","ISSN":"0006-3568","PMID":"19756546","abstract":"As the need grows for conceptualization, formalization, and abstraction in biology, so too does mathematics' relevance to the field (Fagerström et al. 1996). Mathematics is particularly important for analyzing and characterizing random variation of, for example, size and weight of individuals in populations, their sensitivity to chemicals, and time-to-event cases, such as the amount of time an individual needs to recover from illness. The frequency distribution of such data is a major factor determining the type of statistical analysis that can be validly carried out on any data set. Many widely used statistical methods, such as ANOVA (analysis of variance) and regression analysis, require that the data be normally distributed, but only rarely is the frequency distribution of data tested when these techniques are used. The Gaussian (normal) distribution is most often assumed to describe the random variation that occurs in the data from many scientific disciplines; the well-known bell-shaped curve can easily be characterized and described by two values: the arithmetic mean &lt;private-char description='[xmacr]' name='xmacr' value='xmacr'/&gt; and the standard deviation s, so that data sets are commonly described by the expression &lt;private-char description='[xmacr]' name='xmacr' value='xmacr'/&gt; ± s. A historical example of a normal distribution is that of chest measurements of Scottish soldiers made by Quetelet, Belgian founder of modern social statistics (Swoboda 1974). In addition, such disparate phenomena as milk production by cows and random deviations from target values in industrial processes fit a normal distribution. However, many measurements show a more or less skewed distribution. Skewed distributions are particularly common when mean values are low, variances large, and values cannot be negative, as is the case, for example, with species abundance, lengths of latent periods of infectious diseases, and distribution of mineral resources in the Earth's crust. Such skewed distributions often closely fit the log-normal distribution (Aitchison and Brown 1957, Crow and Shimizu 1988, Lee 1992, Johnson et al. 1994, Sachs 1997). Examples fitting the normal distribution, which is symmetrical, and the log-normal distribution, which is skewed, are given in Figure 1. Note that body height fits both distributions. Often, biological mechanisms induce log-normal distributions (Koch 1966), as when, for instance, exponential growth is combined with further symmetrical…","author":[{"dropping-particle":"","family":"Limpert","given":"Eckhard","non-dropping-particle":"","parse-names":false,"suffix":""},{"dropping-particle":"","family":"Stahel","given":"Werner A.","non-dropping-particle":"","parse-names":false,"suffix":""},{"dropping-particle":"","family":"Abbt","given":"Markus","non-dropping-particle":"","parse-names":false,"suffix":""}],"container-title":"BioScience","id":"ITEM-2","issue":"5","issued":{"date-parts":[["2001"]]},"page":"341","title":"Log-normal Distributions across the Sciences: Keys and Clues","type":"article-journal","volume":"51"},"uris":["http://www.mendeley.com/documents/?uuid=d40340f9-6c8c-4c4d-8ad6-412168fbc4c2"]}],"mendeley":{"formattedCitation":"[8], [9]","plainTextFormattedCitation":"[8], [9]","previouslyFormattedCitation":"(Gibrat; Limpert et al.)"},"properties":{"noteIndex":0},"schema":"https://github.com/citation-style-language/schema/raw/master/csl-citation.json"}</w:instrText>
      </w:r>
      <w:r w:rsidR="00A10E47" w:rsidRPr="0099355B">
        <w:fldChar w:fldCharType="separate"/>
      </w:r>
      <w:r w:rsidR="003D6B31" w:rsidRPr="0099355B">
        <w:rPr>
          <w:noProof/>
        </w:rPr>
        <w:t>[8], [9]</w:t>
      </w:r>
      <w:r w:rsidR="00A10E47" w:rsidRPr="0099355B">
        <w:fldChar w:fldCharType="end"/>
      </w:r>
      <w:r w:rsidR="00A10E47" w:rsidRPr="0099355B">
        <w:t xml:space="preserve">. </w:t>
      </w:r>
    </w:p>
    <w:p w14:paraId="6722626F" w14:textId="6050E775" w:rsidR="00E97B0D" w:rsidRPr="0099355B" w:rsidRDefault="00E97B0D" w:rsidP="00214B0D">
      <w:pPr>
        <w:ind w:firstLine="720"/>
      </w:pPr>
      <w:r w:rsidRPr="0099355B">
        <w:t>Conceptually</w:t>
      </w:r>
      <w:r w:rsidR="000D3893" w:rsidRPr="0099355B">
        <w:t xml:space="preserve">, </w:t>
      </w:r>
      <w:r w:rsidR="00DA753D" w:rsidRPr="0099355B">
        <w:t xml:space="preserve">lognormality in </w:t>
      </w:r>
      <w:r w:rsidR="00E150C2" w:rsidRPr="0099355B">
        <w:t xml:space="preserve">MMs </w:t>
      </w:r>
      <w:r w:rsidR="00C52179" w:rsidRPr="0099355B">
        <w:t>highlights the importance of idiosyncratic characteristics and intra-individual dynamics in assessing severe psychopathology</w:t>
      </w:r>
      <w:r w:rsidR="0031065E" w:rsidRPr="0099355B">
        <w:t xml:space="preserve"> (e.g., </w:t>
      </w:r>
      <w:r w:rsidR="00191F30" w:rsidRPr="0099355B">
        <w:fldChar w:fldCharType="begin" w:fldLock="1"/>
      </w:r>
      <w:r w:rsidR="003D6B31" w:rsidRPr="0099355B">
        <w:instrText>ADDIN CSL_CITATION {"citationItems":[{"id":"ITEM-1","itemData":{"DOI":"10.1007/BF01183269","ISSN":"0147-5916","author":[{"dropping-particle":"V.","family":"Fennell","given":"Melanie J.","non-dropping-particle":"","parse-names":false,"suffix":""},{"dropping-particle":"","family":"Teasdale","given":"John D.","non-dropping-particle":"","parse-names":false,"suffix":""}],"container-title":"Cognitive Therapy and Research","id":"ITEM-1","issue":"2","issued":{"date-parts":[["1987","4"]]},"page":"253-271","title":"Cognitive therapy for depression: Individual differences and the process of change","type":"article-journal","volume":"11"},"uris":["http://www.mendeley.com/documents/?uuid=d87b3fee-fd4f-49dd-afc3-db0377002e2e"]}],"mendeley":{"formattedCitation":"[10]","plainTextFormattedCitation":"[10]","previouslyFormattedCitation":"(Fennell and Teasdale)"},"properties":{"noteIndex":0},"schema":"https://github.com/citation-style-language/schema/raw/master/csl-citation.json"}</w:instrText>
      </w:r>
      <w:r w:rsidR="00191F30" w:rsidRPr="0099355B">
        <w:fldChar w:fldCharType="separate"/>
      </w:r>
      <w:r w:rsidR="003D6B31" w:rsidRPr="0099355B">
        <w:rPr>
          <w:noProof/>
        </w:rPr>
        <w:t>[10]</w:t>
      </w:r>
      <w:r w:rsidR="00191F30" w:rsidRPr="0099355B">
        <w:fldChar w:fldCharType="end"/>
      </w:r>
      <w:r w:rsidR="00191F30" w:rsidRPr="0099355B">
        <w:t>)</w:t>
      </w:r>
      <w:r w:rsidR="005B55A7" w:rsidRPr="0099355B">
        <w:t>.</w:t>
      </w:r>
      <w:r w:rsidR="00214B0D" w:rsidRPr="0099355B">
        <w:t xml:space="preserve"> </w:t>
      </w:r>
      <w:r w:rsidRPr="0099355B">
        <w:t>As the variance in lognormal distribution changes given its median, individuals with high severity exhibit highly occasion-varying and person-specific symptoms.</w:t>
      </w:r>
    </w:p>
    <w:p w14:paraId="59BD6A64" w14:textId="382BFDCF" w:rsidR="00AF6412" w:rsidRPr="0099355B" w:rsidRDefault="00E97B0D" w:rsidP="00214B0D">
      <w:pPr>
        <w:ind w:firstLine="720"/>
      </w:pPr>
      <w:r w:rsidRPr="0099355B">
        <w:t>Methodologically</w:t>
      </w:r>
      <w:r w:rsidR="00F2648E" w:rsidRPr="0099355B">
        <w:t>,</w:t>
      </w:r>
      <w:r w:rsidR="004220F6" w:rsidRPr="0099355B">
        <w:t xml:space="preserve"> </w:t>
      </w:r>
      <w:r w:rsidR="00DE2133" w:rsidRPr="0099355B">
        <w:t xml:space="preserve">misusing </w:t>
      </w:r>
      <w:r w:rsidR="005F4BB6" w:rsidRPr="0099355B">
        <w:t>AMs</w:t>
      </w:r>
      <w:r w:rsidR="00FF0624" w:rsidRPr="0099355B">
        <w:t xml:space="preserve"> </w:t>
      </w:r>
      <w:r w:rsidR="003A0617" w:rsidRPr="0099355B">
        <w:t xml:space="preserve">can lead to </w:t>
      </w:r>
      <w:r w:rsidR="00AF0C14" w:rsidRPr="0099355B">
        <w:t xml:space="preserve">underpowered studies with </w:t>
      </w:r>
      <w:r w:rsidR="003A0617" w:rsidRPr="0099355B">
        <w:t>as low as</w:t>
      </w:r>
      <w:r w:rsidR="00354A7E" w:rsidRPr="0099355B">
        <w:t xml:space="preserve"> 25%</w:t>
      </w:r>
      <w:r w:rsidR="003A0617" w:rsidRPr="0099355B">
        <w:t xml:space="preserve"> statistical power </w:t>
      </w:r>
      <w:r w:rsidR="00480FC9">
        <w:t>compared to</w:t>
      </w:r>
      <w:r w:rsidR="003A0617" w:rsidRPr="0099355B">
        <w:t xml:space="preserve"> that of </w:t>
      </w:r>
      <w:r w:rsidR="005F4BB6" w:rsidRPr="0099355B">
        <w:t>MMs</w:t>
      </w:r>
      <w:r w:rsidR="003910FC" w:rsidRPr="0099355B">
        <w:t>.</w:t>
      </w:r>
      <w:r w:rsidR="00F2648E" w:rsidRPr="0099355B">
        <w:t xml:space="preserve"> </w:t>
      </w:r>
      <w:r w:rsidR="003910FC" w:rsidRPr="0099355B">
        <w:t>Thus</w:t>
      </w:r>
      <w:r w:rsidR="00F2648E" w:rsidRPr="0099355B">
        <w:t xml:space="preserve">, </w:t>
      </w:r>
      <w:r w:rsidR="003910FC" w:rsidRPr="0099355B">
        <w:t xml:space="preserve">when correctly specified, </w:t>
      </w:r>
      <w:r w:rsidR="00F2648E" w:rsidRPr="0099355B">
        <w:t xml:space="preserve">MMs can </w:t>
      </w:r>
      <w:r w:rsidR="0026574B">
        <w:t>have</w:t>
      </w:r>
      <w:r w:rsidR="00F2648E" w:rsidRPr="0099355B">
        <w:t xml:space="preserve"> lower sample size</w:t>
      </w:r>
      <w:r w:rsidR="0026574B">
        <w:t xml:space="preserve"> requirement</w:t>
      </w:r>
      <w:r w:rsidR="00F2648E" w:rsidRPr="0099355B">
        <w:t xml:space="preserve">, which can </w:t>
      </w:r>
      <w:r w:rsidR="00426A71">
        <w:t xml:space="preserve">lead to </w:t>
      </w:r>
      <w:r w:rsidR="00426A71" w:rsidRPr="0099355B">
        <w:t>greater cost-efficiency</w:t>
      </w:r>
      <w:r w:rsidR="00426A71">
        <w:t xml:space="preserve"> for</w:t>
      </w:r>
      <w:r w:rsidR="005803B6" w:rsidRPr="0099355B">
        <w:t xml:space="preserve"> </w:t>
      </w:r>
      <w:r w:rsidR="00426A71">
        <w:t>oftentimes-</w:t>
      </w:r>
      <w:r w:rsidR="00F2648E" w:rsidRPr="0099355B">
        <w:t xml:space="preserve">expensive clinical experiments </w:t>
      </w:r>
      <w:r w:rsidR="00AF0C14" w:rsidRPr="0099355B">
        <w:fldChar w:fldCharType="begin" w:fldLock="1"/>
      </w:r>
      <w:r w:rsidR="003D6B31" w:rsidRPr="0099355B">
        <w:instrText>ADDIN CSL_CITATION {"citationItems":[{"id":"ITEM-1","itemData":{"DOI":"10.1037/met0000222","ISSN":"1939-1463","author":[{"dropping-particle":"","family":"Liu","given":"Qimin","non-dropping-particle":"","parse-names":false,"suffix":""},{"dropping-particle":"","family":"Maxwell","given":"Scott E.","non-dropping-particle":"","parse-names":false,"suffix":""}],"container-title":"Psychological Methods","id":"ITEM-1","issued":{"date-parts":[["2019","6","13"]]},"title":"Multiplicative treatment effects in randomized pretest-posttest experimental designs.","type":"article-journal"},"uris":["http://www.mendeley.com/documents/?uuid=98bd01d5-b700-4ed8-824a-a824e4719081"]},{"id":"ITEM-2","itemData":{"DOI":"10.1126/science.aac4716","ISBN":"1095-9203 (Electronic)\\r0036-8075 (Linking)","ISSN":"0036-8075","PMID":"26315443","abstract":"Reproducibility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teams.","author":[{"dropping-particle":"","family":"Open Science Collaboration","given":"","non-dropping-particle":"","parse-names":false,"suffix":""}],"container-title":"Science","id":"ITEM-2","issue":"6251","issued":{"date-parts":[["2015","8","28"]]},"page":"aac4716-aac4716","title":"Estimating the reproducibility of psychological science","type":"article-journal","volume":"349"},"uris":["http://www.mendeley.com/documents/?uuid=10aa83c9-53b9-3a9a-9f21-1a7f0104337c"]},{"id":"ITEM-3","itemData":{"DOI":"10.1146/annurev-clinpsy-050718-095710","ISSN":"1548-5943","abstract":"Despite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science.","author":[{"dropping-particle":"","family":"Tackett","given":"Jennifer L.","non-dropping-particle":"","parse-names":false,"suffix":""},{"dropping-particle":"","family":"Brandes","given":"Cassandra M.","non-dropping-particle":"","parse-names":false,"suffix":""},{"dropping-particle":"","family":"King","given":"Kevin M.","non-dropping-particle":"","parse-names":false,"suffix":""},{"dropping-particle":"","family":"Markon","given":"Kristian E.","non-dropping-particle":"","parse-names":false,"suffix":""}],"container-title":"Annual Review of Clinical Psychology","id":"ITEM-3","issue":"1","issued":{"date-parts":[["2019","5","7"]]},"page":"579-604","title":"Psychology's Replication Crisis and Clinical Psychological Science","type":"article-journal","volume":"15"},"uris":["http://www.mendeley.com/documents/?uuid=4d649e58-1a13-40c5-9eac-da19ebbe0767"]},{"id":"ITEM-4","itemData":{"DOI":"10.1177/1745691612463401","ISSN":"1745-6916","author":[{"dropping-particle":"","family":"Pashler","given":"H.","non-dropping-particle":"","parse-names":false,"suffix":""},{"dropping-particle":"","family":"Harris","given":"C. R.","non-dropping-particle":"","parse-names":false,"suffix":""}],"container-title":"Perspectives on Psychological Science","id":"ITEM-4","issue":"6","issued":{"date-parts":[["2012","11","1"]]},"page":"531-536","title":"Is the Replicability Crisis Overblown? Three Arguments Examined","type":"article-journal","volume":"7"},"uris":["http://www.mendeley.com/documents/?uuid=a035e0a2-9c8c-3dfe-863c-4584dc05be87"]}],"mendeley":{"formattedCitation":"[11]–[14]","plainTextFormattedCitation":"[11]–[14]","previouslyFormattedCitation":"(Liu and Maxwell; Open Science Collaboration; Tackett et al.; Pashler and Harris)"},"properties":{"noteIndex":0},"schema":"https://github.com/citation-style-language/schema/raw/master/csl-citation.json"}</w:instrText>
      </w:r>
      <w:r w:rsidR="00AF0C14" w:rsidRPr="0099355B">
        <w:fldChar w:fldCharType="separate"/>
      </w:r>
      <w:r w:rsidR="003D6B31" w:rsidRPr="0099355B">
        <w:rPr>
          <w:noProof/>
        </w:rPr>
        <w:t>[11]–[14]</w:t>
      </w:r>
      <w:r w:rsidR="00AF0C14" w:rsidRPr="0099355B">
        <w:fldChar w:fldCharType="end"/>
      </w:r>
      <w:r w:rsidR="002D31C9" w:rsidRPr="0099355B">
        <w:t>.</w:t>
      </w:r>
      <w:r w:rsidR="005F08BE" w:rsidRPr="0099355B">
        <w:t xml:space="preserve"> </w:t>
      </w:r>
      <w:r w:rsidR="003910FC" w:rsidRPr="0099355B">
        <w:t>In addition</w:t>
      </w:r>
      <w:r w:rsidR="00DE2133" w:rsidRPr="0099355B">
        <w:t xml:space="preserve">, </w:t>
      </w:r>
      <w:r w:rsidR="004220F6" w:rsidRPr="0099355B">
        <w:t>MMs</w:t>
      </w:r>
      <w:r w:rsidR="00DE2133" w:rsidRPr="0099355B">
        <w:t xml:space="preserve"> are invariant across scales, intuitive in interpretation, and robust against outliers</w:t>
      </w:r>
      <w:r w:rsidR="009503A6" w:rsidRPr="0099355B">
        <w:t xml:space="preserve"> </w:t>
      </w:r>
      <w:r w:rsidR="009503A6" w:rsidRPr="0099355B">
        <w:fldChar w:fldCharType="begin" w:fldLock="1"/>
      </w:r>
      <w:r w:rsidR="003D6B31" w:rsidRPr="0099355B">
        <w:instrText>ADDIN CSL_CITATION {"citationItems":[{"id":"ITEM-1","itemData":{"DOI":"10.1037/met0000222","ISSN":"1939-1463","author":[{"dropping-particle":"","family":"Liu","given":"Qimin","non-dropping-particle":"","parse-names":false,"suffix":""},{"dropping-particle":"","family":"Maxwell","given":"Scott E.","non-dropping-particle":"","parse-names":false,"suffix":""}],"container-title":"Psychological Methods","id":"ITEM-1","issued":{"date-parts":[["2019","6","13"]]},"title":"Multiplicative treatment effects in randomized pretest-posttest experimental designs.","type":"article-journal"},"uris":["http://www.mendeley.com/documents/?uuid=98bd01d5-b700-4ed8-824a-a824e4719081"]}],"mendeley":{"formattedCitation":"[11]","plainTextFormattedCitation":"[11]","previouslyFormattedCitation":"(Liu and Maxwell)"},"properties":{"noteIndex":0},"schema":"https://github.com/citation-style-language/schema/raw/master/csl-citation.json"}</w:instrText>
      </w:r>
      <w:r w:rsidR="009503A6" w:rsidRPr="0099355B">
        <w:fldChar w:fldCharType="separate"/>
      </w:r>
      <w:r w:rsidR="003D6B31" w:rsidRPr="0099355B">
        <w:rPr>
          <w:noProof/>
        </w:rPr>
        <w:t>[11]</w:t>
      </w:r>
      <w:r w:rsidR="009503A6" w:rsidRPr="0099355B">
        <w:fldChar w:fldCharType="end"/>
      </w:r>
      <w:r w:rsidR="00DE2133" w:rsidRPr="0099355B">
        <w:t>.</w:t>
      </w:r>
      <w:r w:rsidR="003910FC" w:rsidRPr="0099355B">
        <w:t xml:space="preserve"> Consequently, MMs have both conceptual and methodological advantages </w:t>
      </w:r>
      <w:r w:rsidR="00F379AA">
        <w:t>over</w:t>
      </w:r>
      <w:r w:rsidR="003910FC" w:rsidRPr="0099355B">
        <w:t xml:space="preserve"> traditional AMs.</w:t>
      </w:r>
    </w:p>
    <w:p w14:paraId="52A75C96" w14:textId="10A3C2A9" w:rsidR="00BF0E89" w:rsidRPr="0099355B" w:rsidRDefault="00BF0E89" w:rsidP="00BF0E89">
      <w:pPr>
        <w:rPr>
          <w:b/>
        </w:rPr>
      </w:pPr>
      <w:r w:rsidRPr="0099355B">
        <w:rPr>
          <w:b/>
        </w:rPr>
        <w:t>Method</w:t>
      </w:r>
    </w:p>
    <w:p w14:paraId="7997D3A9" w14:textId="5D7A950F" w:rsidR="003A5A78" w:rsidRPr="0099355B" w:rsidRDefault="009503A6" w:rsidP="0097678E">
      <w:pPr>
        <w:ind w:firstLine="720"/>
      </w:pPr>
      <w:r w:rsidRPr="0099355B">
        <w:t>The current study</w:t>
      </w:r>
      <w:r w:rsidR="00763617" w:rsidRPr="0099355B">
        <w:t xml:space="preserve"> </w:t>
      </w:r>
      <w:r w:rsidRPr="0099355B">
        <w:t xml:space="preserve">focuses on </w:t>
      </w:r>
      <w:r w:rsidR="00CD59B2" w:rsidRPr="0099355B">
        <w:t>the use of</w:t>
      </w:r>
      <w:r w:rsidR="00763617" w:rsidRPr="0099355B">
        <w:t xml:space="preserve"> </w:t>
      </w:r>
      <w:r w:rsidRPr="0099355B">
        <w:t>MMs</w:t>
      </w:r>
      <w:r w:rsidR="00763617" w:rsidRPr="0099355B">
        <w:t xml:space="preserve"> on depression</w:t>
      </w:r>
      <w:r w:rsidR="004220F6" w:rsidRPr="0099355B">
        <w:t>, as measured by</w:t>
      </w:r>
      <w:r w:rsidR="00F579D5" w:rsidRPr="0099355B">
        <w:t xml:space="preserve"> PHQ-9 in three panels of </w:t>
      </w:r>
      <w:r w:rsidR="000F394F" w:rsidRPr="0099355B">
        <w:t xml:space="preserve">the </w:t>
      </w:r>
      <w:r w:rsidR="00F579D5" w:rsidRPr="0099355B">
        <w:t xml:space="preserve">PROMIS </w:t>
      </w:r>
      <w:r w:rsidR="000F394F" w:rsidRPr="0099355B">
        <w:t xml:space="preserve">open </w:t>
      </w:r>
      <w:r w:rsidR="00F579D5" w:rsidRPr="0099355B">
        <w:t>dataset</w:t>
      </w:r>
      <w:r w:rsidR="008707BF" w:rsidRPr="0099355B">
        <w:t xml:space="preserve"> (</w:t>
      </w:r>
      <w:r w:rsidR="008707BF" w:rsidRPr="0099355B">
        <w:rPr>
          <w:i/>
        </w:rPr>
        <w:t>n</w:t>
      </w:r>
      <w:r w:rsidR="008707BF" w:rsidRPr="0099355B">
        <w:t xml:space="preserve"> = 17</w:t>
      </w:r>
      <w:r w:rsidR="00047613" w:rsidRPr="0099355B">
        <w:t>5</w:t>
      </w:r>
      <w:r w:rsidR="008707BF" w:rsidRPr="0099355B">
        <w:t>)</w:t>
      </w:r>
      <w:r w:rsidR="000F394F" w:rsidRPr="0099355B">
        <w:t xml:space="preserve"> </w:t>
      </w:r>
      <w:r w:rsidR="000F394F" w:rsidRPr="0099355B">
        <w:fldChar w:fldCharType="begin" w:fldLock="1"/>
      </w:r>
      <w:r w:rsidR="003D6B31" w:rsidRPr="0099355B">
        <w:instrText>ADDIN CSL_CITATION {"citationItems":[{"id":"ITEM-1","itemData":{"DOI":"10.7910/DVN/ZDIITC","author":[{"dropping-particle":"","family":"Pilkonis","given":"Paul","non-dropping-particle":"","parse-names":false,"suffix":""}],"edition":"V1","id":"ITEM-1","issued":{"date-parts":[["0"]]},"language":"English","publisher":"Harvard Dataverse","title":"PROMIS 1 Wave 2 Depression","type":"article"},"uris":["http://www.mendeley.com/documents/?uuid=9500607c-9fa5-4a55-8d57-c0eed5a0c07b"]}],"mendeley":{"formattedCitation":"[15]","plainTextFormattedCitation":"[15]","previouslyFormattedCitation":"(Pilkonis)"},"properties":{"noteIndex":0},"schema":"https://github.com/citation-style-language/schema/raw/master/csl-citation.json"}</w:instrText>
      </w:r>
      <w:r w:rsidR="000F394F" w:rsidRPr="0099355B">
        <w:fldChar w:fldCharType="separate"/>
      </w:r>
      <w:r w:rsidR="003D6B31" w:rsidRPr="0099355B">
        <w:rPr>
          <w:noProof/>
        </w:rPr>
        <w:t>[15]</w:t>
      </w:r>
      <w:r w:rsidR="000F394F" w:rsidRPr="0099355B">
        <w:fldChar w:fldCharType="end"/>
      </w:r>
      <w:r w:rsidR="0073656A" w:rsidRPr="0099355B">
        <w:rPr>
          <w:rStyle w:val="EndnoteReference"/>
        </w:rPr>
        <w:endnoteReference w:id="1"/>
      </w:r>
      <w:r w:rsidR="00C4390C" w:rsidRPr="0099355B">
        <w:t>. We</w:t>
      </w:r>
      <w:r w:rsidR="00F24200" w:rsidRPr="0099355B">
        <w:t xml:space="preserve"> </w:t>
      </w:r>
      <w:r w:rsidR="00C4390C" w:rsidRPr="0099355B">
        <w:t xml:space="preserve">examined distributional forms via visualization and </w:t>
      </w:r>
      <w:r w:rsidR="00F24200" w:rsidRPr="0099355B">
        <w:t>the inter-panel</w:t>
      </w:r>
      <w:r w:rsidR="00471B47" w:rsidRPr="0099355B">
        <w:t xml:space="preserve"> </w:t>
      </w:r>
      <w:r w:rsidR="00852C77" w:rsidRPr="0099355B">
        <w:t xml:space="preserve">and item-rest </w:t>
      </w:r>
      <w:r w:rsidR="00471B47" w:rsidRPr="0099355B">
        <w:t>relation</w:t>
      </w:r>
      <w:r w:rsidR="00C912D3" w:rsidRPr="0099355B">
        <w:t>s</w:t>
      </w:r>
      <w:r w:rsidR="00852C77" w:rsidRPr="0099355B">
        <w:t xml:space="preserve"> </w:t>
      </w:r>
      <w:r w:rsidR="00471B47" w:rsidRPr="0099355B">
        <w:t xml:space="preserve">via different </w:t>
      </w:r>
      <w:r w:rsidR="003874C2" w:rsidRPr="0099355B">
        <w:t>AMs and MMs</w:t>
      </w:r>
      <w:r w:rsidR="007E1AC3" w:rsidRPr="0099355B">
        <w:t xml:space="preserve">. </w:t>
      </w:r>
      <w:r w:rsidR="00852C77" w:rsidRPr="0099355B">
        <w:t xml:space="preserve">Inter-panel relations were examined through fixed-effects </w:t>
      </w:r>
      <w:r w:rsidR="0097678E" w:rsidRPr="0099355B">
        <w:t>and mixed-effects linear and polynomial models</w:t>
      </w:r>
      <w:r w:rsidR="00C65919" w:rsidRPr="0099355B">
        <w:t xml:space="preserve"> (see notes</w:t>
      </w:r>
      <w:r w:rsidR="00DB7F85" w:rsidRPr="0099355B">
        <w:t xml:space="preserve"> in Table 1a and 1b</w:t>
      </w:r>
      <w:r w:rsidR="00C65919" w:rsidRPr="0099355B">
        <w:t xml:space="preserve"> for specific model forms)</w:t>
      </w:r>
      <w:r w:rsidR="0097678E" w:rsidRPr="0099355B">
        <w:t>. Item-rest relations</w:t>
      </w:r>
      <w:r w:rsidR="00BD732D" w:rsidRPr="0099355B">
        <w:t xml:space="preserve"> </w:t>
      </w:r>
      <w:r w:rsidR="0097678E" w:rsidRPr="0099355B">
        <w:t>were represented via</w:t>
      </w:r>
      <w:r w:rsidR="00852C77" w:rsidRPr="0099355B">
        <w:t xml:space="preserve"> </w:t>
      </w:r>
      <w:r w:rsidR="0097678E" w:rsidRPr="0099355B">
        <w:t xml:space="preserve">using the individual item to predict </w:t>
      </w:r>
      <w:r w:rsidR="00852C77" w:rsidRPr="0099355B">
        <w:t>the sum of other items (SOI</w:t>
      </w:r>
      <w:r w:rsidR="00F77513">
        <w:t xml:space="preserve">, i.e., </w:t>
      </w:r>
      <w:r w:rsidR="00852C77" w:rsidRPr="0099355B">
        <w:t xml:space="preserve">sum scores – </w:t>
      </w:r>
      <w:r w:rsidR="00F77513">
        <w:t xml:space="preserve">the </w:t>
      </w:r>
      <w:r w:rsidR="00852C77" w:rsidRPr="0099355B">
        <w:t>individual item</w:t>
      </w:r>
      <w:r w:rsidR="00F77513">
        <w:t xml:space="preserve"> score</w:t>
      </w:r>
      <w:r w:rsidR="00852C77" w:rsidRPr="0099355B">
        <w:t>).</w:t>
      </w:r>
      <w:r w:rsidR="0097678E" w:rsidRPr="0099355B">
        <w:t xml:space="preserve"> </w:t>
      </w:r>
      <w:r w:rsidR="00F37A4E" w:rsidRPr="0099355B">
        <w:t>MMs</w:t>
      </w:r>
      <w:r w:rsidR="003932CB" w:rsidRPr="0099355B">
        <w:t xml:space="preserve"> are </w:t>
      </w:r>
      <w:r w:rsidR="00EA74E5" w:rsidRPr="0099355B">
        <w:t>applied</w:t>
      </w:r>
      <w:r w:rsidR="003932CB" w:rsidRPr="0099355B">
        <w:t xml:space="preserve"> by first log-transforming all but dummy variables</w:t>
      </w:r>
      <w:r w:rsidR="00EA74E5" w:rsidRPr="0099355B">
        <w:t xml:space="preserve">, then fitting respective models, and </w:t>
      </w:r>
      <w:r w:rsidR="00C912D3" w:rsidRPr="0099355B">
        <w:t xml:space="preserve">finally </w:t>
      </w:r>
      <w:r w:rsidR="00EA74E5" w:rsidRPr="0099355B">
        <w:t xml:space="preserve">back-transforming </w:t>
      </w:r>
      <w:r w:rsidR="00706830" w:rsidRPr="0099355B">
        <w:t xml:space="preserve">certain </w:t>
      </w:r>
      <w:r w:rsidR="00EA74E5" w:rsidRPr="0099355B">
        <w:t>parameters.</w:t>
      </w:r>
      <w:r w:rsidR="003C4491" w:rsidRPr="0099355B">
        <w:rPr>
          <w:rStyle w:val="EndnoteReference"/>
        </w:rPr>
        <w:endnoteReference w:id="2"/>
      </w:r>
      <w:r w:rsidR="00706830" w:rsidRPr="0099355B">
        <w:t xml:space="preserve"> This effectively fits log-log fixed</w:t>
      </w:r>
      <w:r w:rsidR="00C912D3" w:rsidRPr="0099355B">
        <w:t>-</w:t>
      </w:r>
      <w:r w:rsidR="00706830" w:rsidRPr="0099355B">
        <w:t>effect and mixed</w:t>
      </w:r>
      <w:r w:rsidR="00C912D3" w:rsidRPr="0099355B">
        <w:t>-</w:t>
      </w:r>
      <w:r w:rsidR="00706830" w:rsidRPr="0099355B">
        <w:t xml:space="preserve">effect </w:t>
      </w:r>
      <w:r w:rsidR="003A5A78" w:rsidRPr="0099355B">
        <w:t xml:space="preserve">linear </w:t>
      </w:r>
      <w:r w:rsidR="00706830" w:rsidRPr="0099355B">
        <w:t xml:space="preserve">models. </w:t>
      </w:r>
    </w:p>
    <w:p w14:paraId="509FED2F" w14:textId="77777777" w:rsidR="00BF0E89" w:rsidRPr="0099355B" w:rsidRDefault="00BF0E89" w:rsidP="00BF0E89">
      <w:pPr>
        <w:rPr>
          <w:b/>
        </w:rPr>
      </w:pPr>
      <w:r w:rsidRPr="0099355B">
        <w:rPr>
          <w:b/>
        </w:rPr>
        <w:t>Results</w:t>
      </w:r>
    </w:p>
    <w:p w14:paraId="225B0868" w14:textId="29431DB1" w:rsidR="00700384" w:rsidRPr="0099355B" w:rsidRDefault="00700384" w:rsidP="00700384">
      <w:pPr>
        <w:ind w:firstLine="720"/>
      </w:pPr>
      <w:r w:rsidRPr="0099355B">
        <w:t>Lognormality provides a better fit for PHQ-9 score</w:t>
      </w:r>
      <w:r w:rsidR="00A509AC" w:rsidRPr="0099355B">
        <w:t>s</w:t>
      </w:r>
      <w:r w:rsidRPr="0099355B">
        <w:t xml:space="preserve"> at all </w:t>
      </w:r>
      <w:r w:rsidR="00A509AC" w:rsidRPr="0099355B">
        <w:t>time points</w:t>
      </w:r>
      <w:r w:rsidRPr="0099355B">
        <w:t xml:space="preserve"> than normality </w:t>
      </w:r>
      <w:r w:rsidRPr="0099355B">
        <w:fldChar w:fldCharType="begin" w:fldLock="1"/>
      </w:r>
      <w:r w:rsidR="003D6B31" w:rsidRPr="0099355B">
        <w:instrText>ADDIN CSL_CITATION {"citationItems":[{"id":"ITEM-1","itemData":{"DOI":"10.1080/03461238.1928.10416862","ISSN":"0346-1238","abstract":"1. By a variable in the sense of the Theory of Probability we mean a quantity z, which may assume certain real values with certain probahilities. We shall call V(t) the probability function of z if, for every real t, V(t) is equal to the probabiliby that z has a value &lt; t, increased by half the probability that z has exactly the value t.","author":[{"dropping-particle":"","family":"Cramér","given":"Harald","non-dropping-particle":"","parse-names":false,"suffix":""}],"container-title":"Scandinavian Actuarial Journal","id":"ITEM-1","issue":"1","issued":{"date-parts":[["1928","1","1"]]},"note":"doi: 10.1080/03461238.1928.10416862","page":"13-74","publisher":"Taylor &amp; Francis","title":"On the composition of elementary errors","type":"article-journal","volume":"1928"},"uris":["http://www.mendeley.com/documents/?uuid=6ebd5cac-44b7-496a-9f87-556ea5b42889"]}],"mendeley":{"formattedCitation":"[5]","plainTextFormattedCitation":"[5]","previouslyFormattedCitation":"(Cramér)"},"properties":{"noteIndex":0},"schema":"https://github.com/citation-style-language/schema/raw/master/csl-citation.json"}</w:instrText>
      </w:r>
      <w:r w:rsidRPr="0099355B">
        <w:fldChar w:fldCharType="separate"/>
      </w:r>
      <w:r w:rsidR="003D6B31" w:rsidRPr="0099355B">
        <w:rPr>
          <w:noProof/>
        </w:rPr>
        <w:t>[5]</w:t>
      </w:r>
      <w:r w:rsidRPr="0099355B">
        <w:fldChar w:fldCharType="end"/>
      </w:r>
      <w:r w:rsidR="003874C2" w:rsidRPr="0099355B">
        <w:t xml:space="preserve"> (see Figure 1)</w:t>
      </w:r>
      <w:r w:rsidRPr="0099355B">
        <w:t xml:space="preserve">.  </w:t>
      </w:r>
      <w:r w:rsidR="00E96AC5" w:rsidRPr="0099355B">
        <w:t>Consistent with MMs assumptions, t</w:t>
      </w:r>
      <w:r w:rsidRPr="0099355B">
        <w:t>he variability in depression scores increases as severity increases</w:t>
      </w:r>
      <w:r w:rsidR="00C56C3F" w:rsidRPr="0099355B">
        <w:t xml:space="preserve"> (see Figure 2)</w:t>
      </w:r>
      <w:r w:rsidRPr="0099355B">
        <w:t xml:space="preserve">. </w:t>
      </w:r>
      <w:r w:rsidR="00C56C3F" w:rsidRPr="0099355B">
        <w:t>Both</w:t>
      </w:r>
      <w:r w:rsidRPr="0099355B">
        <w:t xml:space="preserve"> suggest greater plausibility for MMs than AMs. </w:t>
      </w:r>
    </w:p>
    <w:p w14:paraId="195E3994" w14:textId="4841EDA8" w:rsidR="00F24200" w:rsidRPr="0099355B" w:rsidRDefault="00BF0E89" w:rsidP="0097678E">
      <w:pPr>
        <w:ind w:firstLine="720"/>
      </w:pPr>
      <w:r w:rsidRPr="0099355B">
        <w:t>In modeling depression development across time, m</w:t>
      </w:r>
      <w:r w:rsidR="00164060" w:rsidRPr="0099355B">
        <w:t>ultiplicative form</w:t>
      </w:r>
      <w:r w:rsidR="00B22AF7" w:rsidRPr="0099355B">
        <w:t>s</w:t>
      </w:r>
      <w:r w:rsidR="00164060" w:rsidRPr="0099355B">
        <w:t xml:space="preserve"> of </w:t>
      </w:r>
      <w:r w:rsidR="00B22AF7" w:rsidRPr="0099355B">
        <w:t>fixed-</w:t>
      </w:r>
      <w:r w:rsidR="00164060" w:rsidRPr="0099355B">
        <w:t xml:space="preserve">effects, </w:t>
      </w:r>
      <w:r w:rsidR="00B22AF7" w:rsidRPr="0099355B">
        <w:t>fixed-</w:t>
      </w:r>
      <w:r w:rsidR="00164060" w:rsidRPr="0099355B">
        <w:t>trend</w:t>
      </w:r>
      <w:r w:rsidR="009008F0" w:rsidRPr="0099355B">
        <w:t xml:space="preserve"> (Table 1a)</w:t>
      </w:r>
      <w:r w:rsidR="00164060" w:rsidRPr="0099355B">
        <w:t xml:space="preserve">, random-intercept, and random-intercept/-slope models </w:t>
      </w:r>
      <w:r w:rsidR="009008F0" w:rsidRPr="0099355B">
        <w:t xml:space="preserve">(Table 1b) </w:t>
      </w:r>
      <w:r w:rsidR="00B2331B" w:rsidRPr="0099355B">
        <w:t xml:space="preserve">all </w:t>
      </w:r>
      <w:r w:rsidR="00164060" w:rsidRPr="0099355B">
        <w:lastRenderedPageBreak/>
        <w:t>outperform</w:t>
      </w:r>
      <w:r w:rsidR="005803B6" w:rsidRPr="0099355B">
        <w:t>ed</w:t>
      </w:r>
      <w:r w:rsidR="00164060" w:rsidRPr="0099355B">
        <w:t xml:space="preserve"> </w:t>
      </w:r>
      <w:r w:rsidR="00B2331B" w:rsidRPr="0099355B">
        <w:t xml:space="preserve">their </w:t>
      </w:r>
      <w:r w:rsidR="00B22AF7" w:rsidRPr="0099355B">
        <w:t xml:space="preserve">additive </w:t>
      </w:r>
      <w:r w:rsidR="00164060" w:rsidRPr="0099355B">
        <w:t>counterparts</w:t>
      </w:r>
      <w:r w:rsidR="0082004F" w:rsidRPr="0099355B">
        <w:rPr>
          <w:rStyle w:val="EndnoteReference"/>
        </w:rPr>
        <w:endnoteReference w:id="3"/>
      </w:r>
      <w:r w:rsidR="009B523D" w:rsidRPr="0099355B">
        <w:t>.</w:t>
      </w:r>
      <w:r w:rsidR="003A5A78" w:rsidRPr="0099355B">
        <w:t xml:space="preserve"> </w:t>
      </w:r>
      <w:r w:rsidR="009B523D" w:rsidRPr="0099355B">
        <w:t xml:space="preserve">The multiplicative random-intercept random-slope model best captured </w:t>
      </w:r>
      <w:r w:rsidR="00DF7C82" w:rsidRPr="0099355B">
        <w:t>the development of depression over</w:t>
      </w:r>
      <w:r w:rsidR="00780C7C" w:rsidRPr="0099355B">
        <w:t xml:space="preserve"> time</w:t>
      </w:r>
      <w:r w:rsidR="00626E97" w:rsidRPr="0099355B">
        <w:t>.</w:t>
      </w:r>
      <w:r w:rsidR="00DF7C82" w:rsidRPr="0099355B">
        <w:t xml:space="preserve"> </w:t>
      </w:r>
      <w:r w:rsidR="00626E97" w:rsidRPr="0099355B">
        <w:t>D</w:t>
      </w:r>
      <w:r w:rsidR="009E79E5" w:rsidRPr="0099355B">
        <w:t>epression development</w:t>
      </w:r>
      <w:r w:rsidR="00C91F35" w:rsidRPr="0099355B">
        <w:t xml:space="preserve"> </w:t>
      </w:r>
      <w:r w:rsidR="009E79E5" w:rsidRPr="0099355B">
        <w:t>hinges</w:t>
      </w:r>
      <w:r w:rsidR="00C91F35" w:rsidRPr="0099355B">
        <w:t xml:space="preserve"> upon</w:t>
      </w:r>
      <w:r w:rsidR="009E79E5" w:rsidRPr="0099355B">
        <w:t xml:space="preserve"> individual levels: those with</w:t>
      </w:r>
      <w:r w:rsidR="00EC56BE" w:rsidRPr="0099355B">
        <w:t xml:space="preserve"> greater severity can show greater change; as time progresses, the rate of change can also increase</w:t>
      </w:r>
      <w:r w:rsidR="00780764" w:rsidRPr="0099355B">
        <w:t xml:space="preserve">. This </w:t>
      </w:r>
      <w:r w:rsidR="005974E2" w:rsidRPr="0099355B">
        <w:t>differs from an additive relationship</w:t>
      </w:r>
      <w:r w:rsidR="00307E91" w:rsidRPr="0099355B">
        <w:t xml:space="preserve"> where a time-invariant change is assumed constant across individuals.</w:t>
      </w:r>
      <w:r w:rsidR="00A40DBE" w:rsidRPr="0099355B">
        <w:rPr>
          <w:rStyle w:val="EndnoteReference"/>
        </w:rPr>
        <w:endnoteReference w:id="4"/>
      </w:r>
      <w:r w:rsidR="00307E91" w:rsidRPr="0099355B">
        <w:t xml:space="preserve"> </w:t>
      </w:r>
      <w:r w:rsidR="00A40DBE" w:rsidRPr="0099355B">
        <w:t>MMs</w:t>
      </w:r>
      <w:r w:rsidR="00351175" w:rsidRPr="0099355B">
        <w:t xml:space="preserve"> accentuate the room for improvement in individuals with high depression severity. </w:t>
      </w:r>
      <w:r w:rsidR="00AE596E" w:rsidRPr="0099355B">
        <w:t xml:space="preserve">Moreover, </w:t>
      </w:r>
      <w:r w:rsidR="0016287D" w:rsidRPr="0099355B">
        <w:t>random-</w:t>
      </w:r>
      <w:r w:rsidR="00AE596E" w:rsidRPr="0099355B">
        <w:t xml:space="preserve">intercept and </w:t>
      </w:r>
      <w:r w:rsidR="0016287D" w:rsidRPr="0099355B">
        <w:t>random-</w:t>
      </w:r>
      <w:r w:rsidR="00AE596E" w:rsidRPr="0099355B">
        <w:t xml:space="preserve">slope </w:t>
      </w:r>
      <w:r w:rsidR="00A40DBE" w:rsidRPr="0099355B">
        <w:t xml:space="preserve">components highlight </w:t>
      </w:r>
      <w:r w:rsidR="008141E5" w:rsidRPr="0099355B">
        <w:t xml:space="preserve">that </w:t>
      </w:r>
      <w:r w:rsidR="00AE596E" w:rsidRPr="0099355B">
        <w:t>individual</w:t>
      </w:r>
      <w:r w:rsidR="00C56C3F" w:rsidRPr="0099355B">
        <w:t>s</w:t>
      </w:r>
      <w:r w:rsidR="00C64682" w:rsidRPr="0099355B">
        <w:t xml:space="preserve"> </w:t>
      </w:r>
      <w:r w:rsidR="00C56C3F" w:rsidRPr="0099355B">
        <w:t>differ</w:t>
      </w:r>
      <w:r w:rsidR="00C64682" w:rsidRPr="0099355B">
        <w:t xml:space="preserve"> in</w:t>
      </w:r>
      <w:r w:rsidR="00AE596E" w:rsidRPr="0099355B">
        <w:t xml:space="preserve"> </w:t>
      </w:r>
      <w:r w:rsidR="00C64682" w:rsidRPr="0099355B">
        <w:t>baseline</w:t>
      </w:r>
      <w:r w:rsidR="00AE596E" w:rsidRPr="0099355B">
        <w:t xml:space="preserve"> median</w:t>
      </w:r>
      <w:r w:rsidR="0033345C" w:rsidRPr="0099355B">
        <w:rPr>
          <w:rStyle w:val="EndnoteReference"/>
        </w:rPr>
        <w:endnoteReference w:id="5"/>
      </w:r>
      <w:r w:rsidR="00C64682" w:rsidRPr="0099355B">
        <w:t xml:space="preserve"> </w:t>
      </w:r>
      <w:r w:rsidR="00AE596E" w:rsidRPr="0099355B">
        <w:t xml:space="preserve">and </w:t>
      </w:r>
      <w:r w:rsidR="00C64682" w:rsidRPr="0099355B">
        <w:t xml:space="preserve">progress at </w:t>
      </w:r>
      <w:r w:rsidR="00C56C3F" w:rsidRPr="0099355B">
        <w:t>distinct</w:t>
      </w:r>
      <w:r w:rsidR="00C64682" w:rsidRPr="0099355B">
        <w:t xml:space="preserve"> ratios. </w:t>
      </w:r>
      <w:r w:rsidR="00C56C3F" w:rsidRPr="0099355B">
        <w:t>Altogether</w:t>
      </w:r>
      <w:r w:rsidR="00B2331B" w:rsidRPr="0099355B">
        <w:t xml:space="preserve">, </w:t>
      </w:r>
      <w:r w:rsidR="00463A1E" w:rsidRPr="0099355B">
        <w:t xml:space="preserve">the progression of depression differs across individuals </w:t>
      </w:r>
      <w:r w:rsidR="0016287D" w:rsidRPr="0099355B">
        <w:t xml:space="preserve">by </w:t>
      </w:r>
      <w:r w:rsidR="002A539A" w:rsidRPr="0099355B">
        <w:t xml:space="preserve">both </w:t>
      </w:r>
      <w:r w:rsidR="00463A1E" w:rsidRPr="0099355B">
        <w:t>ra</w:t>
      </w:r>
      <w:r w:rsidR="00637F58" w:rsidRPr="0099355B">
        <w:t xml:space="preserve">ndom variability </w:t>
      </w:r>
      <w:r w:rsidR="002A539A" w:rsidRPr="0099355B">
        <w:t>and</w:t>
      </w:r>
      <w:r w:rsidR="00637F58" w:rsidRPr="0099355B">
        <w:t xml:space="preserve"> individuals’ prior depression levels in a multiplicative fashion. </w:t>
      </w:r>
    </w:p>
    <w:p w14:paraId="4ED3944B" w14:textId="7D65250C" w:rsidR="009F2F48" w:rsidRPr="0099355B" w:rsidRDefault="00DE03DD" w:rsidP="000F5F26">
      <w:pPr>
        <w:ind w:firstLine="720"/>
      </w:pPr>
      <w:r w:rsidRPr="0099355B">
        <w:t>Using multilevel model</w:t>
      </w:r>
      <w:r w:rsidR="005803B6" w:rsidRPr="0099355B">
        <w:t>s</w:t>
      </w:r>
      <w:r w:rsidRPr="0099355B">
        <w:t xml:space="preserve"> to account for multiple measurement occasions, w</w:t>
      </w:r>
      <w:r w:rsidR="002A539A" w:rsidRPr="0099355B">
        <w:t>e report results from AMs and MMs</w:t>
      </w:r>
      <w:r w:rsidRPr="0099355B">
        <w:t xml:space="preserve"> focusing on using individual item to predict SOI</w:t>
      </w:r>
      <w:r w:rsidR="002A539A" w:rsidRPr="0099355B">
        <w:t xml:space="preserve"> (Table 2</w:t>
      </w:r>
      <w:r w:rsidR="00F8070D" w:rsidRPr="0099355B">
        <w:t>a and 2</w:t>
      </w:r>
      <w:r w:rsidR="002A539A" w:rsidRPr="0099355B">
        <w:t xml:space="preserve">b). </w:t>
      </w:r>
      <w:r w:rsidR="00AE3442" w:rsidRPr="0099355B">
        <w:t xml:space="preserve"> </w:t>
      </w:r>
      <w:r w:rsidR="000F5F26" w:rsidRPr="0099355B">
        <w:t xml:space="preserve">This shows how the levels of one symptom can relate to the severity in other depressive symptoms. </w:t>
      </w:r>
      <w:r w:rsidRPr="0099355B">
        <w:t>A</w:t>
      </w:r>
      <w:r w:rsidR="00F8070D" w:rsidRPr="0099355B">
        <w:t>ll items showed multiplicative pattern</w:t>
      </w:r>
      <w:r w:rsidR="005803B6" w:rsidRPr="0099355B">
        <w:t>s</w:t>
      </w:r>
      <w:r w:rsidR="00F8070D" w:rsidRPr="0099355B">
        <w:t xml:space="preserve"> in predicting SOI, </w:t>
      </w:r>
      <w:r w:rsidR="00E613A9" w:rsidRPr="0099355B">
        <w:t>encourag</w:t>
      </w:r>
      <w:r w:rsidR="002A539A" w:rsidRPr="0099355B">
        <w:t>ing</w:t>
      </w:r>
      <w:r w:rsidR="00E613A9" w:rsidRPr="0099355B">
        <w:t xml:space="preserve"> investigation </w:t>
      </w:r>
      <w:r w:rsidR="003910FC" w:rsidRPr="0099355B">
        <w:t>of a</w:t>
      </w:r>
      <w:r w:rsidR="00E613A9" w:rsidRPr="0099355B">
        <w:t xml:space="preserve"> multiplicative structure </w:t>
      </w:r>
      <w:r w:rsidR="00182D71" w:rsidRPr="0099355B">
        <w:t xml:space="preserve">whereby </w:t>
      </w:r>
      <w:r w:rsidR="00E613A9" w:rsidRPr="0099355B">
        <w:t xml:space="preserve">other depression symptoms </w:t>
      </w:r>
      <m:oMath>
        <m:r>
          <w:rPr>
            <w:rFonts w:ascii="Cambria Math" w:hAnsi="Cambria Math"/>
          </w:rPr>
          <m:t>×</m:t>
        </m:r>
      </m:oMath>
      <w:r w:rsidR="00E613A9" w:rsidRPr="0099355B">
        <w:t xml:space="preserve"> </w:t>
      </w:r>
      <w:r w:rsidR="00F8070D" w:rsidRPr="0099355B">
        <w:t>individual symptom</w:t>
      </w:r>
      <w:r w:rsidR="00E613A9" w:rsidRPr="0099355B">
        <w:t xml:space="preserve"> = </w:t>
      </w:r>
      <w:r w:rsidR="009A5B42" w:rsidRPr="0099355B">
        <w:t>d</w:t>
      </w:r>
      <w:r w:rsidR="00E613A9" w:rsidRPr="0099355B">
        <w:t>epression.</w:t>
      </w:r>
      <w:r w:rsidR="009A5B42" w:rsidRPr="0099355B">
        <w:t xml:space="preserve"> </w:t>
      </w:r>
      <w:r w:rsidR="001F484B" w:rsidRPr="0099355B">
        <w:t xml:space="preserve">For example, those who endorse “nearly every day” of “Trouble falling or staying asleep, or sleeping too much” can show depression score 185% higher </w:t>
      </w:r>
      <w:r w:rsidR="00FC7E86" w:rsidRPr="0099355B">
        <w:t xml:space="preserve">on other depressive symptoms </w:t>
      </w:r>
      <w:r w:rsidR="001F484B" w:rsidRPr="0099355B">
        <w:t xml:space="preserve">than </w:t>
      </w:r>
      <w:r w:rsidR="0014566C" w:rsidRPr="0099355B">
        <w:t xml:space="preserve">those who endorse </w:t>
      </w:r>
      <w:r w:rsidR="001F484B" w:rsidRPr="0099355B">
        <w:t>“Not at all”</w:t>
      </w:r>
      <w:r w:rsidR="0014566C" w:rsidRPr="0099355B">
        <w:t>.</w:t>
      </w:r>
      <w:r w:rsidR="009B434A" w:rsidRPr="0099355B">
        <w:t xml:space="preserve"> Unlike AMs, </w:t>
      </w:r>
      <w:r w:rsidR="00182D71" w:rsidRPr="0099355B">
        <w:t xml:space="preserve">a ratio effect of </w:t>
      </w:r>
      <w:r w:rsidR="009B434A" w:rsidRPr="0099355B">
        <w:t xml:space="preserve">185% </w:t>
      </w:r>
      <w:r w:rsidR="00E77BA4" w:rsidRPr="0099355B">
        <w:t xml:space="preserve">in MMs </w:t>
      </w:r>
      <w:r w:rsidR="00182D71" w:rsidRPr="0099355B">
        <w:t>inherently</w:t>
      </w:r>
      <w:r w:rsidR="009B434A" w:rsidRPr="0099355B">
        <w:t xml:space="preserve"> </w:t>
      </w:r>
      <w:r w:rsidR="00E77BA4" w:rsidRPr="0099355B">
        <w:t>emphasizes individual differences</w:t>
      </w:r>
      <w:r w:rsidR="00AB6595" w:rsidRPr="0099355B">
        <w:t xml:space="preserve"> (</w:t>
      </w:r>
      <w:r w:rsidR="009B434A" w:rsidRPr="0099355B">
        <w:t xml:space="preserve">e.g., </w:t>
      </w:r>
      <w:r w:rsidR="0018783C" w:rsidRPr="0099355B">
        <w:t xml:space="preserve">for individuals with a baseline of 10, this means 8.5 </w:t>
      </w:r>
      <w:r w:rsidR="00E77BA4" w:rsidRPr="0099355B">
        <w:t>increase</w:t>
      </w:r>
      <w:r w:rsidR="0018783C" w:rsidRPr="0099355B">
        <w:t xml:space="preserve"> and with a baseline of </w:t>
      </w:r>
      <w:r w:rsidR="00E77BA4" w:rsidRPr="0099355B">
        <w:t>5</w:t>
      </w:r>
      <w:r w:rsidR="0018783C" w:rsidRPr="0099355B">
        <w:t>, this means</w:t>
      </w:r>
      <w:r w:rsidR="00E77BA4" w:rsidRPr="0099355B">
        <w:t xml:space="preserve"> only</w:t>
      </w:r>
      <w:r w:rsidR="00AB6595" w:rsidRPr="0099355B">
        <w:t xml:space="preserve"> a</w:t>
      </w:r>
      <w:r w:rsidR="00E77BA4" w:rsidRPr="0099355B">
        <w:t xml:space="preserve"> 4.25 increase</w:t>
      </w:r>
      <w:r w:rsidR="00AB6595" w:rsidRPr="0099355B">
        <w:t>)</w:t>
      </w:r>
      <w:r w:rsidR="00E77BA4" w:rsidRPr="0099355B">
        <w:t xml:space="preserve">. </w:t>
      </w:r>
    </w:p>
    <w:p w14:paraId="25ECDD8F" w14:textId="77777777" w:rsidR="00BF0E89" w:rsidRPr="0099355B" w:rsidRDefault="00BF0E89" w:rsidP="00BF0E89">
      <w:pPr>
        <w:rPr>
          <w:b/>
        </w:rPr>
      </w:pPr>
      <w:r w:rsidRPr="0099355B">
        <w:rPr>
          <w:b/>
        </w:rPr>
        <w:t>Discussion</w:t>
      </w:r>
    </w:p>
    <w:p w14:paraId="0AFC8866" w14:textId="7617381B" w:rsidR="0036344B" w:rsidRPr="0099355B" w:rsidRDefault="00EC0336" w:rsidP="000465E5">
      <w:pPr>
        <w:ind w:firstLine="720"/>
      </w:pPr>
      <w:r w:rsidRPr="0099355B">
        <w:t>We demonstrated</w:t>
      </w:r>
      <w:r w:rsidR="000930CA" w:rsidRPr="0099355B">
        <w:t xml:space="preserve"> methodo</w:t>
      </w:r>
      <w:r w:rsidR="001E3EDC" w:rsidRPr="0099355B">
        <w:t xml:space="preserve">logical novelty and empirical utility </w:t>
      </w:r>
      <w:r w:rsidR="000B2AB0" w:rsidRPr="0099355B">
        <w:t xml:space="preserve">in </w:t>
      </w:r>
      <w:r w:rsidRPr="0099355B">
        <w:t>applying MMs to psychopathology research</w:t>
      </w:r>
      <w:r w:rsidR="000B2AB0" w:rsidRPr="0099355B">
        <w:t xml:space="preserve">. </w:t>
      </w:r>
      <w:r w:rsidR="0097678E" w:rsidRPr="0099355B">
        <w:t>The</w:t>
      </w:r>
      <w:r w:rsidR="003D697A" w:rsidRPr="0099355B">
        <w:t xml:space="preserve"> </w:t>
      </w:r>
      <w:r w:rsidR="0036344B" w:rsidRPr="0099355B">
        <w:t xml:space="preserve">small </w:t>
      </w:r>
      <w:r w:rsidR="0097678E" w:rsidRPr="0099355B">
        <w:t xml:space="preserve">sample size </w:t>
      </w:r>
      <w:r w:rsidR="0036344B" w:rsidRPr="0099355B">
        <w:t xml:space="preserve">and </w:t>
      </w:r>
      <w:r w:rsidR="003D697A" w:rsidRPr="0099355B">
        <w:t xml:space="preserve">the </w:t>
      </w:r>
      <w:r w:rsidR="0036344B" w:rsidRPr="0099355B">
        <w:t>exploratory nature of the study</w:t>
      </w:r>
      <w:r w:rsidR="0097678E" w:rsidRPr="0099355B">
        <w:t xml:space="preserve"> demand</w:t>
      </w:r>
      <w:r w:rsidR="0036344B" w:rsidRPr="0099355B">
        <w:t xml:space="preserve"> </w:t>
      </w:r>
      <w:r w:rsidR="0097678E" w:rsidRPr="0099355B">
        <w:t xml:space="preserve">future research efforts. </w:t>
      </w:r>
      <w:r w:rsidR="003910FC" w:rsidRPr="0099355B">
        <w:t>Despite these limitations</w:t>
      </w:r>
      <w:r w:rsidR="003D697A" w:rsidRPr="0099355B">
        <w:t>, the study</w:t>
      </w:r>
      <w:r w:rsidR="00F2229F" w:rsidRPr="0099355B">
        <w:t xml:space="preserve"> </w:t>
      </w:r>
      <w:r w:rsidR="003910FC" w:rsidRPr="0099355B">
        <w:t xml:space="preserve">sheds light on the strengths of using </w:t>
      </w:r>
      <w:r w:rsidR="009F2F48" w:rsidRPr="0099355B">
        <w:t>MMs</w:t>
      </w:r>
      <w:r w:rsidR="00F2229F" w:rsidRPr="0099355B">
        <w:t xml:space="preserve"> to study psychopathology, with regard to both change </w:t>
      </w:r>
      <w:r w:rsidR="000B2AB0" w:rsidRPr="0099355B">
        <w:t xml:space="preserve">over time </w:t>
      </w:r>
      <w:r w:rsidR="00F2229F" w:rsidRPr="0099355B">
        <w:t xml:space="preserve">and </w:t>
      </w:r>
      <w:r w:rsidR="002A508E" w:rsidRPr="0099355B">
        <w:t>interconnections</w:t>
      </w:r>
      <w:r w:rsidR="000B2AB0" w:rsidRPr="0099355B">
        <w:t xml:space="preserve"> </w:t>
      </w:r>
      <w:r w:rsidR="000B261C" w:rsidRPr="0099355B">
        <w:t xml:space="preserve">among </w:t>
      </w:r>
      <w:r w:rsidR="000B2AB0" w:rsidRPr="0099355B">
        <w:t>symptoms</w:t>
      </w:r>
      <w:r w:rsidR="002A508E" w:rsidRPr="0099355B">
        <w:t xml:space="preserve">. </w:t>
      </w:r>
      <w:r w:rsidR="005958CC" w:rsidRPr="0099355B">
        <w:t xml:space="preserve">MMs more faithfully align with observed data than AMs. </w:t>
      </w:r>
      <w:r w:rsidR="0097678E" w:rsidRPr="0099355B">
        <w:t xml:space="preserve">MMs offer intuitive interpretation of effects: </w:t>
      </w:r>
      <w:r w:rsidR="00762292" w:rsidRPr="0099355B">
        <w:t>MMs</w:t>
      </w:r>
      <w:r w:rsidR="0097678E" w:rsidRPr="0099355B">
        <w:t xml:space="preserve"> express effects in terms of ratios (e.g., while an additive effect of 3-point decrease on PHQ-9 loses interpretability to someone unfamiliar with the unit or the range of PHQ-9, a multiplicative effect of 80% is readily interpretable). </w:t>
      </w:r>
      <w:r w:rsidR="00027181" w:rsidRPr="0099355B">
        <w:t xml:space="preserve">MMs </w:t>
      </w:r>
      <w:r w:rsidR="00552C55" w:rsidRPr="0099355B">
        <w:t>show greater</w:t>
      </w:r>
      <w:r w:rsidR="00027181" w:rsidRPr="0099355B">
        <w:t xml:space="preserve"> appreciat</w:t>
      </w:r>
      <w:r w:rsidR="00552C55" w:rsidRPr="0099355B">
        <w:t xml:space="preserve">ion of </w:t>
      </w:r>
      <w:r w:rsidR="00027181" w:rsidRPr="0099355B">
        <w:t xml:space="preserve">the complexity </w:t>
      </w:r>
      <w:r w:rsidR="00552C55" w:rsidRPr="0099355B">
        <w:t>a</w:t>
      </w:r>
      <w:r w:rsidR="00027181" w:rsidRPr="0099355B">
        <w:t xml:space="preserve">mong </w:t>
      </w:r>
      <w:r w:rsidR="00552C55" w:rsidRPr="0099355B">
        <w:t xml:space="preserve">symptom connections: the influence of one symptom can </w:t>
      </w:r>
      <w:r w:rsidR="00827875" w:rsidRPr="0099355B">
        <w:t>vary drastically based on severity of other symptoms</w:t>
      </w:r>
      <w:r w:rsidR="00027181" w:rsidRPr="0099355B">
        <w:t xml:space="preserve">. </w:t>
      </w:r>
      <w:r w:rsidR="000D3893" w:rsidRPr="0099355B">
        <w:t xml:space="preserve">Furthermore, MMs </w:t>
      </w:r>
      <w:r w:rsidR="0003239B" w:rsidRPr="0099355B">
        <w:t>allow methodological freedom</w:t>
      </w:r>
      <w:r w:rsidR="00BF2795" w:rsidRPr="0099355B">
        <w:t>,</w:t>
      </w:r>
      <w:r w:rsidR="0003239B" w:rsidRPr="0099355B">
        <w:t xml:space="preserve"> </w:t>
      </w:r>
      <w:r w:rsidR="000465E5" w:rsidRPr="0099355B">
        <w:t xml:space="preserve">beyond the strict </w:t>
      </w:r>
      <w:r w:rsidR="00B33713" w:rsidRPr="0099355B">
        <w:t>(</w:t>
      </w:r>
      <w:r w:rsidR="000465E5" w:rsidRPr="0099355B">
        <w:t xml:space="preserve">and sometimes unrealistic) assumptions </w:t>
      </w:r>
      <w:r w:rsidR="00833D53" w:rsidRPr="0099355B">
        <w:t>of</w:t>
      </w:r>
      <w:r w:rsidR="000465E5" w:rsidRPr="0099355B">
        <w:t xml:space="preserve"> AMs</w:t>
      </w:r>
      <w:r w:rsidR="00BF2795" w:rsidRPr="0099355B">
        <w:t>,</w:t>
      </w:r>
      <w:r w:rsidR="000465E5" w:rsidRPr="0099355B">
        <w:t xml:space="preserve"> </w:t>
      </w:r>
      <w:r w:rsidR="0003239B" w:rsidRPr="0099355B">
        <w:t xml:space="preserve">to </w:t>
      </w:r>
      <w:r w:rsidR="00833D53" w:rsidRPr="0099355B">
        <w:t xml:space="preserve">better </w:t>
      </w:r>
      <w:r w:rsidR="00BF2795" w:rsidRPr="0099355B">
        <w:t>depict</w:t>
      </w:r>
      <w:r w:rsidR="00833D53" w:rsidRPr="0099355B">
        <w:t xml:space="preserve"> the empirical observations of</w:t>
      </w:r>
      <w:r w:rsidR="0003239B" w:rsidRPr="0099355B">
        <w:t xml:space="preserve"> </w:t>
      </w:r>
      <w:r w:rsidR="00833D53" w:rsidRPr="0099355B">
        <w:t>and to allow</w:t>
      </w:r>
      <w:r w:rsidR="00CC42F7" w:rsidRPr="0099355B">
        <w:t xml:space="preserve"> wider</w:t>
      </w:r>
      <w:r w:rsidR="00833D53" w:rsidRPr="0099355B">
        <w:t xml:space="preserve"> theoretical range for </w:t>
      </w:r>
      <w:r w:rsidR="0003239B" w:rsidRPr="0099355B">
        <w:t>psychopathology</w:t>
      </w:r>
      <w:r w:rsidR="000465E5" w:rsidRPr="0099355B">
        <w:t xml:space="preserve">. </w:t>
      </w:r>
      <w:r w:rsidR="002A508E" w:rsidRPr="0099355B">
        <w:t xml:space="preserve">Future directions </w:t>
      </w:r>
      <w:r w:rsidR="000B2AB0" w:rsidRPr="0099355B">
        <w:t xml:space="preserve">may </w:t>
      </w:r>
      <w:r w:rsidR="002A508E" w:rsidRPr="0099355B">
        <w:t xml:space="preserve">include formalization of multiplicative measurement models. </w:t>
      </w:r>
      <w:r w:rsidR="003910FC" w:rsidRPr="0099355B">
        <w:t xml:space="preserve">Altogether, the results of this study suggest that multiplicative models provide a conceptual and methodological stepping stone to better understanding psychopathology </w:t>
      </w:r>
      <w:r w:rsidR="00666E17" w:rsidRPr="0099355B">
        <w:t xml:space="preserve">constructs </w:t>
      </w:r>
      <w:r w:rsidR="003910FC" w:rsidRPr="0099355B">
        <w:t>and intervention effects.</w:t>
      </w:r>
    </w:p>
    <w:p w14:paraId="1509758B" w14:textId="77777777" w:rsidR="0036344B" w:rsidRPr="0099355B" w:rsidRDefault="0036344B" w:rsidP="003D697A">
      <w:pPr>
        <w:tabs>
          <w:tab w:val="left" w:pos="4256"/>
        </w:tabs>
        <w:ind w:firstLine="720"/>
      </w:pPr>
    </w:p>
    <w:p w14:paraId="26EF09B9" w14:textId="77777777" w:rsidR="00B2331B" w:rsidRPr="0099355B" w:rsidRDefault="00B2331B" w:rsidP="00B2331B">
      <w:pPr>
        <w:ind w:firstLine="720"/>
      </w:pPr>
    </w:p>
    <w:p w14:paraId="3B54C8D6" w14:textId="77777777" w:rsidR="00B620C6" w:rsidRPr="0099355B" w:rsidRDefault="00B620C6">
      <w:r w:rsidRPr="0099355B">
        <w:br w:type="page"/>
      </w:r>
    </w:p>
    <w:p w14:paraId="3EA99049" w14:textId="77777777" w:rsidR="00A961F3" w:rsidRPr="0099355B" w:rsidRDefault="00A961F3" w:rsidP="000F394F">
      <w:pPr>
        <w:widowControl w:val="0"/>
        <w:autoSpaceDE w:val="0"/>
        <w:autoSpaceDN w:val="0"/>
        <w:adjustRightInd w:val="0"/>
        <w:ind w:left="640" w:hanging="640"/>
        <w:sectPr w:rsidR="00A961F3" w:rsidRPr="0099355B" w:rsidSect="00A961F3">
          <w:headerReference w:type="default" r:id="rId7"/>
          <w:pgSz w:w="12240" w:h="15840"/>
          <w:pgMar w:top="1440" w:right="1440" w:bottom="1440" w:left="1440" w:header="720" w:footer="720" w:gutter="0"/>
          <w:cols w:space="720"/>
          <w:docGrid w:linePitch="360"/>
        </w:sectPr>
      </w:pPr>
    </w:p>
    <w:p w14:paraId="0A11127F" w14:textId="77777777" w:rsidR="00C45782" w:rsidRPr="0099355B" w:rsidRDefault="00C45782" w:rsidP="000F394F">
      <w:pPr>
        <w:widowControl w:val="0"/>
        <w:autoSpaceDE w:val="0"/>
        <w:autoSpaceDN w:val="0"/>
        <w:adjustRightInd w:val="0"/>
        <w:ind w:left="640" w:hanging="640"/>
      </w:pPr>
      <w:r w:rsidRPr="0099355B">
        <w:lastRenderedPageBreak/>
        <w:t>References:</w:t>
      </w:r>
      <w:r w:rsidR="00E01AD4" w:rsidRPr="0099355B">
        <w:t xml:space="preserve"> </w:t>
      </w:r>
    </w:p>
    <w:p w14:paraId="05604513" w14:textId="4949744A" w:rsidR="003D6B31" w:rsidRPr="0099355B" w:rsidRDefault="00B620C6" w:rsidP="003D6B31">
      <w:pPr>
        <w:widowControl w:val="0"/>
        <w:autoSpaceDE w:val="0"/>
        <w:autoSpaceDN w:val="0"/>
        <w:adjustRightInd w:val="0"/>
        <w:ind w:left="640" w:hanging="640"/>
        <w:rPr>
          <w:noProof/>
        </w:rPr>
      </w:pPr>
      <w:r w:rsidRPr="0099355B">
        <w:fldChar w:fldCharType="begin" w:fldLock="1"/>
      </w:r>
      <w:r w:rsidRPr="0099355B">
        <w:instrText xml:space="preserve">ADDIN Mendeley Bibliography CSL_BIBLIOGRAPHY </w:instrText>
      </w:r>
      <w:r w:rsidRPr="0099355B">
        <w:fldChar w:fldCharType="separate"/>
      </w:r>
      <w:r w:rsidR="003D6B31" w:rsidRPr="0099355B">
        <w:rPr>
          <w:noProof/>
        </w:rPr>
        <w:t>[1]</w:t>
      </w:r>
      <w:r w:rsidR="003D6B31" w:rsidRPr="0099355B">
        <w:rPr>
          <w:noProof/>
        </w:rPr>
        <w:tab/>
        <w:t xml:space="preserve">D. Watson and A. Tellegen, “Toward a consensual structure of mood.,” </w:t>
      </w:r>
      <w:r w:rsidR="003D6B31" w:rsidRPr="0099355B">
        <w:rPr>
          <w:i/>
          <w:iCs/>
          <w:noProof/>
        </w:rPr>
        <w:t>Psychol. Bull.</w:t>
      </w:r>
      <w:r w:rsidR="003D6B31" w:rsidRPr="0099355B">
        <w:rPr>
          <w:noProof/>
        </w:rPr>
        <w:t>, vol. 98, no. 2, pp. 219–235, 1985.</w:t>
      </w:r>
    </w:p>
    <w:p w14:paraId="5946A9E4" w14:textId="77777777" w:rsidR="003D6B31" w:rsidRPr="0099355B" w:rsidRDefault="003D6B31" w:rsidP="003D6B31">
      <w:pPr>
        <w:widowControl w:val="0"/>
        <w:autoSpaceDE w:val="0"/>
        <w:autoSpaceDN w:val="0"/>
        <w:adjustRightInd w:val="0"/>
        <w:ind w:left="640" w:hanging="640"/>
        <w:rPr>
          <w:noProof/>
        </w:rPr>
      </w:pPr>
      <w:r w:rsidRPr="0099355B">
        <w:rPr>
          <w:noProof/>
        </w:rPr>
        <w:t>[2]</w:t>
      </w:r>
      <w:r w:rsidRPr="0099355B">
        <w:rPr>
          <w:noProof/>
        </w:rPr>
        <w:tab/>
        <w:t xml:space="preserve">L. L. Hawley </w:t>
      </w:r>
      <w:r w:rsidRPr="0099355B">
        <w:rPr>
          <w:i/>
          <w:iCs/>
          <w:noProof/>
        </w:rPr>
        <w:t>et al.</w:t>
      </w:r>
      <w:r w:rsidRPr="0099355B">
        <w:rPr>
          <w:noProof/>
        </w:rPr>
        <w:t xml:space="preserve">, “Cognitive-Behavioral Therapy for Depression Using Mind Over Mood: CBT Skill Use and Differential Symptom Alleviation,” </w:t>
      </w:r>
      <w:r w:rsidRPr="0099355B">
        <w:rPr>
          <w:i/>
          <w:iCs/>
          <w:noProof/>
        </w:rPr>
        <w:t>Behav. Ther.</w:t>
      </w:r>
      <w:r w:rsidRPr="0099355B">
        <w:rPr>
          <w:noProof/>
        </w:rPr>
        <w:t>, vol. 48, no. 1, pp. 29–44, Jan. 2017.</w:t>
      </w:r>
    </w:p>
    <w:p w14:paraId="06F06E51" w14:textId="77777777" w:rsidR="003D6B31" w:rsidRPr="0099355B" w:rsidRDefault="003D6B31" w:rsidP="003D6B31">
      <w:pPr>
        <w:widowControl w:val="0"/>
        <w:autoSpaceDE w:val="0"/>
        <w:autoSpaceDN w:val="0"/>
        <w:adjustRightInd w:val="0"/>
        <w:ind w:left="640" w:hanging="640"/>
        <w:rPr>
          <w:noProof/>
        </w:rPr>
      </w:pPr>
      <w:r w:rsidRPr="0099355B">
        <w:rPr>
          <w:noProof/>
        </w:rPr>
        <w:t>[3]</w:t>
      </w:r>
      <w:r w:rsidRPr="0099355B">
        <w:rPr>
          <w:noProof/>
        </w:rPr>
        <w:tab/>
        <w:t xml:space="preserve">S. Occhipinti, S. K. Chambers, S. Lepore, J. Aitken, and J. Dunn, “A longitudinal study of post-traumatic growth and psychological distress in colorectal cancer survivors,” </w:t>
      </w:r>
      <w:r w:rsidRPr="0099355B">
        <w:rPr>
          <w:i/>
          <w:iCs/>
          <w:noProof/>
        </w:rPr>
        <w:t>PLoS One</w:t>
      </w:r>
      <w:r w:rsidRPr="0099355B">
        <w:rPr>
          <w:noProof/>
        </w:rPr>
        <w:t>, vol. 10, no. 9, pp. 1–12, 2015.</w:t>
      </w:r>
    </w:p>
    <w:p w14:paraId="50C4CEC6" w14:textId="77777777" w:rsidR="003D6B31" w:rsidRPr="0099355B" w:rsidRDefault="003D6B31" w:rsidP="003D6B31">
      <w:pPr>
        <w:widowControl w:val="0"/>
        <w:autoSpaceDE w:val="0"/>
        <w:autoSpaceDN w:val="0"/>
        <w:adjustRightInd w:val="0"/>
        <w:ind w:left="640" w:hanging="640"/>
        <w:rPr>
          <w:noProof/>
        </w:rPr>
      </w:pPr>
      <w:r w:rsidRPr="0099355B">
        <w:rPr>
          <w:noProof/>
        </w:rPr>
        <w:t>[4]</w:t>
      </w:r>
      <w:r w:rsidRPr="0099355B">
        <w:rPr>
          <w:noProof/>
        </w:rPr>
        <w:tab/>
        <w:t xml:space="preserve">N. L. Kocovski, J. E. Fleming, L. L. Hawley, M.-H. R. Ho, and M. M. Antony, “Mindfulness and acceptance-based group therapy and traditional cognitive behavioral group therapy for social anxiety disorder: Mechanisms of change,” </w:t>
      </w:r>
      <w:r w:rsidRPr="0099355B">
        <w:rPr>
          <w:i/>
          <w:iCs/>
          <w:noProof/>
        </w:rPr>
        <w:t>Behav. Res. Ther.</w:t>
      </w:r>
      <w:r w:rsidRPr="0099355B">
        <w:rPr>
          <w:noProof/>
        </w:rPr>
        <w:t>, vol. 70, pp. 11–22, Jul. 2015.</w:t>
      </w:r>
    </w:p>
    <w:p w14:paraId="293D685C" w14:textId="77777777" w:rsidR="003D6B31" w:rsidRPr="0099355B" w:rsidRDefault="003D6B31" w:rsidP="003D6B31">
      <w:pPr>
        <w:widowControl w:val="0"/>
        <w:autoSpaceDE w:val="0"/>
        <w:autoSpaceDN w:val="0"/>
        <w:adjustRightInd w:val="0"/>
        <w:ind w:left="640" w:hanging="640"/>
        <w:rPr>
          <w:noProof/>
        </w:rPr>
      </w:pPr>
      <w:r w:rsidRPr="0099355B">
        <w:rPr>
          <w:noProof/>
        </w:rPr>
        <w:t>[5]</w:t>
      </w:r>
      <w:r w:rsidRPr="0099355B">
        <w:rPr>
          <w:noProof/>
        </w:rPr>
        <w:tab/>
        <w:t xml:space="preserve">H. Cramér, “On the composition of elementary errors,” </w:t>
      </w:r>
      <w:r w:rsidRPr="0099355B">
        <w:rPr>
          <w:i/>
          <w:iCs/>
          <w:noProof/>
        </w:rPr>
        <w:t>Scand. Actuar. J.</w:t>
      </w:r>
      <w:r w:rsidRPr="0099355B">
        <w:rPr>
          <w:noProof/>
        </w:rPr>
        <w:t>, vol. 1928, no. 1, pp. 13–74, Jan. 1928.</w:t>
      </w:r>
    </w:p>
    <w:p w14:paraId="33D95083" w14:textId="77777777" w:rsidR="003D6B31" w:rsidRPr="0099355B" w:rsidRDefault="003D6B31" w:rsidP="003D6B31">
      <w:pPr>
        <w:widowControl w:val="0"/>
        <w:autoSpaceDE w:val="0"/>
        <w:autoSpaceDN w:val="0"/>
        <w:adjustRightInd w:val="0"/>
        <w:ind w:left="640" w:hanging="640"/>
        <w:rPr>
          <w:noProof/>
        </w:rPr>
      </w:pPr>
      <w:r w:rsidRPr="0099355B">
        <w:rPr>
          <w:noProof/>
        </w:rPr>
        <w:t>[6]</w:t>
      </w:r>
      <w:r w:rsidRPr="0099355B">
        <w:rPr>
          <w:noProof/>
        </w:rPr>
        <w:tab/>
        <w:t xml:space="preserve">S. Tomitaka and T. A. Furukawa, “Mathematical model for the distribution of major depressive episode durations,” </w:t>
      </w:r>
      <w:r w:rsidRPr="0099355B">
        <w:rPr>
          <w:i/>
          <w:iCs/>
          <w:noProof/>
        </w:rPr>
        <w:t>BMC Res. Notes</w:t>
      </w:r>
      <w:r w:rsidRPr="0099355B">
        <w:rPr>
          <w:noProof/>
        </w:rPr>
        <w:t>, vol. 7, no. 1, p. 636, 2014.</w:t>
      </w:r>
    </w:p>
    <w:p w14:paraId="32F2892F" w14:textId="77777777" w:rsidR="003D6B31" w:rsidRPr="0099355B" w:rsidRDefault="003D6B31" w:rsidP="003D6B31">
      <w:pPr>
        <w:widowControl w:val="0"/>
        <w:autoSpaceDE w:val="0"/>
        <w:autoSpaceDN w:val="0"/>
        <w:adjustRightInd w:val="0"/>
        <w:ind w:left="640" w:hanging="640"/>
        <w:rPr>
          <w:noProof/>
        </w:rPr>
      </w:pPr>
      <w:r w:rsidRPr="0099355B">
        <w:rPr>
          <w:noProof/>
        </w:rPr>
        <w:t>[7]</w:t>
      </w:r>
      <w:r w:rsidRPr="0099355B">
        <w:rPr>
          <w:noProof/>
        </w:rPr>
        <w:tab/>
        <w:t xml:space="preserve">S. Tomitaka, Y. Kawasaki, K. Ide, H. Yamada, H. Miyake, and T. A. Furukaw, “Distribution of Total Depressive Symptoms Scores and Each Depressive Symptom Item in a Sample of Japanese Employees,” </w:t>
      </w:r>
      <w:r w:rsidRPr="0099355B">
        <w:rPr>
          <w:i/>
          <w:iCs/>
          <w:noProof/>
        </w:rPr>
        <w:t>PLoS One</w:t>
      </w:r>
      <w:r w:rsidRPr="0099355B">
        <w:rPr>
          <w:noProof/>
        </w:rPr>
        <w:t>, vol. 11, no. 1, p. e0147577, Jan. 2016.</w:t>
      </w:r>
    </w:p>
    <w:p w14:paraId="1D859084" w14:textId="77777777" w:rsidR="003D6B31" w:rsidRPr="0099355B" w:rsidRDefault="003D6B31" w:rsidP="003D6B31">
      <w:pPr>
        <w:widowControl w:val="0"/>
        <w:autoSpaceDE w:val="0"/>
        <w:autoSpaceDN w:val="0"/>
        <w:adjustRightInd w:val="0"/>
        <w:ind w:left="640" w:hanging="640"/>
        <w:rPr>
          <w:noProof/>
        </w:rPr>
      </w:pPr>
      <w:r w:rsidRPr="0099355B">
        <w:rPr>
          <w:noProof/>
        </w:rPr>
        <w:t>[8]</w:t>
      </w:r>
      <w:r w:rsidRPr="0099355B">
        <w:rPr>
          <w:noProof/>
        </w:rPr>
        <w:tab/>
        <w:t xml:space="preserve">R. Gibrat, </w:t>
      </w:r>
      <w:r w:rsidRPr="0099355B">
        <w:rPr>
          <w:i/>
          <w:iCs/>
          <w:noProof/>
        </w:rPr>
        <w:t>Les Inégalités économiques</w:t>
      </w:r>
      <w:r w:rsidRPr="0099355B">
        <w:rPr>
          <w:noProof/>
        </w:rPr>
        <w:t>, 1st ed. Paris, France: Recueil Sirey, 1931.</w:t>
      </w:r>
    </w:p>
    <w:p w14:paraId="2805D386" w14:textId="77777777" w:rsidR="003D6B31" w:rsidRPr="0099355B" w:rsidRDefault="003D6B31" w:rsidP="003D6B31">
      <w:pPr>
        <w:widowControl w:val="0"/>
        <w:autoSpaceDE w:val="0"/>
        <w:autoSpaceDN w:val="0"/>
        <w:adjustRightInd w:val="0"/>
        <w:ind w:left="640" w:hanging="640"/>
        <w:rPr>
          <w:noProof/>
        </w:rPr>
      </w:pPr>
      <w:r w:rsidRPr="0099355B">
        <w:rPr>
          <w:noProof/>
        </w:rPr>
        <w:t>[9]</w:t>
      </w:r>
      <w:r w:rsidRPr="0099355B">
        <w:rPr>
          <w:noProof/>
        </w:rPr>
        <w:tab/>
        <w:t xml:space="preserve">E. Limpert, W. A. Stahel, and M. Abbt, “Log-normal Distributions across the Sciences: Keys and Clues,” </w:t>
      </w:r>
      <w:r w:rsidRPr="0099355B">
        <w:rPr>
          <w:i/>
          <w:iCs/>
          <w:noProof/>
        </w:rPr>
        <w:t>Bioscience</w:t>
      </w:r>
      <w:r w:rsidRPr="0099355B">
        <w:rPr>
          <w:noProof/>
        </w:rPr>
        <w:t>, vol. 51, no. 5, p. 341, 2001.</w:t>
      </w:r>
    </w:p>
    <w:p w14:paraId="02907EAB" w14:textId="77777777" w:rsidR="003D6B31" w:rsidRPr="0099355B" w:rsidRDefault="003D6B31" w:rsidP="003D6B31">
      <w:pPr>
        <w:widowControl w:val="0"/>
        <w:autoSpaceDE w:val="0"/>
        <w:autoSpaceDN w:val="0"/>
        <w:adjustRightInd w:val="0"/>
        <w:ind w:left="640" w:hanging="640"/>
        <w:rPr>
          <w:noProof/>
        </w:rPr>
      </w:pPr>
      <w:r w:rsidRPr="0099355B">
        <w:rPr>
          <w:noProof/>
        </w:rPr>
        <w:t>[10]</w:t>
      </w:r>
      <w:r w:rsidRPr="0099355B">
        <w:rPr>
          <w:noProof/>
        </w:rPr>
        <w:tab/>
        <w:t xml:space="preserve">M. J. V. Fennell and J. D. Teasdale, “Cognitive therapy for depression: Individual differences and the process of change,” </w:t>
      </w:r>
      <w:r w:rsidRPr="0099355B">
        <w:rPr>
          <w:i/>
          <w:iCs/>
          <w:noProof/>
        </w:rPr>
        <w:t>Cognit. Ther. Res.</w:t>
      </w:r>
      <w:r w:rsidRPr="0099355B">
        <w:rPr>
          <w:noProof/>
        </w:rPr>
        <w:t>, vol. 11, no. 2, pp. 253–271, Apr. 1987.</w:t>
      </w:r>
    </w:p>
    <w:p w14:paraId="7C58286E" w14:textId="77777777" w:rsidR="003D6B31" w:rsidRPr="0099355B" w:rsidRDefault="003D6B31" w:rsidP="003D6B31">
      <w:pPr>
        <w:widowControl w:val="0"/>
        <w:autoSpaceDE w:val="0"/>
        <w:autoSpaceDN w:val="0"/>
        <w:adjustRightInd w:val="0"/>
        <w:ind w:left="640" w:hanging="640"/>
        <w:rPr>
          <w:noProof/>
        </w:rPr>
      </w:pPr>
      <w:r w:rsidRPr="0099355B">
        <w:rPr>
          <w:noProof/>
        </w:rPr>
        <w:t>[11]</w:t>
      </w:r>
      <w:r w:rsidRPr="0099355B">
        <w:rPr>
          <w:noProof/>
        </w:rPr>
        <w:tab/>
        <w:t xml:space="preserve">Q. Liu and S. E. Maxwell, “Multiplicative treatment effects in randomized pretest-posttest experimental designs.,” </w:t>
      </w:r>
      <w:r w:rsidRPr="0099355B">
        <w:rPr>
          <w:i/>
          <w:iCs/>
          <w:noProof/>
        </w:rPr>
        <w:t>Psychol. Methods</w:t>
      </w:r>
      <w:r w:rsidRPr="0099355B">
        <w:rPr>
          <w:noProof/>
        </w:rPr>
        <w:t>, Jun. 2019.</w:t>
      </w:r>
    </w:p>
    <w:p w14:paraId="5D13FAA6" w14:textId="77777777" w:rsidR="003D6B31" w:rsidRPr="0099355B" w:rsidRDefault="003D6B31" w:rsidP="003D6B31">
      <w:pPr>
        <w:widowControl w:val="0"/>
        <w:autoSpaceDE w:val="0"/>
        <w:autoSpaceDN w:val="0"/>
        <w:adjustRightInd w:val="0"/>
        <w:ind w:left="640" w:hanging="640"/>
        <w:rPr>
          <w:noProof/>
        </w:rPr>
      </w:pPr>
      <w:r w:rsidRPr="0099355B">
        <w:rPr>
          <w:noProof/>
        </w:rPr>
        <w:t>[12]</w:t>
      </w:r>
      <w:r w:rsidRPr="0099355B">
        <w:rPr>
          <w:noProof/>
        </w:rPr>
        <w:tab/>
        <w:t xml:space="preserve">Open Science Collaboration, “Estimating the reproducibility of psychological science,” </w:t>
      </w:r>
      <w:r w:rsidRPr="0099355B">
        <w:rPr>
          <w:i/>
          <w:iCs/>
          <w:noProof/>
        </w:rPr>
        <w:t>Science (80-. ).</w:t>
      </w:r>
      <w:r w:rsidRPr="0099355B">
        <w:rPr>
          <w:noProof/>
        </w:rPr>
        <w:t>, vol. 349, no. 6251, pp. aac4716–aac4716, Aug. 2015.</w:t>
      </w:r>
    </w:p>
    <w:p w14:paraId="6283986E" w14:textId="77777777" w:rsidR="003D6B31" w:rsidRPr="0099355B" w:rsidRDefault="003D6B31" w:rsidP="003D6B31">
      <w:pPr>
        <w:widowControl w:val="0"/>
        <w:autoSpaceDE w:val="0"/>
        <w:autoSpaceDN w:val="0"/>
        <w:adjustRightInd w:val="0"/>
        <w:ind w:left="640" w:hanging="640"/>
        <w:rPr>
          <w:noProof/>
        </w:rPr>
      </w:pPr>
      <w:r w:rsidRPr="0099355B">
        <w:rPr>
          <w:noProof/>
        </w:rPr>
        <w:t>[13]</w:t>
      </w:r>
      <w:r w:rsidRPr="0099355B">
        <w:rPr>
          <w:noProof/>
        </w:rPr>
        <w:tab/>
        <w:t xml:space="preserve">J. L. Tackett, C. M. Brandes, K. M. King, and K. E. Markon, “Psychology’s Replication Crisis and Clinical Psychological Science,” </w:t>
      </w:r>
      <w:r w:rsidRPr="0099355B">
        <w:rPr>
          <w:i/>
          <w:iCs/>
          <w:noProof/>
        </w:rPr>
        <w:t>Annu. Rev. Clin. Psychol.</w:t>
      </w:r>
      <w:r w:rsidRPr="0099355B">
        <w:rPr>
          <w:noProof/>
        </w:rPr>
        <w:t>, vol. 15, no. 1, pp. 579–604, May 2019.</w:t>
      </w:r>
    </w:p>
    <w:p w14:paraId="6D7BA3E7" w14:textId="77777777" w:rsidR="003D6B31" w:rsidRPr="0099355B" w:rsidRDefault="003D6B31" w:rsidP="003D6B31">
      <w:pPr>
        <w:widowControl w:val="0"/>
        <w:autoSpaceDE w:val="0"/>
        <w:autoSpaceDN w:val="0"/>
        <w:adjustRightInd w:val="0"/>
        <w:ind w:left="640" w:hanging="640"/>
        <w:rPr>
          <w:noProof/>
        </w:rPr>
      </w:pPr>
      <w:r w:rsidRPr="0099355B">
        <w:rPr>
          <w:noProof/>
        </w:rPr>
        <w:t>[14]</w:t>
      </w:r>
      <w:r w:rsidRPr="0099355B">
        <w:rPr>
          <w:noProof/>
        </w:rPr>
        <w:tab/>
        <w:t xml:space="preserve">H. Pashler and C. R. Harris, “Is the Replicability Crisis Overblown? Three Arguments Examined,” </w:t>
      </w:r>
      <w:r w:rsidRPr="0099355B">
        <w:rPr>
          <w:i/>
          <w:iCs/>
          <w:noProof/>
        </w:rPr>
        <w:t>Perspect. Psychol. Sci.</w:t>
      </w:r>
      <w:r w:rsidRPr="0099355B">
        <w:rPr>
          <w:noProof/>
        </w:rPr>
        <w:t>, vol. 7, no. 6, pp. 531–536, Nov. 2012.</w:t>
      </w:r>
    </w:p>
    <w:p w14:paraId="3B4BBCFE" w14:textId="77777777" w:rsidR="003D6B31" w:rsidRPr="0099355B" w:rsidRDefault="003D6B31" w:rsidP="003D6B31">
      <w:pPr>
        <w:widowControl w:val="0"/>
        <w:autoSpaceDE w:val="0"/>
        <w:autoSpaceDN w:val="0"/>
        <w:adjustRightInd w:val="0"/>
        <w:ind w:left="640" w:hanging="640"/>
        <w:rPr>
          <w:noProof/>
        </w:rPr>
      </w:pPr>
      <w:r w:rsidRPr="0099355B">
        <w:rPr>
          <w:noProof/>
        </w:rPr>
        <w:t>[15]</w:t>
      </w:r>
      <w:r w:rsidRPr="0099355B">
        <w:rPr>
          <w:noProof/>
        </w:rPr>
        <w:tab/>
        <w:t>P. Pilkonis, “PROMIS 1 Wave 2 Depression.” Harvard Dataverse.</w:t>
      </w:r>
    </w:p>
    <w:p w14:paraId="639E41A6" w14:textId="77777777" w:rsidR="003D6B31" w:rsidRPr="0099355B" w:rsidRDefault="003D6B31" w:rsidP="003D6B31">
      <w:pPr>
        <w:widowControl w:val="0"/>
        <w:autoSpaceDE w:val="0"/>
        <w:autoSpaceDN w:val="0"/>
        <w:adjustRightInd w:val="0"/>
        <w:ind w:left="640" w:hanging="640"/>
        <w:rPr>
          <w:noProof/>
        </w:rPr>
      </w:pPr>
      <w:r w:rsidRPr="0099355B">
        <w:rPr>
          <w:noProof/>
        </w:rPr>
        <w:t>[16]</w:t>
      </w:r>
      <w:r w:rsidRPr="0099355B">
        <w:rPr>
          <w:noProof/>
        </w:rPr>
        <w:tab/>
        <w:t xml:space="preserve">K. P. Burnham and D. R. Anderson, </w:t>
      </w:r>
      <w:r w:rsidRPr="0099355B">
        <w:rPr>
          <w:i/>
          <w:iCs/>
          <w:noProof/>
        </w:rPr>
        <w:t>Model Selection and Multimodel Inference: A Practical Information-Theoretic Approach</w:t>
      </w:r>
      <w:r w:rsidRPr="0099355B">
        <w:rPr>
          <w:noProof/>
        </w:rPr>
        <w:t>, 2nd Editio. New York: Springer-Verlag, 2002.</w:t>
      </w:r>
    </w:p>
    <w:p w14:paraId="7E758313" w14:textId="6FE38E11" w:rsidR="007E1AC3" w:rsidRPr="0099355B" w:rsidRDefault="00B620C6" w:rsidP="003D6B31">
      <w:pPr>
        <w:widowControl w:val="0"/>
        <w:autoSpaceDE w:val="0"/>
        <w:autoSpaceDN w:val="0"/>
        <w:adjustRightInd w:val="0"/>
        <w:ind w:left="480" w:hanging="480"/>
        <w:sectPr w:rsidR="007E1AC3" w:rsidRPr="0099355B" w:rsidSect="007E1AC3">
          <w:pgSz w:w="12240" w:h="15840"/>
          <w:pgMar w:top="1440" w:right="1440" w:bottom="1440" w:left="1440" w:header="720" w:footer="720" w:gutter="0"/>
          <w:cols w:space="720"/>
          <w:docGrid w:linePitch="360"/>
        </w:sectPr>
      </w:pPr>
      <w:r w:rsidRPr="0099355B">
        <w:fldChar w:fldCharType="end"/>
      </w:r>
      <w:r w:rsidR="00C45782" w:rsidRPr="0099355B">
        <w:t xml:space="preserve"> </w:t>
      </w:r>
    </w:p>
    <w:p w14:paraId="7D326623" w14:textId="62BB2496" w:rsidR="007E1AC3" w:rsidRPr="00465181" w:rsidRDefault="007E1AC3" w:rsidP="00C52303">
      <w:pPr>
        <w:widowControl w:val="0"/>
        <w:autoSpaceDE w:val="0"/>
        <w:autoSpaceDN w:val="0"/>
        <w:adjustRightInd w:val="0"/>
        <w:ind w:left="640" w:hanging="640"/>
        <w:jc w:val="center"/>
        <w:rPr>
          <w:i/>
        </w:rPr>
      </w:pPr>
      <w:r w:rsidRPr="00465181">
        <w:rPr>
          <w:i/>
        </w:rPr>
        <w:lastRenderedPageBreak/>
        <w:t>Table 1</w:t>
      </w:r>
      <w:r w:rsidR="00471B47" w:rsidRPr="00465181">
        <w:rPr>
          <w:i/>
        </w:rPr>
        <w:t>a</w:t>
      </w:r>
      <w:r w:rsidR="00C52303" w:rsidRPr="00465181">
        <w:rPr>
          <w:i/>
        </w:rPr>
        <w:t>. Fixed</w:t>
      </w:r>
      <w:r w:rsidR="00B17E48" w:rsidRPr="00465181">
        <w:rPr>
          <w:i/>
        </w:rPr>
        <w:t xml:space="preserve"> </w:t>
      </w:r>
      <w:r w:rsidR="00C52303" w:rsidRPr="00465181">
        <w:rPr>
          <w:i/>
        </w:rPr>
        <w:t xml:space="preserve">Effects </w:t>
      </w:r>
      <w:r w:rsidR="00183742" w:rsidRPr="00465181">
        <w:rPr>
          <w:i/>
        </w:rPr>
        <w:t xml:space="preserve">and Trend </w:t>
      </w:r>
      <w:r w:rsidR="00AE5136" w:rsidRPr="00465181">
        <w:rPr>
          <w:i/>
        </w:rPr>
        <w:t xml:space="preserve">Analysis </w:t>
      </w:r>
      <w:r w:rsidR="00C52303" w:rsidRPr="00465181">
        <w:rPr>
          <w:i/>
        </w:rPr>
        <w:t xml:space="preserve">Models for </w:t>
      </w:r>
      <w:r w:rsidR="00AE5136" w:rsidRPr="00465181">
        <w:rPr>
          <w:i/>
        </w:rPr>
        <w:t>I</w:t>
      </w:r>
      <w:r w:rsidR="00C52303" w:rsidRPr="00465181">
        <w:rPr>
          <w:i/>
        </w:rPr>
        <w:t>nter-</w:t>
      </w:r>
      <w:r w:rsidR="00AE5136" w:rsidRPr="00465181">
        <w:rPr>
          <w:i/>
        </w:rPr>
        <w:t>P</w:t>
      </w:r>
      <w:r w:rsidR="00C52303" w:rsidRPr="00465181">
        <w:rPr>
          <w:i/>
        </w:rPr>
        <w:t xml:space="preserve">anel </w:t>
      </w:r>
      <w:r w:rsidR="00AE5136" w:rsidRPr="00465181">
        <w:rPr>
          <w:i/>
        </w:rPr>
        <w:t>R</w:t>
      </w:r>
      <w:r w:rsidR="00C52303" w:rsidRPr="00465181">
        <w:rPr>
          <w:i/>
        </w:rPr>
        <w:t>elations</w:t>
      </w:r>
    </w:p>
    <w:p w14:paraId="11853ED5" w14:textId="77777777" w:rsidR="007E1AC3" w:rsidRPr="0099355B" w:rsidRDefault="007E1AC3" w:rsidP="007E1AC3">
      <w:pPr>
        <w:widowControl w:val="0"/>
        <w:autoSpaceDE w:val="0"/>
        <w:autoSpaceDN w:val="0"/>
        <w:adjustRightInd w:val="0"/>
      </w:pPr>
    </w:p>
    <w:tbl>
      <w:tblPr>
        <w:tblStyle w:val="TableGrid"/>
        <w:tblW w:w="115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170"/>
        <w:gridCol w:w="2160"/>
        <w:gridCol w:w="1260"/>
        <w:gridCol w:w="805"/>
        <w:gridCol w:w="1800"/>
        <w:gridCol w:w="1078"/>
        <w:gridCol w:w="1439"/>
      </w:tblGrid>
      <w:tr w:rsidR="001A5206" w:rsidRPr="0099355B" w14:paraId="3E926AC0" w14:textId="77777777" w:rsidTr="004B4C37">
        <w:trPr>
          <w:trHeight w:val="432"/>
          <w:jc w:val="center"/>
        </w:trPr>
        <w:tc>
          <w:tcPr>
            <w:tcW w:w="1800" w:type="dxa"/>
            <w:tcBorders>
              <w:top w:val="single" w:sz="4" w:space="0" w:color="auto"/>
              <w:bottom w:val="single" w:sz="4" w:space="0" w:color="auto"/>
            </w:tcBorders>
            <w:vAlign w:val="center"/>
          </w:tcPr>
          <w:p w14:paraId="3FC83D6E" w14:textId="77777777" w:rsidR="001A5206" w:rsidRPr="0099355B" w:rsidRDefault="001A5206" w:rsidP="00040966">
            <w:pPr>
              <w:spacing w:line="360" w:lineRule="auto"/>
              <w:ind w:leftChars="-81" w:left="-194" w:firstLineChars="0" w:firstLine="138"/>
              <w:jc w:val="center"/>
              <w:rPr>
                <w:bCs/>
                <w:lang w:eastAsia="en-US"/>
              </w:rPr>
            </w:pPr>
          </w:p>
        </w:tc>
        <w:tc>
          <w:tcPr>
            <w:tcW w:w="1170" w:type="dxa"/>
            <w:tcBorders>
              <w:top w:val="single" w:sz="4" w:space="0" w:color="auto"/>
              <w:bottom w:val="single" w:sz="4" w:space="0" w:color="auto"/>
            </w:tcBorders>
            <w:vAlign w:val="center"/>
          </w:tcPr>
          <w:p w14:paraId="7FE98CCF" w14:textId="77777777" w:rsidR="001A5206" w:rsidRPr="0099355B" w:rsidRDefault="001A5206" w:rsidP="00040966">
            <w:pPr>
              <w:spacing w:line="360" w:lineRule="auto"/>
              <w:ind w:firstLineChars="0" w:firstLine="0"/>
              <w:jc w:val="center"/>
              <w:rPr>
                <w:bCs/>
                <w:lang w:eastAsia="en-US"/>
              </w:rPr>
            </w:pPr>
            <w:r w:rsidRPr="0099355B">
              <w:rPr>
                <w:bCs/>
                <w:lang w:eastAsia="en-US"/>
              </w:rPr>
              <w:t>AIC</w:t>
            </w:r>
          </w:p>
        </w:tc>
        <w:tc>
          <w:tcPr>
            <w:tcW w:w="2160" w:type="dxa"/>
            <w:tcBorders>
              <w:top w:val="single" w:sz="4" w:space="0" w:color="auto"/>
              <w:bottom w:val="single" w:sz="4" w:space="0" w:color="auto"/>
            </w:tcBorders>
            <w:vAlign w:val="center"/>
          </w:tcPr>
          <w:p w14:paraId="3DCBD7F6" w14:textId="77777777" w:rsidR="001A5206" w:rsidRPr="0099355B" w:rsidRDefault="001A5206" w:rsidP="00040966">
            <w:pPr>
              <w:spacing w:line="360" w:lineRule="auto"/>
              <w:ind w:firstLineChars="0" w:firstLine="0"/>
              <w:jc w:val="center"/>
              <w:rPr>
                <w:bCs/>
                <w:kern w:val="0"/>
                <w:lang w:eastAsia="en-US"/>
              </w:rPr>
            </w:pPr>
            <w:r w:rsidRPr="0099355B">
              <w:rPr>
                <w:bCs/>
                <w:kern w:val="0"/>
                <w:lang w:eastAsia="en-US"/>
              </w:rPr>
              <w:t>Predictors</w:t>
            </w:r>
          </w:p>
        </w:tc>
        <w:tc>
          <w:tcPr>
            <w:tcW w:w="1260" w:type="dxa"/>
            <w:tcBorders>
              <w:top w:val="single" w:sz="4" w:space="0" w:color="auto"/>
              <w:bottom w:val="single" w:sz="4" w:space="0" w:color="auto"/>
            </w:tcBorders>
            <w:vAlign w:val="center"/>
          </w:tcPr>
          <w:p w14:paraId="5028CE76" w14:textId="77777777" w:rsidR="001A5206" w:rsidRPr="0099355B" w:rsidRDefault="006D66F5" w:rsidP="00040966">
            <w:pPr>
              <w:spacing w:line="360" w:lineRule="auto"/>
              <w:ind w:firstLineChars="0" w:firstLine="0"/>
              <w:jc w:val="center"/>
              <w:rPr>
                <w:vertAlign w:val="superscript"/>
              </w:rPr>
            </w:pPr>
            <w:r w:rsidRPr="0099355B">
              <w:t>Estimates</w:t>
            </w:r>
            <w:r w:rsidRPr="0099355B">
              <w:rPr>
                <w:vertAlign w:val="superscript"/>
              </w:rPr>
              <w:t>1</w:t>
            </w:r>
          </w:p>
        </w:tc>
        <w:tc>
          <w:tcPr>
            <w:tcW w:w="805" w:type="dxa"/>
            <w:tcBorders>
              <w:top w:val="single" w:sz="4" w:space="0" w:color="auto"/>
              <w:bottom w:val="single" w:sz="4" w:space="0" w:color="auto"/>
            </w:tcBorders>
            <w:vAlign w:val="center"/>
          </w:tcPr>
          <w:p w14:paraId="48855364" w14:textId="77777777" w:rsidR="001A5206" w:rsidRPr="0099355B" w:rsidRDefault="001A5206" w:rsidP="00040966">
            <w:pPr>
              <w:spacing w:line="360" w:lineRule="auto"/>
              <w:ind w:firstLineChars="0" w:firstLine="0"/>
              <w:jc w:val="center"/>
              <w:rPr>
                <w:vertAlign w:val="superscript"/>
              </w:rPr>
            </w:pPr>
            <w:r w:rsidRPr="0099355B">
              <w:t>SE</w:t>
            </w:r>
            <w:r w:rsidR="00C52303" w:rsidRPr="0099355B">
              <w:rPr>
                <w:vertAlign w:val="superscript"/>
              </w:rPr>
              <w:t>2</w:t>
            </w:r>
          </w:p>
        </w:tc>
        <w:tc>
          <w:tcPr>
            <w:tcW w:w="1800" w:type="dxa"/>
            <w:tcBorders>
              <w:top w:val="single" w:sz="4" w:space="0" w:color="auto"/>
              <w:bottom w:val="single" w:sz="4" w:space="0" w:color="auto"/>
            </w:tcBorders>
            <w:vAlign w:val="center"/>
          </w:tcPr>
          <w:p w14:paraId="3DDD0AF4" w14:textId="77777777" w:rsidR="001A5206" w:rsidRPr="0099355B" w:rsidRDefault="001A5206" w:rsidP="00040966">
            <w:pPr>
              <w:spacing w:line="360" w:lineRule="auto"/>
              <w:ind w:firstLine="600"/>
              <w:jc w:val="center"/>
              <w:rPr>
                <w:vertAlign w:val="superscript"/>
              </w:rPr>
            </w:pPr>
            <w:r w:rsidRPr="0099355B">
              <w:t>95% CI</w:t>
            </w:r>
          </w:p>
        </w:tc>
        <w:tc>
          <w:tcPr>
            <w:tcW w:w="1078" w:type="dxa"/>
            <w:tcBorders>
              <w:top w:val="single" w:sz="4" w:space="0" w:color="auto"/>
              <w:bottom w:val="single" w:sz="4" w:space="0" w:color="auto"/>
            </w:tcBorders>
            <w:vAlign w:val="center"/>
          </w:tcPr>
          <w:p w14:paraId="63FA147F" w14:textId="77777777" w:rsidR="001A5206" w:rsidRPr="0099355B" w:rsidRDefault="001A5206" w:rsidP="00040966">
            <w:pPr>
              <w:spacing w:line="360" w:lineRule="auto"/>
              <w:ind w:firstLineChars="0" w:firstLine="0"/>
              <w:jc w:val="center"/>
              <w:rPr>
                <w:i/>
              </w:rPr>
            </w:pPr>
            <w:r w:rsidRPr="0099355B">
              <w:rPr>
                <w:i/>
              </w:rPr>
              <w:t>t</w:t>
            </w:r>
          </w:p>
        </w:tc>
        <w:tc>
          <w:tcPr>
            <w:tcW w:w="1439" w:type="dxa"/>
            <w:tcBorders>
              <w:top w:val="single" w:sz="4" w:space="0" w:color="auto"/>
              <w:bottom w:val="single" w:sz="4" w:space="0" w:color="auto"/>
            </w:tcBorders>
            <w:vAlign w:val="center"/>
          </w:tcPr>
          <w:p w14:paraId="0BF12E85" w14:textId="77777777" w:rsidR="001A5206" w:rsidRPr="0099355B" w:rsidRDefault="001A5206" w:rsidP="00040966">
            <w:pPr>
              <w:spacing w:line="360" w:lineRule="auto"/>
              <w:ind w:firstLineChars="0" w:firstLine="0"/>
              <w:jc w:val="center"/>
            </w:pPr>
            <w:r w:rsidRPr="0099355B">
              <w:t>p</w:t>
            </w:r>
          </w:p>
        </w:tc>
      </w:tr>
      <w:tr w:rsidR="001A5206" w:rsidRPr="0099355B" w14:paraId="294C11FC" w14:textId="77777777" w:rsidTr="004B4C37">
        <w:trPr>
          <w:trHeight w:val="432"/>
          <w:jc w:val="center"/>
        </w:trPr>
        <w:tc>
          <w:tcPr>
            <w:tcW w:w="1800" w:type="dxa"/>
            <w:vMerge w:val="restart"/>
            <w:tcBorders>
              <w:top w:val="single" w:sz="4" w:space="0" w:color="auto"/>
            </w:tcBorders>
            <w:vAlign w:val="center"/>
          </w:tcPr>
          <w:p w14:paraId="121617B4" w14:textId="77777777" w:rsidR="001A5206" w:rsidRPr="0099355B" w:rsidRDefault="00510618" w:rsidP="00040966">
            <w:pPr>
              <w:spacing w:line="360" w:lineRule="auto"/>
              <w:ind w:leftChars="-11" w:left="-19" w:firstLineChars="0" w:hanging="7"/>
              <w:jc w:val="center"/>
              <w:rPr>
                <w:bCs/>
                <w:vertAlign w:val="superscript"/>
              </w:rPr>
            </w:pPr>
            <w:r w:rsidRPr="0099355B">
              <w:rPr>
                <w:bCs/>
              </w:rPr>
              <w:t>Model 1</w:t>
            </w:r>
            <w:r w:rsidRPr="0099355B">
              <w:rPr>
                <w:bCs/>
                <w:vertAlign w:val="superscript"/>
              </w:rPr>
              <w:t>3</w:t>
            </w:r>
          </w:p>
        </w:tc>
        <w:tc>
          <w:tcPr>
            <w:tcW w:w="1170" w:type="dxa"/>
            <w:vMerge w:val="restart"/>
            <w:tcBorders>
              <w:top w:val="single" w:sz="4" w:space="0" w:color="auto"/>
            </w:tcBorders>
            <w:vAlign w:val="center"/>
          </w:tcPr>
          <w:p w14:paraId="74980098" w14:textId="77777777" w:rsidR="001A5206" w:rsidRPr="0099355B" w:rsidRDefault="001D1656" w:rsidP="00040966">
            <w:pPr>
              <w:spacing w:line="360" w:lineRule="auto"/>
              <w:ind w:firstLineChars="0" w:firstLine="0"/>
              <w:jc w:val="center"/>
              <w:rPr>
                <w:bCs/>
              </w:rPr>
            </w:pPr>
            <w:r w:rsidRPr="0099355B">
              <w:rPr>
                <w:bCs/>
              </w:rPr>
              <w:t>3359.46</w:t>
            </w:r>
          </w:p>
        </w:tc>
        <w:tc>
          <w:tcPr>
            <w:tcW w:w="2160" w:type="dxa"/>
            <w:tcBorders>
              <w:top w:val="single" w:sz="4" w:space="0" w:color="auto"/>
            </w:tcBorders>
            <w:vAlign w:val="center"/>
          </w:tcPr>
          <w:p w14:paraId="065BCDDE" w14:textId="77777777" w:rsidR="001A5206" w:rsidRPr="0099355B" w:rsidRDefault="001A5206" w:rsidP="00040966">
            <w:pPr>
              <w:spacing w:line="360" w:lineRule="auto"/>
              <w:ind w:firstLineChars="0" w:firstLine="0"/>
              <w:jc w:val="center"/>
              <w:rPr>
                <w:bCs/>
                <w:kern w:val="0"/>
                <w:lang w:eastAsia="en-US"/>
              </w:rPr>
            </w:pPr>
            <w:r w:rsidRPr="0099355B">
              <w:rPr>
                <w:bCs/>
              </w:rPr>
              <w:t>One Month</w:t>
            </w:r>
          </w:p>
        </w:tc>
        <w:tc>
          <w:tcPr>
            <w:tcW w:w="1260" w:type="dxa"/>
            <w:tcBorders>
              <w:top w:val="single" w:sz="4" w:space="0" w:color="auto"/>
            </w:tcBorders>
            <w:vAlign w:val="center"/>
          </w:tcPr>
          <w:p w14:paraId="0AF580DD" w14:textId="77777777" w:rsidR="001A5206" w:rsidRPr="0099355B" w:rsidRDefault="001A5206" w:rsidP="00040966">
            <w:pPr>
              <w:spacing w:line="360" w:lineRule="auto"/>
              <w:ind w:firstLineChars="0" w:firstLine="0"/>
              <w:jc w:val="center"/>
            </w:pPr>
            <w:r w:rsidRPr="0099355B">
              <w:t>-3.</w:t>
            </w:r>
            <w:r w:rsidR="0013758A" w:rsidRPr="0099355B">
              <w:t>6</w:t>
            </w:r>
            <w:r w:rsidR="0097244F" w:rsidRPr="0099355B">
              <w:t>9</w:t>
            </w:r>
          </w:p>
        </w:tc>
        <w:tc>
          <w:tcPr>
            <w:tcW w:w="805" w:type="dxa"/>
            <w:tcBorders>
              <w:top w:val="single" w:sz="4" w:space="0" w:color="auto"/>
            </w:tcBorders>
            <w:vAlign w:val="center"/>
          </w:tcPr>
          <w:p w14:paraId="075D4F24" w14:textId="77777777" w:rsidR="001A5206" w:rsidRPr="0099355B" w:rsidRDefault="001A5206" w:rsidP="00040966">
            <w:pPr>
              <w:spacing w:line="360" w:lineRule="auto"/>
              <w:ind w:firstLineChars="0" w:firstLine="0"/>
              <w:jc w:val="center"/>
            </w:pPr>
            <w:r w:rsidRPr="0099355B">
              <w:t>.</w:t>
            </w:r>
            <w:r w:rsidR="0013758A" w:rsidRPr="0099355B">
              <w:t>6</w:t>
            </w:r>
            <w:r w:rsidR="0097244F" w:rsidRPr="0099355B">
              <w:t>31</w:t>
            </w:r>
          </w:p>
        </w:tc>
        <w:tc>
          <w:tcPr>
            <w:tcW w:w="1800" w:type="dxa"/>
            <w:tcBorders>
              <w:top w:val="single" w:sz="4" w:space="0" w:color="auto"/>
            </w:tcBorders>
            <w:vAlign w:val="center"/>
          </w:tcPr>
          <w:p w14:paraId="21B1DC0A" w14:textId="77777777" w:rsidR="001A5206" w:rsidRPr="0099355B" w:rsidRDefault="001A5206" w:rsidP="00040966">
            <w:pPr>
              <w:spacing w:line="360" w:lineRule="auto"/>
              <w:ind w:firstLineChars="0" w:firstLine="0"/>
              <w:jc w:val="center"/>
            </w:pPr>
            <w:r w:rsidRPr="0099355B">
              <w:t>(-4.</w:t>
            </w:r>
            <w:r w:rsidR="002730D2" w:rsidRPr="0099355B">
              <w:t>9</w:t>
            </w:r>
            <w:r w:rsidR="001D1656" w:rsidRPr="0099355B">
              <w:t>3</w:t>
            </w:r>
            <w:r w:rsidRPr="0099355B">
              <w:t>, -</w:t>
            </w:r>
            <w:r w:rsidR="002730D2" w:rsidRPr="0099355B">
              <w:t>2</w:t>
            </w:r>
            <w:r w:rsidRPr="0099355B">
              <w:t>.</w:t>
            </w:r>
            <w:r w:rsidR="002730D2" w:rsidRPr="0099355B">
              <w:t>4</w:t>
            </w:r>
            <w:r w:rsidR="001D1656" w:rsidRPr="0099355B">
              <w:t>5</w:t>
            </w:r>
            <w:r w:rsidRPr="0099355B">
              <w:t>)</w:t>
            </w:r>
          </w:p>
        </w:tc>
        <w:tc>
          <w:tcPr>
            <w:tcW w:w="1078" w:type="dxa"/>
            <w:tcBorders>
              <w:top w:val="single" w:sz="4" w:space="0" w:color="auto"/>
            </w:tcBorders>
            <w:vAlign w:val="center"/>
          </w:tcPr>
          <w:p w14:paraId="3F533BCE" w14:textId="77777777" w:rsidR="001A5206" w:rsidRPr="0099355B" w:rsidRDefault="001A5206" w:rsidP="00040966">
            <w:pPr>
              <w:spacing w:line="360" w:lineRule="auto"/>
              <w:ind w:firstLineChars="0" w:firstLine="0"/>
              <w:jc w:val="center"/>
            </w:pPr>
            <w:r w:rsidRPr="0099355B">
              <w:t>-</w:t>
            </w:r>
            <w:r w:rsidR="0013758A" w:rsidRPr="0099355B">
              <w:t>5.8</w:t>
            </w:r>
            <w:r w:rsidR="001D1656" w:rsidRPr="0099355B">
              <w:t>6</w:t>
            </w:r>
          </w:p>
        </w:tc>
        <w:tc>
          <w:tcPr>
            <w:tcW w:w="1439" w:type="dxa"/>
            <w:tcBorders>
              <w:top w:val="single" w:sz="4" w:space="0" w:color="auto"/>
            </w:tcBorders>
            <w:vAlign w:val="center"/>
          </w:tcPr>
          <w:p w14:paraId="772A354F" w14:textId="77777777" w:rsidR="001A5206" w:rsidRPr="0099355B" w:rsidRDefault="001A5206" w:rsidP="00040966">
            <w:pPr>
              <w:spacing w:line="360" w:lineRule="auto"/>
              <w:ind w:firstLineChars="0" w:firstLine="0"/>
              <w:jc w:val="center"/>
            </w:pPr>
            <w:r w:rsidRPr="0099355B">
              <w:t>&lt;.001</w:t>
            </w:r>
          </w:p>
        </w:tc>
      </w:tr>
      <w:tr w:rsidR="0013758A" w:rsidRPr="0099355B" w14:paraId="09783E1D" w14:textId="77777777" w:rsidTr="004B4C37">
        <w:trPr>
          <w:trHeight w:val="432"/>
          <w:jc w:val="center"/>
        </w:trPr>
        <w:tc>
          <w:tcPr>
            <w:tcW w:w="1800" w:type="dxa"/>
            <w:vMerge/>
            <w:vAlign w:val="center"/>
          </w:tcPr>
          <w:p w14:paraId="665AB4CE" w14:textId="77777777" w:rsidR="0013758A" w:rsidRPr="0099355B" w:rsidRDefault="0013758A" w:rsidP="00040966">
            <w:pPr>
              <w:spacing w:line="360" w:lineRule="auto"/>
              <w:ind w:leftChars="-81" w:left="-194" w:firstLineChars="0" w:firstLine="138"/>
              <w:jc w:val="center"/>
              <w:rPr>
                <w:bCs/>
              </w:rPr>
            </w:pPr>
          </w:p>
        </w:tc>
        <w:tc>
          <w:tcPr>
            <w:tcW w:w="1170" w:type="dxa"/>
            <w:vMerge/>
            <w:vAlign w:val="center"/>
          </w:tcPr>
          <w:p w14:paraId="40D72EE2" w14:textId="77777777" w:rsidR="0013758A" w:rsidRPr="0099355B" w:rsidRDefault="0013758A" w:rsidP="00040966">
            <w:pPr>
              <w:spacing w:line="360" w:lineRule="auto"/>
              <w:ind w:firstLine="600"/>
              <w:jc w:val="center"/>
              <w:rPr>
                <w:bCs/>
              </w:rPr>
            </w:pPr>
          </w:p>
        </w:tc>
        <w:tc>
          <w:tcPr>
            <w:tcW w:w="2160" w:type="dxa"/>
            <w:vAlign w:val="center"/>
          </w:tcPr>
          <w:p w14:paraId="1A2E6B19" w14:textId="77777777" w:rsidR="0013758A" w:rsidRPr="0099355B" w:rsidRDefault="0013758A" w:rsidP="00040966">
            <w:pPr>
              <w:spacing w:line="360" w:lineRule="auto"/>
              <w:ind w:firstLineChars="0" w:firstLine="0"/>
              <w:jc w:val="center"/>
              <w:rPr>
                <w:bCs/>
                <w:kern w:val="0"/>
                <w:lang w:eastAsia="en-US"/>
              </w:rPr>
            </w:pPr>
            <w:r w:rsidRPr="0099355B">
              <w:rPr>
                <w:bCs/>
              </w:rPr>
              <w:t>Three Month</w:t>
            </w:r>
          </w:p>
        </w:tc>
        <w:tc>
          <w:tcPr>
            <w:tcW w:w="1260" w:type="dxa"/>
            <w:vAlign w:val="center"/>
          </w:tcPr>
          <w:p w14:paraId="01CF4D24" w14:textId="77777777" w:rsidR="0013758A" w:rsidRPr="0099355B" w:rsidRDefault="0097244F" w:rsidP="00040966">
            <w:pPr>
              <w:spacing w:line="360" w:lineRule="auto"/>
              <w:ind w:firstLineChars="0" w:firstLine="0"/>
              <w:jc w:val="center"/>
            </w:pPr>
            <w:r w:rsidRPr="0099355B">
              <w:t>-5</w:t>
            </w:r>
            <w:r w:rsidR="0013758A" w:rsidRPr="0099355B">
              <w:t>.</w:t>
            </w:r>
            <w:r w:rsidRPr="0099355B">
              <w:t>49</w:t>
            </w:r>
          </w:p>
        </w:tc>
        <w:tc>
          <w:tcPr>
            <w:tcW w:w="805" w:type="dxa"/>
            <w:vAlign w:val="center"/>
          </w:tcPr>
          <w:p w14:paraId="08CF1441" w14:textId="77777777" w:rsidR="0013758A" w:rsidRPr="0099355B" w:rsidRDefault="0013758A" w:rsidP="00040966">
            <w:pPr>
              <w:spacing w:line="360" w:lineRule="auto"/>
              <w:ind w:firstLineChars="0" w:firstLine="0"/>
              <w:jc w:val="center"/>
            </w:pPr>
            <w:r w:rsidRPr="0099355B">
              <w:t>.62</w:t>
            </w:r>
            <w:r w:rsidR="0097244F" w:rsidRPr="0099355B">
              <w:t>5</w:t>
            </w:r>
          </w:p>
        </w:tc>
        <w:tc>
          <w:tcPr>
            <w:tcW w:w="1800" w:type="dxa"/>
            <w:vAlign w:val="center"/>
          </w:tcPr>
          <w:p w14:paraId="0B48C19C" w14:textId="77777777" w:rsidR="0013758A" w:rsidRPr="0099355B" w:rsidRDefault="0013758A" w:rsidP="00040966">
            <w:pPr>
              <w:spacing w:line="360" w:lineRule="auto"/>
              <w:ind w:firstLineChars="0" w:firstLine="0"/>
              <w:jc w:val="center"/>
            </w:pPr>
            <w:r w:rsidRPr="0099355B">
              <w:t>(-</w:t>
            </w:r>
            <w:r w:rsidR="002730D2" w:rsidRPr="0099355B">
              <w:t>6</w:t>
            </w:r>
            <w:r w:rsidRPr="0099355B">
              <w:t>.</w:t>
            </w:r>
            <w:r w:rsidR="002730D2" w:rsidRPr="0099355B">
              <w:t>71</w:t>
            </w:r>
            <w:r w:rsidRPr="0099355B">
              <w:t xml:space="preserve">, </w:t>
            </w:r>
            <w:r w:rsidR="002730D2" w:rsidRPr="0099355B">
              <w:t>-4</w:t>
            </w:r>
            <w:r w:rsidRPr="0099355B">
              <w:t>.2</w:t>
            </w:r>
            <w:r w:rsidR="002730D2" w:rsidRPr="0099355B">
              <w:t>7</w:t>
            </w:r>
            <w:r w:rsidRPr="0099355B">
              <w:t>)</w:t>
            </w:r>
          </w:p>
        </w:tc>
        <w:tc>
          <w:tcPr>
            <w:tcW w:w="1078" w:type="dxa"/>
            <w:vAlign w:val="center"/>
          </w:tcPr>
          <w:p w14:paraId="0138266D" w14:textId="77777777" w:rsidR="0013758A" w:rsidRPr="0099355B" w:rsidRDefault="0013758A" w:rsidP="00040966">
            <w:pPr>
              <w:spacing w:line="360" w:lineRule="auto"/>
              <w:ind w:firstLineChars="0" w:firstLine="0"/>
              <w:jc w:val="center"/>
            </w:pPr>
            <w:r w:rsidRPr="0099355B">
              <w:t>-8.</w:t>
            </w:r>
            <w:r w:rsidR="001D1656" w:rsidRPr="0099355B">
              <w:t>77</w:t>
            </w:r>
          </w:p>
        </w:tc>
        <w:tc>
          <w:tcPr>
            <w:tcW w:w="1439" w:type="dxa"/>
            <w:vAlign w:val="center"/>
          </w:tcPr>
          <w:p w14:paraId="6226E6FC" w14:textId="77777777" w:rsidR="0013758A" w:rsidRPr="0099355B" w:rsidRDefault="0013758A" w:rsidP="00040966">
            <w:pPr>
              <w:spacing w:line="360" w:lineRule="auto"/>
              <w:ind w:firstLineChars="0" w:firstLine="0"/>
              <w:jc w:val="center"/>
            </w:pPr>
            <w:r w:rsidRPr="0099355B">
              <w:t>&lt;.001</w:t>
            </w:r>
          </w:p>
        </w:tc>
      </w:tr>
      <w:tr w:rsidR="00AC7F68" w:rsidRPr="0099355B" w14:paraId="68F8E800" w14:textId="77777777" w:rsidTr="004B4C37">
        <w:trPr>
          <w:trHeight w:val="530"/>
          <w:jc w:val="center"/>
        </w:trPr>
        <w:tc>
          <w:tcPr>
            <w:tcW w:w="1800" w:type="dxa"/>
            <w:vMerge w:val="restart"/>
            <w:vAlign w:val="center"/>
          </w:tcPr>
          <w:p w14:paraId="64F395D5" w14:textId="77777777" w:rsidR="00AC7F68" w:rsidRPr="0099355B" w:rsidRDefault="00510618" w:rsidP="00040966">
            <w:pPr>
              <w:spacing w:line="360" w:lineRule="auto"/>
              <w:ind w:firstLineChars="0" w:hanging="2"/>
              <w:jc w:val="center"/>
              <w:rPr>
                <w:bCs/>
                <w:vertAlign w:val="superscript"/>
              </w:rPr>
            </w:pPr>
            <w:r w:rsidRPr="0099355B">
              <w:rPr>
                <w:bCs/>
              </w:rPr>
              <w:t>Model 2</w:t>
            </w:r>
            <w:r w:rsidRPr="0099355B">
              <w:rPr>
                <w:bCs/>
                <w:vertAlign w:val="superscript"/>
              </w:rPr>
              <w:t>3</w:t>
            </w:r>
          </w:p>
        </w:tc>
        <w:tc>
          <w:tcPr>
            <w:tcW w:w="1170" w:type="dxa"/>
            <w:vMerge w:val="restart"/>
            <w:vAlign w:val="center"/>
          </w:tcPr>
          <w:p w14:paraId="6FC7E82A" w14:textId="77777777" w:rsidR="00AC7F68" w:rsidRPr="0099355B" w:rsidRDefault="006B6018" w:rsidP="00040966">
            <w:pPr>
              <w:spacing w:line="360" w:lineRule="auto"/>
              <w:ind w:firstLineChars="0" w:firstLine="0"/>
              <w:jc w:val="center"/>
              <w:rPr>
                <w:bCs/>
                <w:vertAlign w:val="superscript"/>
              </w:rPr>
            </w:pPr>
            <w:r w:rsidRPr="0099355B">
              <w:rPr>
                <w:bCs/>
              </w:rPr>
              <w:t>3</w:t>
            </w:r>
            <w:r w:rsidR="001D1656" w:rsidRPr="0099355B">
              <w:rPr>
                <w:bCs/>
              </w:rPr>
              <w:t>318.57</w:t>
            </w:r>
            <w:r w:rsidR="00510618" w:rsidRPr="0099355B">
              <w:rPr>
                <w:bCs/>
                <w:vertAlign w:val="superscript"/>
              </w:rPr>
              <w:t>4</w:t>
            </w:r>
          </w:p>
        </w:tc>
        <w:tc>
          <w:tcPr>
            <w:tcW w:w="2160" w:type="dxa"/>
            <w:vAlign w:val="center"/>
          </w:tcPr>
          <w:p w14:paraId="632280A7" w14:textId="77777777" w:rsidR="00AC7F68" w:rsidRPr="0099355B" w:rsidRDefault="00AC7F68" w:rsidP="00040966">
            <w:pPr>
              <w:spacing w:line="360" w:lineRule="auto"/>
              <w:ind w:firstLineChars="0" w:firstLine="0"/>
              <w:jc w:val="center"/>
              <w:rPr>
                <w:bCs/>
              </w:rPr>
            </w:pPr>
            <w:r w:rsidRPr="0099355B">
              <w:rPr>
                <w:bCs/>
              </w:rPr>
              <w:t>One Month</w:t>
            </w:r>
          </w:p>
        </w:tc>
        <w:tc>
          <w:tcPr>
            <w:tcW w:w="1260" w:type="dxa"/>
            <w:vAlign w:val="center"/>
          </w:tcPr>
          <w:p w14:paraId="3DAE6800" w14:textId="77777777" w:rsidR="00AC7F68" w:rsidRPr="0099355B" w:rsidRDefault="00E67AA6" w:rsidP="00040966">
            <w:pPr>
              <w:spacing w:line="360" w:lineRule="auto"/>
              <w:ind w:firstLineChars="0" w:firstLine="0"/>
              <w:jc w:val="center"/>
            </w:pPr>
            <w:r w:rsidRPr="0099355B">
              <w:t>82.</w:t>
            </w:r>
            <w:r w:rsidR="001D1656" w:rsidRPr="0099355B">
              <w:t>0</w:t>
            </w:r>
            <w:r w:rsidRPr="0099355B">
              <w:t>%</w:t>
            </w:r>
          </w:p>
        </w:tc>
        <w:tc>
          <w:tcPr>
            <w:tcW w:w="805" w:type="dxa"/>
            <w:vAlign w:val="center"/>
          </w:tcPr>
          <w:p w14:paraId="66D89FF7" w14:textId="77777777" w:rsidR="00AC7F68" w:rsidRPr="0099355B" w:rsidRDefault="00AC7F68" w:rsidP="00040966">
            <w:pPr>
              <w:spacing w:line="360" w:lineRule="auto"/>
              <w:ind w:firstLineChars="0" w:firstLine="0"/>
              <w:jc w:val="center"/>
            </w:pPr>
            <w:r w:rsidRPr="0099355B">
              <w:t>.</w:t>
            </w:r>
            <w:r w:rsidR="00E67AA6" w:rsidRPr="0099355B">
              <w:t>033</w:t>
            </w:r>
          </w:p>
        </w:tc>
        <w:tc>
          <w:tcPr>
            <w:tcW w:w="1800" w:type="dxa"/>
            <w:vAlign w:val="center"/>
          </w:tcPr>
          <w:p w14:paraId="1F7DAA03" w14:textId="77777777" w:rsidR="00AC7F68" w:rsidRPr="0099355B" w:rsidRDefault="00AC7F68" w:rsidP="00040966">
            <w:pPr>
              <w:spacing w:line="360" w:lineRule="auto"/>
              <w:ind w:firstLineChars="0" w:firstLine="0"/>
              <w:jc w:val="center"/>
            </w:pPr>
            <w:r w:rsidRPr="0099355B">
              <w:t>(</w:t>
            </w:r>
            <w:r w:rsidR="008C02E9" w:rsidRPr="0099355B">
              <w:t>76.</w:t>
            </w:r>
            <w:r w:rsidR="00ED3D1C" w:rsidRPr="0099355B">
              <w:t>8</w:t>
            </w:r>
            <w:r w:rsidR="008C02E9" w:rsidRPr="0099355B">
              <w:t>%</w:t>
            </w:r>
            <w:r w:rsidRPr="0099355B">
              <w:t xml:space="preserve">, </w:t>
            </w:r>
            <w:r w:rsidR="008C02E9" w:rsidRPr="0099355B">
              <w:t>87.</w:t>
            </w:r>
            <w:r w:rsidR="00ED3D1C" w:rsidRPr="0099355B">
              <w:t>5</w:t>
            </w:r>
            <w:r w:rsidR="008C02E9" w:rsidRPr="0099355B">
              <w:t>%</w:t>
            </w:r>
            <w:r w:rsidRPr="0099355B">
              <w:t>)</w:t>
            </w:r>
          </w:p>
        </w:tc>
        <w:tc>
          <w:tcPr>
            <w:tcW w:w="1078" w:type="dxa"/>
            <w:vAlign w:val="center"/>
          </w:tcPr>
          <w:p w14:paraId="32F0026B" w14:textId="77777777" w:rsidR="00AC7F68" w:rsidRPr="0099355B" w:rsidRDefault="008C02E9" w:rsidP="00040966">
            <w:pPr>
              <w:spacing w:line="360" w:lineRule="auto"/>
              <w:ind w:firstLineChars="0" w:firstLine="0"/>
              <w:jc w:val="center"/>
            </w:pPr>
            <w:r w:rsidRPr="0099355B">
              <w:t>-5.9</w:t>
            </w:r>
            <w:r w:rsidR="00ED3D1C" w:rsidRPr="0099355B">
              <w:t>8</w:t>
            </w:r>
          </w:p>
        </w:tc>
        <w:tc>
          <w:tcPr>
            <w:tcW w:w="1439" w:type="dxa"/>
            <w:vAlign w:val="center"/>
          </w:tcPr>
          <w:p w14:paraId="3C9987BB" w14:textId="77777777" w:rsidR="00AC7F68" w:rsidRPr="0099355B" w:rsidRDefault="00AC7F68" w:rsidP="00040966">
            <w:pPr>
              <w:spacing w:line="360" w:lineRule="auto"/>
              <w:ind w:firstLineChars="0" w:firstLine="0"/>
              <w:jc w:val="center"/>
            </w:pPr>
            <w:r w:rsidRPr="0099355B">
              <w:t>&lt;.001</w:t>
            </w:r>
          </w:p>
        </w:tc>
      </w:tr>
      <w:tr w:rsidR="00AC7F68" w:rsidRPr="0099355B" w14:paraId="4D4BF9C4" w14:textId="77777777" w:rsidTr="004B4C37">
        <w:trPr>
          <w:trHeight w:val="467"/>
          <w:jc w:val="center"/>
        </w:trPr>
        <w:tc>
          <w:tcPr>
            <w:tcW w:w="1800" w:type="dxa"/>
            <w:vMerge/>
            <w:vAlign w:val="center"/>
          </w:tcPr>
          <w:p w14:paraId="2FE92463" w14:textId="77777777" w:rsidR="00AC7F68" w:rsidRPr="0099355B" w:rsidRDefault="00AC7F68" w:rsidP="00040966">
            <w:pPr>
              <w:spacing w:line="360" w:lineRule="auto"/>
              <w:ind w:leftChars="-81" w:left="-194" w:firstLine="600"/>
              <w:jc w:val="center"/>
              <w:rPr>
                <w:bCs/>
              </w:rPr>
            </w:pPr>
          </w:p>
        </w:tc>
        <w:tc>
          <w:tcPr>
            <w:tcW w:w="1170" w:type="dxa"/>
            <w:vMerge/>
            <w:vAlign w:val="center"/>
          </w:tcPr>
          <w:p w14:paraId="1E25C262" w14:textId="77777777" w:rsidR="00AC7F68" w:rsidRPr="0099355B" w:rsidRDefault="00AC7F68" w:rsidP="00040966">
            <w:pPr>
              <w:spacing w:line="360" w:lineRule="auto"/>
              <w:ind w:firstLine="600"/>
              <w:jc w:val="center"/>
              <w:rPr>
                <w:bCs/>
              </w:rPr>
            </w:pPr>
          </w:p>
        </w:tc>
        <w:tc>
          <w:tcPr>
            <w:tcW w:w="2160" w:type="dxa"/>
            <w:vAlign w:val="center"/>
          </w:tcPr>
          <w:p w14:paraId="299EE9F7" w14:textId="77777777" w:rsidR="00AC7F68" w:rsidRPr="0099355B" w:rsidRDefault="00AC7F68" w:rsidP="00040966">
            <w:pPr>
              <w:spacing w:line="360" w:lineRule="auto"/>
              <w:ind w:firstLineChars="0" w:firstLine="0"/>
              <w:jc w:val="center"/>
              <w:rPr>
                <w:bCs/>
              </w:rPr>
            </w:pPr>
            <w:r w:rsidRPr="0099355B">
              <w:rPr>
                <w:bCs/>
              </w:rPr>
              <w:t>Three Month</w:t>
            </w:r>
          </w:p>
        </w:tc>
        <w:tc>
          <w:tcPr>
            <w:tcW w:w="1260" w:type="dxa"/>
            <w:vAlign w:val="center"/>
          </w:tcPr>
          <w:p w14:paraId="508283B1" w14:textId="77777777" w:rsidR="00AC7F68" w:rsidRPr="0099355B" w:rsidRDefault="00E67AA6" w:rsidP="00040966">
            <w:pPr>
              <w:spacing w:line="360" w:lineRule="auto"/>
              <w:ind w:firstLineChars="0" w:firstLine="0"/>
              <w:jc w:val="center"/>
            </w:pPr>
            <w:r w:rsidRPr="0099355B">
              <w:t>72.9%</w:t>
            </w:r>
          </w:p>
        </w:tc>
        <w:tc>
          <w:tcPr>
            <w:tcW w:w="805" w:type="dxa"/>
            <w:vAlign w:val="center"/>
          </w:tcPr>
          <w:p w14:paraId="3A030AC6" w14:textId="77777777" w:rsidR="00AC7F68" w:rsidRPr="0099355B" w:rsidRDefault="00E67AA6" w:rsidP="00040966">
            <w:pPr>
              <w:spacing w:line="360" w:lineRule="auto"/>
              <w:ind w:firstLineChars="0" w:firstLine="0"/>
              <w:jc w:val="center"/>
            </w:pPr>
            <w:r w:rsidRPr="0099355B">
              <w:t>.033</w:t>
            </w:r>
          </w:p>
        </w:tc>
        <w:tc>
          <w:tcPr>
            <w:tcW w:w="1800" w:type="dxa"/>
            <w:vAlign w:val="center"/>
          </w:tcPr>
          <w:p w14:paraId="21C10FDE" w14:textId="77777777" w:rsidR="00AC7F68" w:rsidRPr="0099355B" w:rsidRDefault="008C02E9" w:rsidP="00040966">
            <w:pPr>
              <w:spacing w:line="360" w:lineRule="auto"/>
              <w:ind w:firstLineChars="0" w:firstLine="0"/>
              <w:jc w:val="center"/>
            </w:pPr>
            <w:r w:rsidRPr="0099355B">
              <w:t>(68.3%,77.8%)</w:t>
            </w:r>
          </w:p>
        </w:tc>
        <w:tc>
          <w:tcPr>
            <w:tcW w:w="1078" w:type="dxa"/>
            <w:vAlign w:val="center"/>
          </w:tcPr>
          <w:p w14:paraId="068A8B7F" w14:textId="77777777" w:rsidR="00AC7F68" w:rsidRPr="0099355B" w:rsidRDefault="008C02E9" w:rsidP="00040966">
            <w:pPr>
              <w:spacing w:line="360" w:lineRule="auto"/>
              <w:ind w:firstLineChars="0" w:firstLine="0"/>
              <w:jc w:val="center"/>
            </w:pPr>
            <w:r w:rsidRPr="0099355B">
              <w:t>-9.5</w:t>
            </w:r>
            <w:r w:rsidR="00ED3D1C" w:rsidRPr="0099355B">
              <w:t>8</w:t>
            </w:r>
          </w:p>
        </w:tc>
        <w:tc>
          <w:tcPr>
            <w:tcW w:w="1439" w:type="dxa"/>
            <w:vAlign w:val="center"/>
          </w:tcPr>
          <w:p w14:paraId="0C16446E" w14:textId="77777777" w:rsidR="00AC7F68" w:rsidRPr="0099355B" w:rsidRDefault="008C02E9" w:rsidP="00040966">
            <w:pPr>
              <w:spacing w:line="360" w:lineRule="auto"/>
              <w:ind w:firstLineChars="0" w:firstLine="0"/>
              <w:jc w:val="center"/>
            </w:pPr>
            <w:r w:rsidRPr="0099355B">
              <w:t>&lt;.001</w:t>
            </w:r>
          </w:p>
        </w:tc>
      </w:tr>
      <w:tr w:rsidR="00831281" w:rsidRPr="0099355B" w14:paraId="7DF7A830" w14:textId="77777777" w:rsidTr="004B4C37">
        <w:trPr>
          <w:trHeight w:val="467"/>
          <w:jc w:val="center"/>
        </w:trPr>
        <w:tc>
          <w:tcPr>
            <w:tcW w:w="1800" w:type="dxa"/>
            <w:vMerge w:val="restart"/>
            <w:vAlign w:val="center"/>
          </w:tcPr>
          <w:p w14:paraId="76B9AAD1" w14:textId="77777777" w:rsidR="00831281" w:rsidRPr="0099355B" w:rsidRDefault="00831281" w:rsidP="00040966">
            <w:pPr>
              <w:spacing w:line="360" w:lineRule="auto"/>
              <w:ind w:left="74" w:firstLineChars="0" w:hanging="2"/>
              <w:jc w:val="center"/>
              <w:rPr>
                <w:bCs/>
                <w:vertAlign w:val="superscript"/>
              </w:rPr>
            </w:pPr>
            <w:r w:rsidRPr="0099355B">
              <w:rPr>
                <w:bCs/>
              </w:rPr>
              <w:t>Model 3</w:t>
            </w:r>
            <w:r w:rsidRPr="0099355B">
              <w:rPr>
                <w:bCs/>
                <w:vertAlign w:val="superscript"/>
              </w:rPr>
              <w:t>3</w:t>
            </w:r>
          </w:p>
        </w:tc>
        <w:tc>
          <w:tcPr>
            <w:tcW w:w="1170" w:type="dxa"/>
            <w:vMerge w:val="restart"/>
            <w:vAlign w:val="center"/>
          </w:tcPr>
          <w:p w14:paraId="4BDB133B" w14:textId="77777777" w:rsidR="00831281" w:rsidRPr="0099355B" w:rsidRDefault="00910EA2" w:rsidP="00040966">
            <w:pPr>
              <w:spacing w:line="360" w:lineRule="auto"/>
              <w:ind w:firstLineChars="0" w:firstLine="0"/>
              <w:jc w:val="center"/>
              <w:rPr>
                <w:bCs/>
              </w:rPr>
            </w:pPr>
            <w:r w:rsidRPr="0099355B">
              <w:rPr>
                <w:bCs/>
              </w:rPr>
              <w:t>3</w:t>
            </w:r>
            <w:r w:rsidR="00186BC1" w:rsidRPr="0099355B">
              <w:rPr>
                <w:bCs/>
              </w:rPr>
              <w:t>359.46</w:t>
            </w:r>
          </w:p>
        </w:tc>
        <w:tc>
          <w:tcPr>
            <w:tcW w:w="2160" w:type="dxa"/>
            <w:vAlign w:val="center"/>
          </w:tcPr>
          <w:p w14:paraId="2E7D894A" w14:textId="77777777" w:rsidR="00831281" w:rsidRPr="0099355B" w:rsidRDefault="00831281" w:rsidP="00040966">
            <w:pPr>
              <w:spacing w:line="360" w:lineRule="auto"/>
              <w:ind w:firstLineChars="0" w:firstLine="0"/>
              <w:jc w:val="center"/>
              <w:rPr>
                <w:bCs/>
              </w:rPr>
            </w:pPr>
            <w:r w:rsidRPr="0099355B">
              <w:rPr>
                <w:bCs/>
              </w:rPr>
              <w:t>Linear</w:t>
            </w:r>
          </w:p>
        </w:tc>
        <w:tc>
          <w:tcPr>
            <w:tcW w:w="1260" w:type="dxa"/>
            <w:vAlign w:val="center"/>
          </w:tcPr>
          <w:p w14:paraId="2108A0F8" w14:textId="77777777" w:rsidR="00831281" w:rsidRPr="0099355B" w:rsidRDefault="00910EA2" w:rsidP="00040966">
            <w:pPr>
              <w:spacing w:line="360" w:lineRule="auto"/>
              <w:ind w:firstLineChars="0" w:firstLine="0"/>
              <w:jc w:val="center"/>
            </w:pPr>
            <w:r w:rsidRPr="0099355B">
              <w:t>-49.</w:t>
            </w:r>
            <w:r w:rsidR="004200F4" w:rsidRPr="0099355B">
              <w:t>16</w:t>
            </w:r>
          </w:p>
        </w:tc>
        <w:tc>
          <w:tcPr>
            <w:tcW w:w="805" w:type="dxa"/>
            <w:vAlign w:val="center"/>
          </w:tcPr>
          <w:p w14:paraId="63140FB3" w14:textId="77777777" w:rsidR="00831281" w:rsidRPr="0099355B" w:rsidRDefault="00196B4D" w:rsidP="00040966">
            <w:pPr>
              <w:spacing w:line="360" w:lineRule="auto"/>
              <w:ind w:firstLineChars="0" w:firstLine="0"/>
              <w:jc w:val="center"/>
            </w:pPr>
            <w:r w:rsidRPr="0099355B">
              <w:t>5.</w:t>
            </w:r>
            <w:r w:rsidR="00910EA2" w:rsidRPr="0099355B">
              <w:t>91</w:t>
            </w:r>
          </w:p>
        </w:tc>
        <w:tc>
          <w:tcPr>
            <w:tcW w:w="1800" w:type="dxa"/>
            <w:vAlign w:val="center"/>
          </w:tcPr>
          <w:p w14:paraId="13AB3C6B" w14:textId="77777777" w:rsidR="002730D2" w:rsidRPr="0099355B" w:rsidRDefault="00D929E5" w:rsidP="00040966">
            <w:pPr>
              <w:spacing w:line="360" w:lineRule="auto"/>
              <w:ind w:firstLineChars="0" w:firstLine="0"/>
              <w:jc w:val="center"/>
            </w:pPr>
            <w:r w:rsidRPr="0099355B">
              <w:t>(-</w:t>
            </w:r>
            <w:r w:rsidR="00196B4D" w:rsidRPr="0099355B">
              <w:t>60</w:t>
            </w:r>
            <w:r w:rsidRPr="0099355B">
              <w:t>.</w:t>
            </w:r>
            <w:r w:rsidR="004200F4" w:rsidRPr="0099355B">
              <w:t>76</w:t>
            </w:r>
            <w:r w:rsidRPr="0099355B">
              <w:t>,-3</w:t>
            </w:r>
            <w:r w:rsidR="00196B4D" w:rsidRPr="0099355B">
              <w:t>7.</w:t>
            </w:r>
            <w:r w:rsidR="004200F4" w:rsidRPr="0099355B">
              <w:t>56</w:t>
            </w:r>
            <w:r w:rsidR="00196B4D" w:rsidRPr="0099355B">
              <w:t>)</w:t>
            </w:r>
          </w:p>
        </w:tc>
        <w:tc>
          <w:tcPr>
            <w:tcW w:w="1078" w:type="dxa"/>
            <w:vAlign w:val="center"/>
          </w:tcPr>
          <w:p w14:paraId="2B39880C" w14:textId="77777777" w:rsidR="00831281" w:rsidRPr="0099355B" w:rsidRDefault="00981B9B" w:rsidP="00040966">
            <w:pPr>
              <w:spacing w:line="360" w:lineRule="auto"/>
              <w:ind w:firstLineChars="0" w:firstLine="0"/>
              <w:jc w:val="center"/>
            </w:pPr>
            <w:r w:rsidRPr="0099355B">
              <w:t>-8.</w:t>
            </w:r>
            <w:r w:rsidR="00196B4D" w:rsidRPr="0099355B">
              <w:t>33</w:t>
            </w:r>
          </w:p>
        </w:tc>
        <w:tc>
          <w:tcPr>
            <w:tcW w:w="1439" w:type="dxa"/>
            <w:vAlign w:val="center"/>
          </w:tcPr>
          <w:p w14:paraId="59251085" w14:textId="77777777" w:rsidR="00831281" w:rsidRPr="0099355B" w:rsidRDefault="00981B9B" w:rsidP="00040966">
            <w:pPr>
              <w:spacing w:line="360" w:lineRule="auto"/>
              <w:ind w:firstLineChars="0" w:firstLine="0"/>
              <w:jc w:val="center"/>
            </w:pPr>
            <w:r w:rsidRPr="0099355B">
              <w:t>&lt;.001</w:t>
            </w:r>
          </w:p>
        </w:tc>
      </w:tr>
      <w:tr w:rsidR="00831281" w:rsidRPr="0099355B" w14:paraId="3BD60DB0" w14:textId="77777777" w:rsidTr="004B4C37">
        <w:trPr>
          <w:trHeight w:val="189"/>
          <w:jc w:val="center"/>
        </w:trPr>
        <w:tc>
          <w:tcPr>
            <w:tcW w:w="1800" w:type="dxa"/>
            <w:vMerge/>
            <w:vAlign w:val="center"/>
          </w:tcPr>
          <w:p w14:paraId="20FC2C88" w14:textId="77777777" w:rsidR="00831281" w:rsidRPr="0099355B" w:rsidRDefault="00831281" w:rsidP="00040966">
            <w:pPr>
              <w:spacing w:line="360" w:lineRule="auto"/>
              <w:ind w:leftChars="-81" w:left="-194" w:firstLine="600"/>
              <w:jc w:val="center"/>
              <w:rPr>
                <w:bCs/>
              </w:rPr>
            </w:pPr>
          </w:p>
        </w:tc>
        <w:tc>
          <w:tcPr>
            <w:tcW w:w="1170" w:type="dxa"/>
            <w:vMerge/>
            <w:vAlign w:val="center"/>
          </w:tcPr>
          <w:p w14:paraId="054510E3" w14:textId="77777777" w:rsidR="00831281" w:rsidRPr="0099355B" w:rsidRDefault="00831281" w:rsidP="00040966">
            <w:pPr>
              <w:spacing w:line="360" w:lineRule="auto"/>
              <w:ind w:firstLine="600"/>
              <w:jc w:val="center"/>
              <w:rPr>
                <w:bCs/>
              </w:rPr>
            </w:pPr>
          </w:p>
        </w:tc>
        <w:tc>
          <w:tcPr>
            <w:tcW w:w="2160" w:type="dxa"/>
            <w:vAlign w:val="center"/>
          </w:tcPr>
          <w:p w14:paraId="45A57FC6" w14:textId="77777777" w:rsidR="00831281" w:rsidRPr="0099355B" w:rsidRDefault="00831281" w:rsidP="00040966">
            <w:pPr>
              <w:spacing w:line="360" w:lineRule="auto"/>
              <w:ind w:firstLineChars="0" w:firstLine="0"/>
              <w:jc w:val="center"/>
              <w:rPr>
                <w:bCs/>
              </w:rPr>
            </w:pPr>
            <w:r w:rsidRPr="0099355B">
              <w:rPr>
                <w:bCs/>
              </w:rPr>
              <w:t>Quadratic</w:t>
            </w:r>
          </w:p>
        </w:tc>
        <w:tc>
          <w:tcPr>
            <w:tcW w:w="1260" w:type="dxa"/>
            <w:vAlign w:val="center"/>
          </w:tcPr>
          <w:p w14:paraId="7923A851" w14:textId="77777777" w:rsidR="00831281" w:rsidRPr="0099355B" w:rsidRDefault="00910EA2" w:rsidP="00040966">
            <w:pPr>
              <w:spacing w:line="360" w:lineRule="auto"/>
              <w:ind w:firstLineChars="0" w:firstLine="0"/>
              <w:jc w:val="center"/>
            </w:pPr>
            <w:r w:rsidRPr="0099355B">
              <w:t>19.6</w:t>
            </w:r>
            <w:r w:rsidR="004200F4" w:rsidRPr="0099355B">
              <w:t>5</w:t>
            </w:r>
          </w:p>
        </w:tc>
        <w:tc>
          <w:tcPr>
            <w:tcW w:w="805" w:type="dxa"/>
            <w:vAlign w:val="center"/>
          </w:tcPr>
          <w:p w14:paraId="67FD2003" w14:textId="77777777" w:rsidR="00831281" w:rsidRPr="0099355B" w:rsidRDefault="00910EA2" w:rsidP="00040966">
            <w:pPr>
              <w:spacing w:line="360" w:lineRule="auto"/>
              <w:ind w:firstLineChars="0" w:firstLine="0"/>
              <w:jc w:val="center"/>
            </w:pPr>
            <w:r w:rsidRPr="0099355B">
              <w:t>5.91</w:t>
            </w:r>
          </w:p>
        </w:tc>
        <w:tc>
          <w:tcPr>
            <w:tcW w:w="1800" w:type="dxa"/>
            <w:vAlign w:val="center"/>
          </w:tcPr>
          <w:p w14:paraId="74C20534" w14:textId="77777777" w:rsidR="00831281" w:rsidRPr="0099355B" w:rsidRDefault="002730D2" w:rsidP="00040966">
            <w:pPr>
              <w:spacing w:line="360" w:lineRule="auto"/>
              <w:ind w:firstLineChars="0" w:firstLine="0"/>
              <w:jc w:val="center"/>
            </w:pPr>
            <w:r w:rsidRPr="0099355B">
              <w:t>(</w:t>
            </w:r>
            <w:r w:rsidR="00196B4D" w:rsidRPr="0099355B">
              <w:t>8.0</w:t>
            </w:r>
            <w:r w:rsidR="004200F4" w:rsidRPr="0099355B">
              <w:t>5</w:t>
            </w:r>
            <w:r w:rsidRPr="0099355B">
              <w:t xml:space="preserve">, </w:t>
            </w:r>
            <w:r w:rsidR="00196B4D" w:rsidRPr="0099355B">
              <w:t>3</w:t>
            </w:r>
            <w:r w:rsidRPr="0099355B">
              <w:t>1.</w:t>
            </w:r>
            <w:r w:rsidR="004200F4" w:rsidRPr="0099355B">
              <w:t>2</w:t>
            </w:r>
            <w:r w:rsidR="00196B4D" w:rsidRPr="0099355B">
              <w:t>5</w:t>
            </w:r>
            <w:r w:rsidRPr="0099355B">
              <w:t>)</w:t>
            </w:r>
          </w:p>
        </w:tc>
        <w:tc>
          <w:tcPr>
            <w:tcW w:w="1078" w:type="dxa"/>
            <w:vAlign w:val="center"/>
          </w:tcPr>
          <w:p w14:paraId="524E8E3B" w14:textId="77777777" w:rsidR="00831281" w:rsidRPr="0099355B" w:rsidRDefault="00196B4D" w:rsidP="00040966">
            <w:pPr>
              <w:spacing w:line="360" w:lineRule="auto"/>
              <w:ind w:firstLineChars="0" w:firstLine="0"/>
              <w:jc w:val="center"/>
            </w:pPr>
            <w:r w:rsidRPr="0099355B">
              <w:t>3.3</w:t>
            </w:r>
            <w:r w:rsidR="00910EA2" w:rsidRPr="0099355B">
              <w:t>3</w:t>
            </w:r>
          </w:p>
        </w:tc>
        <w:tc>
          <w:tcPr>
            <w:tcW w:w="1439" w:type="dxa"/>
            <w:vAlign w:val="center"/>
          </w:tcPr>
          <w:p w14:paraId="2AB34E78" w14:textId="77777777" w:rsidR="00831281" w:rsidRPr="0099355B" w:rsidRDefault="00D44F0D" w:rsidP="00196B4D">
            <w:pPr>
              <w:spacing w:line="360" w:lineRule="auto"/>
              <w:ind w:firstLineChars="0" w:firstLine="0"/>
            </w:pPr>
            <w:r w:rsidRPr="0099355B">
              <w:t xml:space="preserve">   </w:t>
            </w:r>
            <w:r w:rsidR="00ED3D1C" w:rsidRPr="0099355B">
              <w:t xml:space="preserve">  </w:t>
            </w:r>
            <w:r w:rsidR="00196B4D" w:rsidRPr="0099355B">
              <w:t>&lt;.001</w:t>
            </w:r>
          </w:p>
        </w:tc>
      </w:tr>
      <w:tr w:rsidR="00981B9B" w:rsidRPr="0099355B" w14:paraId="58E9A67D" w14:textId="77777777" w:rsidTr="004B4C37">
        <w:trPr>
          <w:trHeight w:val="934"/>
          <w:jc w:val="center"/>
        </w:trPr>
        <w:tc>
          <w:tcPr>
            <w:tcW w:w="1800" w:type="dxa"/>
            <w:tcBorders>
              <w:bottom w:val="single" w:sz="4" w:space="0" w:color="auto"/>
            </w:tcBorders>
            <w:vAlign w:val="center"/>
          </w:tcPr>
          <w:p w14:paraId="1DD7E657" w14:textId="77777777" w:rsidR="00981B9B" w:rsidRPr="0099355B" w:rsidRDefault="00981B9B" w:rsidP="00040966">
            <w:pPr>
              <w:spacing w:line="360" w:lineRule="auto"/>
              <w:ind w:firstLineChars="0" w:firstLine="0"/>
              <w:jc w:val="center"/>
              <w:rPr>
                <w:bCs/>
                <w:vertAlign w:val="superscript"/>
              </w:rPr>
            </w:pPr>
            <w:r w:rsidRPr="0099355B">
              <w:rPr>
                <w:bCs/>
              </w:rPr>
              <w:t>Model 4</w:t>
            </w:r>
            <w:r w:rsidRPr="0099355B">
              <w:rPr>
                <w:bCs/>
                <w:vertAlign w:val="superscript"/>
              </w:rPr>
              <w:t>3</w:t>
            </w:r>
          </w:p>
        </w:tc>
        <w:tc>
          <w:tcPr>
            <w:tcW w:w="1170" w:type="dxa"/>
            <w:tcBorders>
              <w:bottom w:val="single" w:sz="4" w:space="0" w:color="auto"/>
            </w:tcBorders>
            <w:vAlign w:val="center"/>
          </w:tcPr>
          <w:p w14:paraId="7EAC636E" w14:textId="77777777" w:rsidR="00981B9B" w:rsidRPr="0099355B" w:rsidRDefault="00853BCC" w:rsidP="00040966">
            <w:pPr>
              <w:spacing w:line="360" w:lineRule="auto"/>
              <w:ind w:firstLineChars="0" w:firstLine="0"/>
              <w:jc w:val="center"/>
              <w:rPr>
                <w:bCs/>
                <w:vertAlign w:val="superscript"/>
              </w:rPr>
            </w:pPr>
            <w:r w:rsidRPr="0099355B">
              <w:rPr>
                <w:bCs/>
              </w:rPr>
              <w:t>3318.56</w:t>
            </w:r>
            <w:r w:rsidRPr="0099355B">
              <w:rPr>
                <w:bCs/>
                <w:vertAlign w:val="superscript"/>
              </w:rPr>
              <w:t>4</w:t>
            </w:r>
          </w:p>
        </w:tc>
        <w:tc>
          <w:tcPr>
            <w:tcW w:w="2160" w:type="dxa"/>
            <w:tcBorders>
              <w:bottom w:val="single" w:sz="4" w:space="0" w:color="auto"/>
            </w:tcBorders>
            <w:vAlign w:val="center"/>
          </w:tcPr>
          <w:p w14:paraId="366F6C45" w14:textId="77777777" w:rsidR="00981B9B" w:rsidRPr="0099355B" w:rsidRDefault="00981B9B" w:rsidP="00040966">
            <w:pPr>
              <w:spacing w:line="360" w:lineRule="auto"/>
              <w:ind w:firstLineChars="0" w:firstLine="0"/>
              <w:jc w:val="center"/>
              <w:rPr>
                <w:bCs/>
              </w:rPr>
            </w:pPr>
            <w:r w:rsidRPr="0099355B">
              <w:rPr>
                <w:bCs/>
              </w:rPr>
              <w:t>“Linear”</w:t>
            </w:r>
          </w:p>
        </w:tc>
        <w:tc>
          <w:tcPr>
            <w:tcW w:w="1260" w:type="dxa"/>
            <w:tcBorders>
              <w:bottom w:val="single" w:sz="4" w:space="0" w:color="auto"/>
            </w:tcBorders>
            <w:vAlign w:val="center"/>
          </w:tcPr>
          <w:p w14:paraId="6B996FE6" w14:textId="77777777" w:rsidR="00981B9B" w:rsidRPr="0099355B" w:rsidRDefault="004B4C37" w:rsidP="00040966">
            <w:pPr>
              <w:spacing w:line="360" w:lineRule="auto"/>
              <w:ind w:firstLineChars="0" w:firstLine="0"/>
              <w:jc w:val="center"/>
              <w:rPr>
                <w:vertAlign w:val="superscript"/>
              </w:rPr>
            </w:pPr>
            <w:r w:rsidRPr="0099355B">
              <w:t>-0.10</w:t>
            </w:r>
            <w:r w:rsidR="00F35E95" w:rsidRPr="0099355B">
              <w:rPr>
                <w:vertAlign w:val="superscript"/>
              </w:rPr>
              <w:t>5</w:t>
            </w:r>
          </w:p>
        </w:tc>
        <w:tc>
          <w:tcPr>
            <w:tcW w:w="805" w:type="dxa"/>
            <w:tcBorders>
              <w:bottom w:val="single" w:sz="4" w:space="0" w:color="auto"/>
            </w:tcBorders>
            <w:vAlign w:val="center"/>
          </w:tcPr>
          <w:p w14:paraId="7866CCC7" w14:textId="77777777" w:rsidR="00981B9B" w:rsidRPr="0099355B" w:rsidRDefault="00040966" w:rsidP="00040966">
            <w:pPr>
              <w:spacing w:line="360" w:lineRule="auto"/>
              <w:ind w:firstLineChars="0" w:firstLine="0"/>
              <w:jc w:val="center"/>
            </w:pPr>
            <w:r w:rsidRPr="0099355B">
              <w:t>0.011</w:t>
            </w:r>
          </w:p>
        </w:tc>
        <w:tc>
          <w:tcPr>
            <w:tcW w:w="1800" w:type="dxa"/>
            <w:tcBorders>
              <w:bottom w:val="single" w:sz="4" w:space="0" w:color="auto"/>
            </w:tcBorders>
            <w:vAlign w:val="center"/>
          </w:tcPr>
          <w:p w14:paraId="1ACAE2CF" w14:textId="77777777" w:rsidR="00981B9B" w:rsidRPr="0099355B" w:rsidRDefault="00040966" w:rsidP="00040966">
            <w:pPr>
              <w:spacing w:line="360" w:lineRule="auto"/>
              <w:ind w:firstLineChars="0" w:firstLine="0"/>
              <w:jc w:val="center"/>
            </w:pPr>
            <w:r w:rsidRPr="0099355B">
              <w:t>(</w:t>
            </w:r>
            <w:r w:rsidR="00F35E95" w:rsidRPr="0099355B">
              <w:t>-0.12,-0.08</w:t>
            </w:r>
            <w:r w:rsidRPr="0099355B">
              <w:t>)</w:t>
            </w:r>
          </w:p>
        </w:tc>
        <w:tc>
          <w:tcPr>
            <w:tcW w:w="1078" w:type="dxa"/>
            <w:tcBorders>
              <w:bottom w:val="single" w:sz="4" w:space="0" w:color="auto"/>
            </w:tcBorders>
            <w:vAlign w:val="center"/>
          </w:tcPr>
          <w:p w14:paraId="746BE40E" w14:textId="77777777" w:rsidR="00981B9B" w:rsidRPr="0099355B" w:rsidRDefault="00040966" w:rsidP="00040966">
            <w:pPr>
              <w:spacing w:line="360" w:lineRule="auto"/>
              <w:ind w:firstLineChars="0" w:firstLine="0"/>
              <w:jc w:val="center"/>
            </w:pPr>
            <w:r w:rsidRPr="0099355B">
              <w:t>-9.0</w:t>
            </w:r>
            <w:r w:rsidR="00473817" w:rsidRPr="0099355B">
              <w:t>9</w:t>
            </w:r>
          </w:p>
        </w:tc>
        <w:tc>
          <w:tcPr>
            <w:tcW w:w="1439" w:type="dxa"/>
            <w:tcBorders>
              <w:bottom w:val="single" w:sz="4" w:space="0" w:color="auto"/>
            </w:tcBorders>
            <w:vAlign w:val="center"/>
          </w:tcPr>
          <w:p w14:paraId="6A18EA83" w14:textId="77777777" w:rsidR="00981B9B" w:rsidRPr="0099355B" w:rsidRDefault="00040966" w:rsidP="00040966">
            <w:pPr>
              <w:spacing w:line="360" w:lineRule="auto"/>
              <w:ind w:firstLineChars="0" w:firstLine="0"/>
              <w:jc w:val="center"/>
            </w:pPr>
            <w:r w:rsidRPr="0099355B">
              <w:t>&lt;.001</w:t>
            </w:r>
          </w:p>
        </w:tc>
      </w:tr>
    </w:tbl>
    <w:p w14:paraId="16A4EFC4" w14:textId="0D2D6167" w:rsidR="00B92970" w:rsidRPr="0099355B" w:rsidRDefault="00C52303" w:rsidP="00394988">
      <w:pPr>
        <w:widowControl w:val="0"/>
        <w:autoSpaceDE w:val="0"/>
        <w:autoSpaceDN w:val="0"/>
        <w:adjustRightInd w:val="0"/>
        <w:ind w:left="720"/>
      </w:pPr>
      <w:r w:rsidRPr="0099355B">
        <w:t>Note 1</w:t>
      </w:r>
      <w:r w:rsidR="000211A9" w:rsidRPr="0099355B">
        <w:t>.</w:t>
      </w:r>
      <w:r w:rsidRPr="0099355B">
        <w:t xml:space="preserve"> Estimates for additive and multiplicative models are respective unstandardized regression coefficient beta estimates and the ratio </w:t>
      </w:r>
      <w:r w:rsidR="00FD3AA4" w:rsidRPr="0099355B">
        <w:t>zeta</w:t>
      </w:r>
      <w:r w:rsidR="009415D0" w:rsidRPr="0099355B">
        <w:t xml:space="preserve"> estimates</w:t>
      </w:r>
      <w:r w:rsidRPr="0099355B">
        <w:t xml:space="preserve"> </w:t>
      </w:r>
      <w:r w:rsidRPr="0099355B">
        <w:fldChar w:fldCharType="begin" w:fldLock="1"/>
      </w:r>
      <w:r w:rsidR="003D6B31" w:rsidRPr="0099355B">
        <w:instrText>ADDIN CSL_CITATION {"citationItems":[{"id":"ITEM-1","itemData":{"DOI":"10.1037/met0000222","ISSN":"1939-1463","author":[{"dropping-particle":"","family":"Liu","given":"Qimin","non-dropping-particle":"","parse-names":false,"suffix":""},{"dropping-particle":"","family":"Maxwell","given":"Scott E.","non-dropping-particle":"","parse-names":false,"suffix":""}],"container-title":"Psychological Methods","id":"ITEM-1","issued":{"date-parts":[["2019","6","13"]]},"title":"Multiplicative treatment effects in randomized pretest-posttest experimental designs.","type":"article-journal"},"uris":["http://www.mendeley.com/documents/?uuid=98bd01d5-b700-4ed8-824a-a824e4719081"]}],"mendeley":{"formattedCitation":"[11]","plainTextFormattedCitation":"[11]","previouslyFormattedCitation":"(Liu and Maxwell)"},"properties":{"noteIndex":0},"schema":"https://github.com/citation-style-language/schema/raw/master/csl-citation.json"}</w:instrText>
      </w:r>
      <w:r w:rsidRPr="0099355B">
        <w:fldChar w:fldCharType="separate"/>
      </w:r>
      <w:r w:rsidR="003D6B31" w:rsidRPr="0099355B">
        <w:rPr>
          <w:noProof/>
        </w:rPr>
        <w:t>[11]</w:t>
      </w:r>
      <w:r w:rsidRPr="0099355B">
        <w:fldChar w:fldCharType="end"/>
      </w:r>
      <w:r w:rsidRPr="0099355B">
        <w:t xml:space="preserve"> compared with the baseline. </w:t>
      </w:r>
    </w:p>
    <w:p w14:paraId="508EEA53" w14:textId="77777777" w:rsidR="00B92970" w:rsidRPr="0099355B" w:rsidRDefault="00B92970" w:rsidP="00394988">
      <w:pPr>
        <w:widowControl w:val="0"/>
        <w:autoSpaceDE w:val="0"/>
        <w:autoSpaceDN w:val="0"/>
        <w:adjustRightInd w:val="0"/>
        <w:ind w:left="720"/>
      </w:pPr>
      <w:r w:rsidRPr="0099355B">
        <w:t>Note 2</w:t>
      </w:r>
      <w:r w:rsidR="000211A9" w:rsidRPr="0099355B">
        <w:t>.</w:t>
      </w:r>
      <w:r w:rsidRPr="0099355B">
        <w:t xml:space="preserve"> Standard error estimates for multiplicative models are that of the logged model. </w:t>
      </w:r>
    </w:p>
    <w:p w14:paraId="15C04DDE" w14:textId="3452D427" w:rsidR="00B92970" w:rsidRPr="0099355B" w:rsidRDefault="00B92970" w:rsidP="00394988">
      <w:pPr>
        <w:widowControl w:val="0"/>
        <w:autoSpaceDE w:val="0"/>
        <w:autoSpaceDN w:val="0"/>
        <w:adjustRightInd w:val="0"/>
        <w:ind w:left="720"/>
      </w:pPr>
      <w:r w:rsidRPr="0099355B">
        <w:t>Note 3</w:t>
      </w:r>
      <w:r w:rsidR="000211A9" w:rsidRPr="0099355B">
        <w:t>.</w:t>
      </w:r>
      <w:r w:rsidRPr="0099355B">
        <w:t xml:space="preserve"> </w:t>
      </w:r>
      <w:r w:rsidR="008D5910" w:rsidRPr="0099355B">
        <w:t>Let Y, M1, M3, and M respectively represent PHQ-9 sum scores, dummy coded month = 1, dummy coded month = 3, and month as a continuous variable</w:t>
      </w:r>
      <w:r w:rsidR="004223B4">
        <w:t>.</w:t>
      </w:r>
      <w:r w:rsidR="008D5910" w:rsidRPr="0099355B">
        <w:t xml:space="preserve"> </w:t>
      </w:r>
      <w:r w:rsidR="004223B4">
        <w:t>W</w:t>
      </w:r>
      <w:r w:rsidR="008D5910" w:rsidRPr="0099355B">
        <w:t xml:space="preserve">e have </w:t>
      </w:r>
      <w:r w:rsidR="00156E33" w:rsidRPr="0099355B">
        <w:t xml:space="preserve">additive fixed effects </w:t>
      </w:r>
      <w:r w:rsidR="008D5910" w:rsidRPr="0099355B">
        <w:t>model 1</w:t>
      </w:r>
      <w:r w:rsidR="004223B4">
        <w:t>,</w:t>
      </w:r>
      <w:r w:rsidR="008D5910" w:rsidRPr="0099355B">
        <w:t xml:space="preserve">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M1+</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m:t>
        </m:r>
        <m:r>
          <w:rPr>
            <w:rFonts w:ascii="Cambria Math" w:hAnsi="Cambria Math"/>
          </w:rPr>
          <m:t>3</m:t>
        </m:r>
        <m:r>
          <w:rPr>
            <w:rFonts w:ascii="Cambria Math" w:hAnsi="Cambria Math"/>
          </w:rPr>
          <m:t>+ε</m:t>
        </m:r>
      </m:oMath>
      <w:r w:rsidR="00A35E65" w:rsidRPr="0099355B">
        <w:t xml:space="preserve">; </w:t>
      </w:r>
      <w:r w:rsidR="00156E33" w:rsidRPr="0099355B">
        <w:t xml:space="preserve">multiplicative fixed effects </w:t>
      </w:r>
      <w:r w:rsidR="008D5910" w:rsidRPr="0099355B">
        <w:t>model 2</w:t>
      </w:r>
      <w:r w:rsidR="004223B4">
        <w:t>,</w:t>
      </w:r>
      <w:r w:rsidR="008D5910" w:rsidRPr="0099355B">
        <w:t xml:space="preserve"> </w:t>
      </w:r>
      <m:oMath>
        <m:r>
          <w:rPr>
            <w:rFonts w:ascii="Cambria Math" w:hAnsi="Cambria Math"/>
          </w:rPr>
          <m:t>Y=</m:t>
        </m:r>
        <m:sSup>
          <m:sSupPr>
            <m:ctrlPr>
              <w:rPr>
                <w:rFonts w:ascii="Cambria Math" w:hAnsi="Cambria Math"/>
                <w:i/>
              </w:rPr>
            </m:ctrlPr>
          </m:sSupPr>
          <m:e>
            <m:r>
              <w:rPr>
                <w:rFonts w:ascii="Cambria Math" w:hAnsi="Cambria Math"/>
              </w:rPr>
              <m:t>μ</m:t>
            </m:r>
          </m:e>
          <m:sup>
            <m:r>
              <w:rPr>
                <w:rFonts w:ascii="Cambria Math" w:hAnsi="Cambria Math"/>
              </w:rPr>
              <m:t>*</m:t>
            </m:r>
          </m:sup>
        </m:sSup>
        <m:sSub>
          <m:sSubPr>
            <m:ctrlPr>
              <w:rPr>
                <w:rFonts w:ascii="Cambria Math" w:hAnsi="Cambria Math"/>
                <w:i/>
              </w:rPr>
            </m:ctrlPr>
          </m:sSubPr>
          <m:e>
            <m:r>
              <w:rPr>
                <w:rFonts w:ascii="Cambria Math" w:hAnsi="Cambria Math"/>
              </w:rPr>
              <m:t>θ</m:t>
            </m:r>
          </m:e>
          <m:sub>
            <m:r>
              <w:rPr>
                <w:rFonts w:ascii="Cambria Math" w:hAnsi="Cambria Math"/>
              </w:rPr>
              <m:t>m</m:t>
            </m:r>
          </m:sub>
        </m:sSub>
        <m:sSup>
          <m:sSupPr>
            <m:ctrlPr>
              <w:rPr>
                <w:rFonts w:ascii="Cambria Math" w:hAnsi="Cambria Math"/>
                <w:i/>
              </w:rPr>
            </m:ctrlPr>
          </m:sSupPr>
          <m:e>
            <m:r>
              <w:rPr>
                <w:rFonts w:ascii="Cambria Math" w:hAnsi="Cambria Math"/>
              </w:rPr>
              <m:t>ε</m:t>
            </m:r>
          </m:e>
          <m:sup>
            <m:r>
              <w:rPr>
                <w:rFonts w:ascii="Cambria Math" w:hAnsi="Cambria Math"/>
              </w:rPr>
              <m:t>*</m:t>
            </m:r>
          </m:sup>
        </m:sSup>
      </m:oMath>
      <w:r w:rsidR="00BF2642" w:rsidRPr="0099355B">
        <w:t xml:space="preserve"> where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156E33" w:rsidRPr="0099355B">
        <w:t xml:space="preserve"> is the geometric </w:t>
      </w:r>
      <w:r w:rsidR="00970366" w:rsidRPr="0099355B">
        <w:t xml:space="preserve">grand </w:t>
      </w:r>
      <w:r w:rsidR="00156E33" w:rsidRPr="0099355B">
        <w:t>mean</w:t>
      </w:r>
      <w:r w:rsidR="00970366" w:rsidRPr="0099355B">
        <w:t xml:space="preserve">, </w:t>
      </w:r>
      <m:oMath>
        <m:sSub>
          <m:sSubPr>
            <m:ctrlPr>
              <w:rPr>
                <w:rFonts w:ascii="Cambria Math" w:hAnsi="Cambria Math"/>
                <w:i/>
              </w:rPr>
            </m:ctrlPr>
          </m:sSubPr>
          <m:e>
            <m:r>
              <w:rPr>
                <w:rFonts w:ascii="Cambria Math" w:hAnsi="Cambria Math"/>
              </w:rPr>
              <m:t>θ</m:t>
            </m:r>
          </m:e>
          <m:sub>
            <m:r>
              <w:rPr>
                <w:rFonts w:ascii="Cambria Math" w:hAnsi="Cambria Math"/>
              </w:rPr>
              <m:t>m</m:t>
            </m:r>
          </m:sub>
        </m:sSub>
      </m:oMath>
      <w:r w:rsidR="00970366" w:rsidRPr="0099355B">
        <w:t xml:space="preserve"> where </w:t>
      </w:r>
      <m:oMath>
        <m:r>
          <w:rPr>
            <w:rFonts w:ascii="Cambria Math" w:hAnsi="Cambria Math"/>
          </w:rPr>
          <m:t>m∈</m:t>
        </m:r>
        <m:r>
          <m:rPr>
            <m:lit/>
          </m:rPr>
          <w:rPr>
            <w:rFonts w:ascii="Cambria Math" w:hAnsi="Cambria Math"/>
          </w:rPr>
          <m:t>{</m:t>
        </m:r>
        <m:r>
          <w:rPr>
            <w:rFonts w:ascii="Cambria Math" w:hAnsi="Cambria Math"/>
          </w:rPr>
          <m:t xml:space="preserve">0,1,3} </m:t>
        </m:r>
      </m:oMath>
      <w:r w:rsidR="00970366" w:rsidRPr="0099355B">
        <w:t xml:space="preserve">is the ratio effect from month </w:t>
      </w:r>
      <w:r w:rsidR="00BF2642" w:rsidRPr="0099355B">
        <w:t xml:space="preserve"> and </w:t>
      </w:r>
      <m:oMath>
        <m:sSup>
          <m:sSupPr>
            <m:ctrlPr>
              <w:rPr>
                <w:rFonts w:ascii="Cambria Math" w:hAnsi="Cambria Math"/>
                <w:i/>
              </w:rPr>
            </m:ctrlPr>
          </m:sSupPr>
          <m:e>
            <m:r>
              <w:rPr>
                <w:rFonts w:ascii="Cambria Math" w:hAnsi="Cambria Math"/>
              </w:rPr>
              <m:t>ε</m:t>
            </m:r>
          </m:e>
          <m:sup>
            <m:r>
              <w:rPr>
                <w:rFonts w:ascii="Cambria Math" w:hAnsi="Cambria Math"/>
              </w:rPr>
              <m:t>*</m:t>
            </m:r>
          </m:sup>
        </m:sSup>
      </m:oMath>
      <w:r w:rsidR="00BF2642" w:rsidRPr="0099355B">
        <w:t xml:space="preserve"> </w:t>
      </w:r>
      <w:r w:rsidR="00A35E65" w:rsidRPr="0099355B">
        <w:t>is</w:t>
      </w:r>
      <w:r w:rsidR="00BF2642" w:rsidRPr="0099355B">
        <w:t xml:space="preserve"> the </w:t>
      </w:r>
      <w:r w:rsidR="00A35E65" w:rsidRPr="0099355B">
        <w:t xml:space="preserve">multiplicative error term; </w:t>
      </w:r>
      <w:r w:rsidR="00D14DF1" w:rsidRPr="0099355B">
        <w:t xml:space="preserve">additive </w:t>
      </w:r>
      <w:r w:rsidR="00A35E65" w:rsidRPr="0099355B">
        <w:t>fixed trend analysis model 3</w:t>
      </w:r>
      <w:r w:rsidR="004223B4">
        <w:t>,</w:t>
      </w:r>
      <w:r w:rsidR="00A35E65" w:rsidRPr="0099355B">
        <w:t xml:space="preserve">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sup>
            <m:r>
              <w:rPr>
                <w:rFonts w:ascii="Cambria Math" w:hAnsi="Cambria Math"/>
              </w:rPr>
              <m:t>2</m:t>
            </m:r>
          </m:sup>
        </m:sSup>
        <m:r>
          <w:rPr>
            <w:rFonts w:ascii="Cambria Math" w:hAnsi="Cambria Math"/>
          </w:rPr>
          <m:t>+ε</m:t>
        </m:r>
      </m:oMath>
      <w:r w:rsidR="00FF1887" w:rsidRPr="0099355B">
        <w:t>, here centering is necessary due to multicollinearity between linear and quadratic terms</w:t>
      </w:r>
      <w:r w:rsidR="00D14DF1" w:rsidRPr="0099355B">
        <w:t>; and multiplicative fixed trend analysis model 4</w:t>
      </w:r>
      <w:r w:rsidR="004223B4">
        <w:t>,</w:t>
      </w:r>
      <w:r w:rsidR="00D14DF1" w:rsidRPr="0099355B">
        <w:t xml:space="preserve"> </w:t>
      </w:r>
      <m:oMath>
        <m:r>
          <w:rPr>
            <w:rFonts w:ascii="Cambria Math" w:hAnsi="Cambria Math"/>
          </w:rPr>
          <m:t>Y=</m:t>
        </m:r>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m:t>
            </m:r>
          </m:sup>
        </m:sSubSup>
        <m:sSup>
          <m:sSupPr>
            <m:ctrlPr>
              <w:rPr>
                <w:rFonts w:ascii="Cambria Math" w:hAnsi="Cambria Math"/>
                <w:i/>
              </w:rPr>
            </m:ctrlPr>
          </m:sSupPr>
          <m:e>
            <m:r>
              <w:rPr>
                <w:rFonts w:ascii="Cambria Math" w:hAnsi="Cambria Math"/>
              </w:rPr>
              <m:t>M</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sSup>
          <m:sSupPr>
            <m:ctrlPr>
              <w:rPr>
                <w:rFonts w:ascii="Cambria Math" w:hAnsi="Cambria Math"/>
                <w:i/>
              </w:rPr>
            </m:ctrlPr>
          </m:sSupPr>
          <m:e>
            <m:r>
              <w:rPr>
                <w:rFonts w:ascii="Cambria Math" w:hAnsi="Cambria Math"/>
              </w:rPr>
              <m:t>ε</m:t>
            </m:r>
          </m:e>
          <m:sup>
            <m:r>
              <w:rPr>
                <w:rFonts w:ascii="Cambria Math" w:hAnsi="Cambria Math"/>
              </w:rPr>
              <m:t>*</m:t>
            </m:r>
          </m:sup>
        </m:sSup>
      </m:oMath>
      <w:r w:rsidR="00831281" w:rsidRPr="0099355B">
        <w:t>, here quadratic term is not included because</w:t>
      </w:r>
      <w:r w:rsidR="00FB6A00" w:rsidRPr="0099355B">
        <w:t xml:space="preserve"> </w:t>
      </w:r>
      <w:r w:rsidR="00831281" w:rsidRPr="0099355B">
        <w:t xml:space="preserve">multiplicative pattern may approximate quadratic effects given </w:t>
      </w:r>
      <w:r w:rsidR="00A666D3">
        <w:t>solely the “linear”</w:t>
      </w:r>
      <w:r w:rsidR="00831281" w:rsidRPr="0099355B">
        <w:t xml:space="preserve"> term.</w:t>
      </w:r>
    </w:p>
    <w:p w14:paraId="0D77FDB7" w14:textId="56EDFDF3" w:rsidR="008D5910" w:rsidRPr="0099355B" w:rsidRDefault="0033130B" w:rsidP="00394988">
      <w:pPr>
        <w:widowControl w:val="0"/>
        <w:autoSpaceDE w:val="0"/>
        <w:autoSpaceDN w:val="0"/>
        <w:adjustRightInd w:val="0"/>
        <w:ind w:left="720"/>
      </w:pPr>
      <w:r w:rsidRPr="0099355B">
        <w:t>Note 4</w:t>
      </w:r>
      <w:r w:rsidR="000211A9" w:rsidRPr="0099355B">
        <w:t>.</w:t>
      </w:r>
      <w:r w:rsidRPr="0099355B">
        <w:t xml:space="preserve"> </w:t>
      </w:r>
      <w:r w:rsidR="008D5910" w:rsidRPr="0099355B">
        <w:t xml:space="preserve">ABC procedure </w:t>
      </w:r>
      <w:r w:rsidR="008D5910" w:rsidRPr="0099355B">
        <w:fldChar w:fldCharType="begin" w:fldLock="1"/>
      </w:r>
      <w:r w:rsidR="003D6B31" w:rsidRPr="0099355B">
        <w:instrText>ADDIN CSL_CITATION {"citationItems":[{"id":"ITEM-1","itemData":{"DOI":"10.1037/met0000222","ISSN":"1939-1463","author":[{"dropping-particle":"","family":"Liu","given":"Qimin","non-dropping-particle":"","parse-names":false,"suffix":""},{"dropping-particle":"","family":"Maxwell","given":"Scott E.","non-dropping-particle":"","parse-names":false,"suffix":""}],"container-title":"Psychological Methods","id":"ITEM-1","issued":{"date-parts":[["2019","6","13"]]},"title":"Multiplicative treatment effects in randomized pretest-posttest experimental designs.","type":"article-journal"},"uris":["http://www.mendeley.com/documents/?uuid=98bd01d5-b700-4ed8-824a-a824e4719081"]}],"mendeley":{"formattedCitation":"[11]","plainTextFormattedCitation":"[11]","previouslyFormattedCitation":"(Liu and Maxwell)"},"properties":{"noteIndex":0},"schema":"https://github.com/citation-style-language/schema/raw/master/csl-citation.json"}</w:instrText>
      </w:r>
      <w:r w:rsidR="008D5910" w:rsidRPr="0099355B">
        <w:fldChar w:fldCharType="separate"/>
      </w:r>
      <w:r w:rsidR="003D6B31" w:rsidRPr="0099355B">
        <w:rPr>
          <w:noProof/>
        </w:rPr>
        <w:t>[11]</w:t>
      </w:r>
      <w:r w:rsidR="008D5910" w:rsidRPr="0099355B">
        <w:fldChar w:fldCharType="end"/>
      </w:r>
      <w:r w:rsidR="008D5910" w:rsidRPr="0099355B">
        <w:t xml:space="preserve"> was employed to obtain a comparable AIC:  As multiplicative models are estimated via log-log regression, the AIC from fitted log-log model is not comparable to the AIC value from fitted additive model due to difference in dependent variable. ABC procedure adjusts for this difference and utilizes a modified Box-Cox transformation to render a comparable AIC value for the multiplicative model.</w:t>
      </w:r>
    </w:p>
    <w:p w14:paraId="4F4D1492" w14:textId="48BD07D3" w:rsidR="00F35E95" w:rsidRPr="0099355B" w:rsidRDefault="00F35E95" w:rsidP="00394988">
      <w:pPr>
        <w:widowControl w:val="0"/>
        <w:autoSpaceDE w:val="0"/>
        <w:autoSpaceDN w:val="0"/>
        <w:adjustRightInd w:val="0"/>
        <w:ind w:left="720"/>
      </w:pPr>
      <w:r w:rsidRPr="0099355B">
        <w:t>Note 5</w:t>
      </w:r>
      <w:r w:rsidR="000211A9" w:rsidRPr="0099355B">
        <w:t>.</w:t>
      </w:r>
      <w:r w:rsidRPr="0099355B">
        <w:t xml:space="preserve"> </w:t>
      </w:r>
      <w:r w:rsidR="00AF6A22" w:rsidRPr="0099355B">
        <w:t>A</w:t>
      </w:r>
      <w:r w:rsidRPr="0099355B">
        <w:t>t month</w:t>
      </w:r>
      <w:r w:rsidR="00A666D3">
        <w:t xml:space="preserve"> one</w:t>
      </w:r>
      <w:r w:rsidRPr="0099355B">
        <w:t>, the depression is the (1+1)</w:t>
      </w:r>
      <w:r w:rsidR="00AF6A22" w:rsidRPr="0099355B">
        <w:rPr>
          <w:vertAlign w:val="superscript"/>
        </w:rPr>
        <w:t>-.1</w:t>
      </w:r>
      <w:r w:rsidR="00AF6A22" w:rsidRPr="0099355B">
        <w:t xml:space="preserve">= 93% of </w:t>
      </w:r>
      <w:r w:rsidRPr="0099355B">
        <w:t xml:space="preserve">baseline </w:t>
      </w:r>
      <w:r w:rsidR="00AF6A22" w:rsidRPr="0099355B">
        <w:t>and at month</w:t>
      </w:r>
      <w:r w:rsidR="00A666D3">
        <w:t xml:space="preserve"> three</w:t>
      </w:r>
      <w:r w:rsidR="00AF6A22" w:rsidRPr="0099355B">
        <w:t>, is (3+1)</w:t>
      </w:r>
      <w:r w:rsidR="00AF6A22" w:rsidRPr="0099355B">
        <w:rPr>
          <w:vertAlign w:val="superscript"/>
        </w:rPr>
        <w:t>-.1</w:t>
      </w:r>
      <w:r w:rsidR="00AF6A22" w:rsidRPr="0099355B">
        <w:t>=87% of the baseline.</w:t>
      </w:r>
    </w:p>
    <w:p w14:paraId="5B1AFCA1" w14:textId="77777777" w:rsidR="00AE5136" w:rsidRPr="0099355B" w:rsidRDefault="00AE5136"/>
    <w:p w14:paraId="355A934A" w14:textId="77777777" w:rsidR="00183742" w:rsidRPr="0099355B" w:rsidRDefault="00AE5136" w:rsidP="00AE5136">
      <w:pPr>
        <w:widowControl w:val="0"/>
        <w:autoSpaceDE w:val="0"/>
        <w:autoSpaceDN w:val="0"/>
        <w:adjustRightInd w:val="0"/>
        <w:ind w:left="-990"/>
        <w:jc w:val="center"/>
      </w:pPr>
      <w:r w:rsidRPr="0099355B">
        <w:lastRenderedPageBreak/>
        <w:t>Table 1b. Random-intercept</w:t>
      </w:r>
      <w:r w:rsidR="003F523E" w:rsidRPr="0099355B">
        <w:t xml:space="preserve"> and</w:t>
      </w:r>
      <w:r w:rsidRPr="0099355B">
        <w:t xml:space="preserve"> Random-intercept/-slope Model for Inter-Panel Relations</w:t>
      </w:r>
    </w:p>
    <w:p w14:paraId="6ED15FD0" w14:textId="77777777" w:rsidR="00183742" w:rsidRPr="0099355B" w:rsidRDefault="00183742" w:rsidP="00B92970">
      <w:pPr>
        <w:widowControl w:val="0"/>
        <w:autoSpaceDE w:val="0"/>
        <w:autoSpaceDN w:val="0"/>
        <w:adjustRightInd w:val="0"/>
        <w:ind w:left="-990"/>
      </w:pPr>
    </w:p>
    <w:tbl>
      <w:tblPr>
        <w:tblStyle w:val="TableGrid"/>
        <w:tblW w:w="97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170"/>
        <w:gridCol w:w="1525"/>
        <w:gridCol w:w="900"/>
        <w:gridCol w:w="1800"/>
        <w:gridCol w:w="1078"/>
        <w:gridCol w:w="1439"/>
      </w:tblGrid>
      <w:tr w:rsidR="00773983" w:rsidRPr="0099355B" w14:paraId="2792EB50" w14:textId="77777777" w:rsidTr="00465181">
        <w:trPr>
          <w:trHeight w:val="432"/>
          <w:jc w:val="center"/>
        </w:trPr>
        <w:tc>
          <w:tcPr>
            <w:tcW w:w="1800" w:type="dxa"/>
            <w:tcBorders>
              <w:top w:val="single" w:sz="4" w:space="0" w:color="auto"/>
            </w:tcBorders>
            <w:vAlign w:val="center"/>
          </w:tcPr>
          <w:p w14:paraId="715597E9" w14:textId="77777777" w:rsidR="00773983" w:rsidRPr="0099355B" w:rsidRDefault="00773983" w:rsidP="00EF0E51">
            <w:pPr>
              <w:spacing w:line="360" w:lineRule="auto"/>
              <w:ind w:leftChars="-81" w:left="-194" w:firstLine="600"/>
              <w:jc w:val="center"/>
              <w:rPr>
                <w:bCs/>
                <w:lang w:eastAsia="en-US"/>
              </w:rPr>
            </w:pPr>
          </w:p>
        </w:tc>
        <w:tc>
          <w:tcPr>
            <w:tcW w:w="1170" w:type="dxa"/>
            <w:tcBorders>
              <w:top w:val="single" w:sz="4" w:space="0" w:color="auto"/>
            </w:tcBorders>
            <w:vAlign w:val="center"/>
          </w:tcPr>
          <w:p w14:paraId="7BB1AE77" w14:textId="77777777" w:rsidR="00773983" w:rsidRPr="0099355B" w:rsidRDefault="004718AD" w:rsidP="00EF0E51">
            <w:pPr>
              <w:spacing w:line="360" w:lineRule="auto"/>
              <w:ind w:firstLineChars="0" w:firstLine="0"/>
              <w:jc w:val="center"/>
              <w:rPr>
                <w:bCs/>
                <w:lang w:eastAsia="en-US"/>
              </w:rPr>
            </w:pPr>
            <w:r w:rsidRPr="0099355B">
              <w:rPr>
                <w:bCs/>
                <w:lang w:eastAsia="en-US"/>
              </w:rPr>
              <w:t>AIC</w:t>
            </w:r>
          </w:p>
        </w:tc>
        <w:tc>
          <w:tcPr>
            <w:tcW w:w="6742" w:type="dxa"/>
            <w:gridSpan w:val="5"/>
            <w:tcBorders>
              <w:top w:val="single" w:sz="4" w:space="0" w:color="auto"/>
            </w:tcBorders>
            <w:vAlign w:val="center"/>
          </w:tcPr>
          <w:p w14:paraId="6A7F0FED" w14:textId="77777777" w:rsidR="00773983" w:rsidRPr="0099355B" w:rsidRDefault="00773983" w:rsidP="00EF0E51">
            <w:pPr>
              <w:spacing w:line="360" w:lineRule="auto"/>
              <w:ind w:firstLine="600"/>
              <w:jc w:val="center"/>
            </w:pPr>
            <w:r w:rsidRPr="0099355B">
              <w:rPr>
                <w:bCs/>
                <w:lang w:eastAsia="en-US"/>
              </w:rPr>
              <w:t>Fixed Effect</w:t>
            </w:r>
            <w:r w:rsidR="00B06705" w:rsidRPr="0099355B">
              <w:rPr>
                <w:bCs/>
                <w:lang w:eastAsia="en-US"/>
              </w:rPr>
              <w:t xml:space="preserve"> Components</w:t>
            </w:r>
          </w:p>
        </w:tc>
      </w:tr>
      <w:tr w:rsidR="00A43F32" w:rsidRPr="0099355B" w14:paraId="5E12CB21" w14:textId="77777777" w:rsidTr="00465181">
        <w:trPr>
          <w:trHeight w:val="432"/>
          <w:jc w:val="center"/>
        </w:trPr>
        <w:tc>
          <w:tcPr>
            <w:tcW w:w="1800" w:type="dxa"/>
            <w:tcBorders>
              <w:bottom w:val="single" w:sz="4" w:space="0" w:color="auto"/>
            </w:tcBorders>
            <w:vAlign w:val="center"/>
          </w:tcPr>
          <w:p w14:paraId="4A5A2B56" w14:textId="77777777" w:rsidR="00A43F32" w:rsidRPr="0099355B" w:rsidRDefault="00A43F32" w:rsidP="00EF0E51">
            <w:pPr>
              <w:spacing w:line="360" w:lineRule="auto"/>
              <w:ind w:leftChars="-81" w:left="-194" w:firstLineChars="0" w:firstLine="138"/>
              <w:jc w:val="center"/>
              <w:rPr>
                <w:bCs/>
                <w:lang w:eastAsia="en-US"/>
              </w:rPr>
            </w:pPr>
          </w:p>
        </w:tc>
        <w:tc>
          <w:tcPr>
            <w:tcW w:w="1170" w:type="dxa"/>
            <w:tcBorders>
              <w:bottom w:val="single" w:sz="4" w:space="0" w:color="auto"/>
            </w:tcBorders>
            <w:vAlign w:val="center"/>
          </w:tcPr>
          <w:p w14:paraId="003D62D4" w14:textId="77777777" w:rsidR="00A43F32" w:rsidRPr="0099355B" w:rsidRDefault="00A43F32" w:rsidP="00EF0E51">
            <w:pPr>
              <w:spacing w:line="360" w:lineRule="auto"/>
              <w:ind w:firstLineChars="0" w:firstLine="0"/>
              <w:jc w:val="center"/>
              <w:rPr>
                <w:bCs/>
                <w:lang w:eastAsia="en-US"/>
              </w:rPr>
            </w:pPr>
          </w:p>
        </w:tc>
        <w:tc>
          <w:tcPr>
            <w:tcW w:w="1525" w:type="dxa"/>
            <w:tcBorders>
              <w:bottom w:val="single" w:sz="4" w:space="0" w:color="auto"/>
            </w:tcBorders>
            <w:vAlign w:val="center"/>
          </w:tcPr>
          <w:p w14:paraId="4E0517A9" w14:textId="77777777" w:rsidR="00A43F32" w:rsidRPr="0099355B" w:rsidRDefault="00A43F32" w:rsidP="00EF0E51">
            <w:pPr>
              <w:spacing w:line="360" w:lineRule="auto"/>
              <w:ind w:firstLineChars="0" w:firstLine="0"/>
              <w:jc w:val="center"/>
              <w:rPr>
                <w:vertAlign w:val="superscript"/>
              </w:rPr>
            </w:pPr>
            <w:r w:rsidRPr="0099355B">
              <w:t>Estimates</w:t>
            </w:r>
            <w:r w:rsidR="004718AD" w:rsidRPr="0099355B">
              <w:rPr>
                <w:vertAlign w:val="superscript"/>
              </w:rPr>
              <w:t>1</w:t>
            </w:r>
          </w:p>
        </w:tc>
        <w:tc>
          <w:tcPr>
            <w:tcW w:w="900" w:type="dxa"/>
            <w:tcBorders>
              <w:bottom w:val="single" w:sz="4" w:space="0" w:color="auto"/>
            </w:tcBorders>
            <w:vAlign w:val="center"/>
          </w:tcPr>
          <w:p w14:paraId="34699486" w14:textId="77777777" w:rsidR="00A43F32" w:rsidRPr="0099355B" w:rsidRDefault="00A43F32" w:rsidP="00EF0E51">
            <w:pPr>
              <w:spacing w:line="360" w:lineRule="auto"/>
              <w:ind w:firstLineChars="0" w:firstLine="0"/>
              <w:jc w:val="center"/>
              <w:rPr>
                <w:vertAlign w:val="superscript"/>
              </w:rPr>
            </w:pPr>
            <w:r w:rsidRPr="0099355B">
              <w:t>SE</w:t>
            </w:r>
            <w:r w:rsidR="00F85D26" w:rsidRPr="0099355B">
              <w:rPr>
                <w:vertAlign w:val="superscript"/>
              </w:rPr>
              <w:t>1</w:t>
            </w:r>
          </w:p>
        </w:tc>
        <w:tc>
          <w:tcPr>
            <w:tcW w:w="1800" w:type="dxa"/>
            <w:tcBorders>
              <w:bottom w:val="single" w:sz="4" w:space="0" w:color="auto"/>
            </w:tcBorders>
            <w:vAlign w:val="center"/>
          </w:tcPr>
          <w:p w14:paraId="5173B0A5" w14:textId="77777777" w:rsidR="00A43F32" w:rsidRPr="0099355B" w:rsidRDefault="00A43F32" w:rsidP="00EF0E51">
            <w:pPr>
              <w:spacing w:line="360" w:lineRule="auto"/>
              <w:ind w:firstLine="600"/>
              <w:jc w:val="center"/>
              <w:rPr>
                <w:vertAlign w:val="superscript"/>
              </w:rPr>
            </w:pPr>
            <w:r w:rsidRPr="0099355B">
              <w:t>95% CI</w:t>
            </w:r>
          </w:p>
        </w:tc>
        <w:tc>
          <w:tcPr>
            <w:tcW w:w="1078" w:type="dxa"/>
            <w:tcBorders>
              <w:bottom w:val="single" w:sz="4" w:space="0" w:color="auto"/>
            </w:tcBorders>
            <w:vAlign w:val="center"/>
          </w:tcPr>
          <w:p w14:paraId="5E4C8D38" w14:textId="77777777" w:rsidR="00A43F32" w:rsidRPr="0099355B" w:rsidRDefault="00A43F32" w:rsidP="00EF0E51">
            <w:pPr>
              <w:spacing w:line="360" w:lineRule="auto"/>
              <w:ind w:firstLineChars="0" w:firstLine="0"/>
              <w:jc w:val="center"/>
              <w:rPr>
                <w:i/>
              </w:rPr>
            </w:pPr>
            <w:r w:rsidRPr="0099355B">
              <w:rPr>
                <w:i/>
              </w:rPr>
              <w:t>t</w:t>
            </w:r>
          </w:p>
        </w:tc>
        <w:tc>
          <w:tcPr>
            <w:tcW w:w="1439" w:type="dxa"/>
            <w:tcBorders>
              <w:bottom w:val="single" w:sz="4" w:space="0" w:color="auto"/>
            </w:tcBorders>
            <w:vAlign w:val="center"/>
          </w:tcPr>
          <w:p w14:paraId="39D29109" w14:textId="77777777" w:rsidR="00A43F32" w:rsidRPr="0099355B" w:rsidRDefault="00A43F32" w:rsidP="00EF0E51">
            <w:pPr>
              <w:spacing w:line="360" w:lineRule="auto"/>
              <w:ind w:firstLineChars="0" w:firstLine="0"/>
              <w:jc w:val="center"/>
            </w:pPr>
            <w:r w:rsidRPr="0099355B">
              <w:t>p</w:t>
            </w:r>
          </w:p>
        </w:tc>
      </w:tr>
      <w:tr w:rsidR="00A43F32" w:rsidRPr="0099355B" w14:paraId="09AED26D" w14:textId="77777777" w:rsidTr="00465181">
        <w:trPr>
          <w:trHeight w:val="251"/>
          <w:jc w:val="center"/>
        </w:trPr>
        <w:tc>
          <w:tcPr>
            <w:tcW w:w="1800" w:type="dxa"/>
            <w:tcBorders>
              <w:top w:val="single" w:sz="4" w:space="0" w:color="auto"/>
            </w:tcBorders>
            <w:vAlign w:val="center"/>
          </w:tcPr>
          <w:p w14:paraId="1207880F" w14:textId="77777777" w:rsidR="00A43F32" w:rsidRPr="0099355B" w:rsidRDefault="00A43F32" w:rsidP="00EF0E51">
            <w:pPr>
              <w:spacing w:line="360" w:lineRule="auto"/>
              <w:ind w:leftChars="-11" w:left="-19" w:firstLineChars="0" w:hanging="7"/>
              <w:jc w:val="center"/>
              <w:rPr>
                <w:bCs/>
                <w:vertAlign w:val="superscript"/>
              </w:rPr>
            </w:pPr>
            <w:r w:rsidRPr="0099355B">
              <w:rPr>
                <w:bCs/>
              </w:rPr>
              <w:t>Model 5</w:t>
            </w:r>
            <w:r w:rsidR="00F85D26" w:rsidRPr="0099355B">
              <w:rPr>
                <w:bCs/>
                <w:vertAlign w:val="superscript"/>
              </w:rPr>
              <w:t>2</w:t>
            </w:r>
          </w:p>
        </w:tc>
        <w:tc>
          <w:tcPr>
            <w:tcW w:w="1170" w:type="dxa"/>
            <w:tcBorders>
              <w:top w:val="single" w:sz="4" w:space="0" w:color="auto"/>
            </w:tcBorders>
            <w:vAlign w:val="center"/>
          </w:tcPr>
          <w:p w14:paraId="45FB5D79" w14:textId="77777777" w:rsidR="00A43F32" w:rsidRPr="0099355B" w:rsidRDefault="009A5802" w:rsidP="00EF0E51">
            <w:pPr>
              <w:spacing w:line="360" w:lineRule="auto"/>
              <w:ind w:firstLineChars="0" w:firstLine="0"/>
              <w:jc w:val="center"/>
              <w:rPr>
                <w:bCs/>
              </w:rPr>
            </w:pPr>
            <w:r w:rsidRPr="0099355B">
              <w:rPr>
                <w:bCs/>
              </w:rPr>
              <w:t>3248.52</w:t>
            </w:r>
          </w:p>
        </w:tc>
        <w:tc>
          <w:tcPr>
            <w:tcW w:w="1525" w:type="dxa"/>
            <w:tcBorders>
              <w:top w:val="single" w:sz="4" w:space="0" w:color="auto"/>
            </w:tcBorders>
            <w:vAlign w:val="center"/>
          </w:tcPr>
          <w:p w14:paraId="573DC35F" w14:textId="77777777" w:rsidR="00A43F32" w:rsidRPr="0099355B" w:rsidRDefault="00A43F32" w:rsidP="00EF0E51">
            <w:pPr>
              <w:spacing w:line="360" w:lineRule="auto"/>
              <w:ind w:firstLineChars="0" w:firstLine="0"/>
              <w:jc w:val="center"/>
            </w:pPr>
            <w:r w:rsidRPr="0099355B">
              <w:t>-1.7</w:t>
            </w:r>
            <w:r w:rsidR="00CF48D3" w:rsidRPr="0099355B">
              <w:t>3</w:t>
            </w:r>
          </w:p>
        </w:tc>
        <w:tc>
          <w:tcPr>
            <w:tcW w:w="900" w:type="dxa"/>
            <w:tcBorders>
              <w:top w:val="single" w:sz="4" w:space="0" w:color="auto"/>
            </w:tcBorders>
            <w:vAlign w:val="center"/>
          </w:tcPr>
          <w:p w14:paraId="777CFA3C" w14:textId="77777777" w:rsidR="00A43F32" w:rsidRPr="0099355B" w:rsidRDefault="00A43F32" w:rsidP="00EF0E51">
            <w:pPr>
              <w:spacing w:line="360" w:lineRule="auto"/>
              <w:ind w:firstLineChars="0" w:firstLine="0"/>
              <w:jc w:val="center"/>
            </w:pPr>
            <w:r w:rsidRPr="0099355B">
              <w:t>.1</w:t>
            </w:r>
            <w:r w:rsidR="00CF48D3" w:rsidRPr="0099355B">
              <w:t>45</w:t>
            </w:r>
          </w:p>
        </w:tc>
        <w:tc>
          <w:tcPr>
            <w:tcW w:w="1800" w:type="dxa"/>
            <w:tcBorders>
              <w:top w:val="single" w:sz="4" w:space="0" w:color="auto"/>
            </w:tcBorders>
            <w:vAlign w:val="center"/>
          </w:tcPr>
          <w:p w14:paraId="1098D120" w14:textId="77777777" w:rsidR="00A43F32" w:rsidRPr="0099355B" w:rsidRDefault="00A43F32" w:rsidP="00EF0E51">
            <w:pPr>
              <w:spacing w:line="360" w:lineRule="auto"/>
              <w:ind w:firstLineChars="0" w:firstLine="0"/>
              <w:jc w:val="center"/>
            </w:pPr>
            <w:r w:rsidRPr="0099355B">
              <w:t>(-</w:t>
            </w:r>
            <w:r w:rsidR="00CF48D3" w:rsidRPr="0099355B">
              <w:t>2</w:t>
            </w:r>
            <w:r w:rsidRPr="0099355B">
              <w:t>.</w:t>
            </w:r>
            <w:r w:rsidR="00CF48D3" w:rsidRPr="0099355B">
              <w:t>01</w:t>
            </w:r>
            <w:r w:rsidRPr="0099355B">
              <w:t>, -1.7</w:t>
            </w:r>
            <w:r w:rsidR="00CF48D3" w:rsidRPr="0099355B">
              <w:t>3</w:t>
            </w:r>
            <w:r w:rsidRPr="0099355B">
              <w:t>)</w:t>
            </w:r>
          </w:p>
        </w:tc>
        <w:tc>
          <w:tcPr>
            <w:tcW w:w="1078" w:type="dxa"/>
            <w:tcBorders>
              <w:top w:val="single" w:sz="4" w:space="0" w:color="auto"/>
            </w:tcBorders>
            <w:vAlign w:val="center"/>
          </w:tcPr>
          <w:p w14:paraId="519B7FE2" w14:textId="77777777" w:rsidR="00A43F32" w:rsidRPr="0099355B" w:rsidRDefault="00A43F32" w:rsidP="00EF0E51">
            <w:pPr>
              <w:spacing w:line="360" w:lineRule="auto"/>
              <w:ind w:firstLineChars="0" w:firstLine="0"/>
              <w:jc w:val="center"/>
            </w:pPr>
            <w:r w:rsidRPr="0099355B">
              <w:t>-1</w:t>
            </w:r>
            <w:r w:rsidR="00CF48D3" w:rsidRPr="0099355B">
              <w:t>1</w:t>
            </w:r>
            <w:r w:rsidRPr="0099355B">
              <w:t>.</w:t>
            </w:r>
            <w:r w:rsidR="00CF48D3" w:rsidRPr="0099355B">
              <w:t>87</w:t>
            </w:r>
          </w:p>
        </w:tc>
        <w:tc>
          <w:tcPr>
            <w:tcW w:w="1439" w:type="dxa"/>
            <w:tcBorders>
              <w:top w:val="single" w:sz="4" w:space="0" w:color="auto"/>
            </w:tcBorders>
            <w:vAlign w:val="center"/>
          </w:tcPr>
          <w:p w14:paraId="5585D0F9" w14:textId="77777777" w:rsidR="00A43F32" w:rsidRPr="0099355B" w:rsidRDefault="00A43F32" w:rsidP="00EF0E51">
            <w:pPr>
              <w:spacing w:line="360" w:lineRule="auto"/>
              <w:ind w:firstLineChars="0" w:firstLine="0"/>
              <w:jc w:val="center"/>
            </w:pPr>
            <w:r w:rsidRPr="0099355B">
              <w:t>&lt;.001</w:t>
            </w:r>
          </w:p>
        </w:tc>
      </w:tr>
      <w:tr w:rsidR="00A43F32" w:rsidRPr="0099355B" w14:paraId="0F631920" w14:textId="77777777" w:rsidTr="00465181">
        <w:trPr>
          <w:trHeight w:val="251"/>
          <w:jc w:val="center"/>
        </w:trPr>
        <w:tc>
          <w:tcPr>
            <w:tcW w:w="1800" w:type="dxa"/>
            <w:vAlign w:val="center"/>
          </w:tcPr>
          <w:p w14:paraId="12CB5DA4" w14:textId="77777777" w:rsidR="00A43F32" w:rsidRPr="0099355B" w:rsidRDefault="00A43F32" w:rsidP="00EF0E51">
            <w:pPr>
              <w:spacing w:line="360" w:lineRule="auto"/>
              <w:ind w:leftChars="-11" w:left="-26" w:firstLineChars="4" w:firstLine="10"/>
              <w:jc w:val="center"/>
              <w:rPr>
                <w:bCs/>
              </w:rPr>
            </w:pPr>
            <w:r w:rsidRPr="0099355B">
              <w:rPr>
                <w:bCs/>
              </w:rPr>
              <w:t>Model 6</w:t>
            </w:r>
            <w:r w:rsidR="00F85D26" w:rsidRPr="0099355B">
              <w:rPr>
                <w:bCs/>
                <w:vertAlign w:val="superscript"/>
              </w:rPr>
              <w:t>2</w:t>
            </w:r>
          </w:p>
        </w:tc>
        <w:tc>
          <w:tcPr>
            <w:tcW w:w="1170" w:type="dxa"/>
            <w:vAlign w:val="center"/>
          </w:tcPr>
          <w:p w14:paraId="1ED41F57" w14:textId="77777777" w:rsidR="00A43F32" w:rsidRPr="0099355B" w:rsidRDefault="00747364" w:rsidP="00EF0E51">
            <w:pPr>
              <w:spacing w:line="360" w:lineRule="auto"/>
              <w:ind w:firstLineChars="0" w:firstLine="0"/>
              <w:jc w:val="center"/>
              <w:rPr>
                <w:bCs/>
              </w:rPr>
            </w:pPr>
            <w:r w:rsidRPr="0099355B">
              <w:rPr>
                <w:bCs/>
              </w:rPr>
              <w:t>320</w:t>
            </w:r>
            <w:r w:rsidR="00EB221F" w:rsidRPr="0099355B">
              <w:rPr>
                <w:bCs/>
              </w:rPr>
              <w:t>2</w:t>
            </w:r>
            <w:r w:rsidRPr="0099355B">
              <w:rPr>
                <w:bCs/>
              </w:rPr>
              <w:t>.</w:t>
            </w:r>
            <w:r w:rsidR="00EB221F" w:rsidRPr="0099355B">
              <w:rPr>
                <w:bCs/>
              </w:rPr>
              <w:t>58</w:t>
            </w:r>
            <w:r w:rsidRPr="0099355B">
              <w:rPr>
                <w:bCs/>
                <w:vertAlign w:val="superscript"/>
              </w:rPr>
              <w:t>3</w:t>
            </w:r>
          </w:p>
        </w:tc>
        <w:tc>
          <w:tcPr>
            <w:tcW w:w="1525" w:type="dxa"/>
            <w:vAlign w:val="center"/>
          </w:tcPr>
          <w:p w14:paraId="4AC32060" w14:textId="77777777" w:rsidR="00A43F32" w:rsidRPr="0099355B" w:rsidRDefault="00B06EEE" w:rsidP="00EF0E51">
            <w:pPr>
              <w:spacing w:line="360" w:lineRule="auto"/>
              <w:ind w:firstLineChars="0" w:firstLine="0"/>
              <w:jc w:val="center"/>
              <w:rPr>
                <w:vertAlign w:val="superscript"/>
              </w:rPr>
            </w:pPr>
            <w:r w:rsidRPr="0099355B">
              <w:t>-0.23</w:t>
            </w:r>
            <w:r w:rsidR="00474C87" w:rsidRPr="0099355B">
              <w:rPr>
                <w:vertAlign w:val="superscript"/>
              </w:rPr>
              <w:t>4</w:t>
            </w:r>
          </w:p>
        </w:tc>
        <w:tc>
          <w:tcPr>
            <w:tcW w:w="900" w:type="dxa"/>
            <w:vAlign w:val="center"/>
          </w:tcPr>
          <w:p w14:paraId="3ABDDF90" w14:textId="77777777" w:rsidR="00A43F32" w:rsidRPr="0099355B" w:rsidRDefault="00A43F32" w:rsidP="00EF0E51">
            <w:pPr>
              <w:spacing w:line="360" w:lineRule="auto"/>
              <w:ind w:firstLineChars="0" w:firstLine="0"/>
              <w:jc w:val="center"/>
            </w:pPr>
            <w:r w:rsidRPr="0099355B">
              <w:t>.0</w:t>
            </w:r>
            <w:r w:rsidR="00456E74" w:rsidRPr="0099355B">
              <w:t>17</w:t>
            </w:r>
          </w:p>
        </w:tc>
        <w:tc>
          <w:tcPr>
            <w:tcW w:w="1800" w:type="dxa"/>
            <w:vAlign w:val="center"/>
          </w:tcPr>
          <w:p w14:paraId="2136653D" w14:textId="77777777" w:rsidR="00A43F32" w:rsidRPr="0099355B" w:rsidRDefault="00A43F32" w:rsidP="00EF0E51">
            <w:pPr>
              <w:spacing w:line="360" w:lineRule="auto"/>
              <w:ind w:firstLineChars="0" w:firstLine="0"/>
              <w:jc w:val="center"/>
            </w:pPr>
            <w:r w:rsidRPr="0099355B">
              <w:t>(</w:t>
            </w:r>
            <w:r w:rsidR="00456E74" w:rsidRPr="0099355B">
              <w:t>-0.26, -0.20</w:t>
            </w:r>
            <w:r w:rsidRPr="0099355B">
              <w:t>)</w:t>
            </w:r>
          </w:p>
        </w:tc>
        <w:tc>
          <w:tcPr>
            <w:tcW w:w="1078" w:type="dxa"/>
            <w:vAlign w:val="center"/>
          </w:tcPr>
          <w:p w14:paraId="3ED6AB67" w14:textId="77777777" w:rsidR="00A43F32" w:rsidRPr="0099355B" w:rsidRDefault="00456E74" w:rsidP="00EF0E51">
            <w:pPr>
              <w:spacing w:line="360" w:lineRule="auto"/>
              <w:ind w:firstLineChars="0" w:firstLine="0"/>
              <w:jc w:val="center"/>
            </w:pPr>
            <w:r w:rsidRPr="0099355B">
              <w:t>-13.65</w:t>
            </w:r>
          </w:p>
        </w:tc>
        <w:tc>
          <w:tcPr>
            <w:tcW w:w="1439" w:type="dxa"/>
            <w:vAlign w:val="center"/>
          </w:tcPr>
          <w:p w14:paraId="4C7A6AE1" w14:textId="77777777" w:rsidR="00A43F32" w:rsidRPr="0099355B" w:rsidRDefault="00A43F32" w:rsidP="00EF0E51">
            <w:pPr>
              <w:spacing w:line="360" w:lineRule="auto"/>
              <w:ind w:firstLineChars="0" w:firstLine="0"/>
              <w:jc w:val="center"/>
            </w:pPr>
            <w:r w:rsidRPr="0099355B">
              <w:t>&lt;.001</w:t>
            </w:r>
          </w:p>
        </w:tc>
      </w:tr>
      <w:tr w:rsidR="00A43F32" w:rsidRPr="0099355B" w14:paraId="066F1049" w14:textId="77777777" w:rsidTr="00465181">
        <w:trPr>
          <w:trHeight w:val="251"/>
          <w:jc w:val="center"/>
        </w:trPr>
        <w:tc>
          <w:tcPr>
            <w:tcW w:w="1800" w:type="dxa"/>
            <w:vAlign w:val="center"/>
          </w:tcPr>
          <w:p w14:paraId="67C79CDE" w14:textId="77777777" w:rsidR="00A43F32" w:rsidRPr="0099355B" w:rsidRDefault="00A43F32" w:rsidP="00EF0E51">
            <w:pPr>
              <w:spacing w:line="360" w:lineRule="auto"/>
              <w:ind w:leftChars="-11" w:left="-26" w:firstLineChars="4" w:firstLine="10"/>
              <w:jc w:val="center"/>
              <w:rPr>
                <w:bCs/>
              </w:rPr>
            </w:pPr>
            <w:r w:rsidRPr="0099355B">
              <w:rPr>
                <w:bCs/>
              </w:rPr>
              <w:t>Model 7</w:t>
            </w:r>
            <w:r w:rsidR="00F85D26" w:rsidRPr="0099355B">
              <w:rPr>
                <w:bCs/>
                <w:vertAlign w:val="superscript"/>
              </w:rPr>
              <w:t>2</w:t>
            </w:r>
          </w:p>
        </w:tc>
        <w:tc>
          <w:tcPr>
            <w:tcW w:w="1170" w:type="dxa"/>
            <w:vAlign w:val="center"/>
          </w:tcPr>
          <w:p w14:paraId="6FD9CBFC" w14:textId="77777777" w:rsidR="00A43F32" w:rsidRPr="0099355B" w:rsidRDefault="00A43F32" w:rsidP="00EF0E51">
            <w:pPr>
              <w:spacing w:line="360" w:lineRule="auto"/>
              <w:ind w:firstLineChars="0" w:firstLine="0"/>
              <w:jc w:val="center"/>
              <w:rPr>
                <w:bCs/>
              </w:rPr>
            </w:pPr>
            <w:r w:rsidRPr="0099355B">
              <w:rPr>
                <w:bCs/>
              </w:rPr>
              <w:t>32</w:t>
            </w:r>
            <w:r w:rsidR="00DD581C" w:rsidRPr="0099355B">
              <w:rPr>
                <w:bCs/>
              </w:rPr>
              <w:t>42</w:t>
            </w:r>
            <w:r w:rsidRPr="0099355B">
              <w:rPr>
                <w:bCs/>
              </w:rPr>
              <w:t>.</w:t>
            </w:r>
            <w:r w:rsidR="00DD581C" w:rsidRPr="0099355B">
              <w:rPr>
                <w:bCs/>
              </w:rPr>
              <w:t>6</w:t>
            </w:r>
            <w:r w:rsidRPr="0099355B">
              <w:rPr>
                <w:bCs/>
              </w:rPr>
              <w:t>9</w:t>
            </w:r>
          </w:p>
        </w:tc>
        <w:tc>
          <w:tcPr>
            <w:tcW w:w="1525" w:type="dxa"/>
            <w:vAlign w:val="center"/>
          </w:tcPr>
          <w:p w14:paraId="11736C80" w14:textId="77777777" w:rsidR="00A43F32" w:rsidRPr="0099355B" w:rsidRDefault="00A43F32" w:rsidP="00EF0E51">
            <w:pPr>
              <w:spacing w:line="360" w:lineRule="auto"/>
              <w:ind w:firstLineChars="0" w:firstLine="0"/>
              <w:jc w:val="center"/>
            </w:pPr>
            <w:r w:rsidRPr="0099355B">
              <w:t>-1.7</w:t>
            </w:r>
            <w:r w:rsidR="00794453" w:rsidRPr="0099355B">
              <w:t>4</w:t>
            </w:r>
          </w:p>
        </w:tc>
        <w:tc>
          <w:tcPr>
            <w:tcW w:w="900" w:type="dxa"/>
            <w:vAlign w:val="center"/>
          </w:tcPr>
          <w:p w14:paraId="141617FC" w14:textId="77777777" w:rsidR="00A43F32" w:rsidRPr="0099355B" w:rsidRDefault="00A43F32" w:rsidP="00EF0E51">
            <w:pPr>
              <w:spacing w:line="360" w:lineRule="auto"/>
              <w:ind w:firstLineChars="0" w:firstLine="0"/>
              <w:jc w:val="center"/>
            </w:pPr>
            <w:r w:rsidRPr="0099355B">
              <w:t>.15</w:t>
            </w:r>
            <w:r w:rsidR="00794453" w:rsidRPr="0099355B">
              <w:t>8</w:t>
            </w:r>
          </w:p>
        </w:tc>
        <w:tc>
          <w:tcPr>
            <w:tcW w:w="1800" w:type="dxa"/>
            <w:vAlign w:val="center"/>
          </w:tcPr>
          <w:p w14:paraId="2EA2DBD7" w14:textId="77777777" w:rsidR="00A43F32" w:rsidRPr="0099355B" w:rsidRDefault="00A43F32" w:rsidP="00EF0E51">
            <w:pPr>
              <w:spacing w:line="360" w:lineRule="auto"/>
              <w:ind w:firstLineChars="0" w:firstLine="0"/>
              <w:jc w:val="center"/>
            </w:pPr>
            <w:r w:rsidRPr="0099355B">
              <w:t>(-2.0</w:t>
            </w:r>
            <w:r w:rsidR="00794453" w:rsidRPr="0099355B">
              <w:t>5</w:t>
            </w:r>
            <w:r w:rsidRPr="0099355B">
              <w:t>, -1.</w:t>
            </w:r>
            <w:r w:rsidR="00794453" w:rsidRPr="0099355B">
              <w:t>43</w:t>
            </w:r>
            <w:r w:rsidRPr="0099355B">
              <w:t>)</w:t>
            </w:r>
          </w:p>
        </w:tc>
        <w:tc>
          <w:tcPr>
            <w:tcW w:w="1078" w:type="dxa"/>
            <w:vAlign w:val="center"/>
          </w:tcPr>
          <w:p w14:paraId="38D890E9" w14:textId="77777777" w:rsidR="00A43F32" w:rsidRPr="0099355B" w:rsidRDefault="00A43F32" w:rsidP="00EF0E51">
            <w:pPr>
              <w:spacing w:line="360" w:lineRule="auto"/>
              <w:ind w:firstLineChars="0" w:firstLine="0"/>
              <w:jc w:val="center"/>
            </w:pPr>
            <w:r w:rsidRPr="0099355B">
              <w:t>-11.06</w:t>
            </w:r>
          </w:p>
        </w:tc>
        <w:tc>
          <w:tcPr>
            <w:tcW w:w="1439" w:type="dxa"/>
            <w:vAlign w:val="center"/>
          </w:tcPr>
          <w:p w14:paraId="673C1142" w14:textId="77777777" w:rsidR="00A43F32" w:rsidRPr="0099355B" w:rsidRDefault="00A43F32" w:rsidP="00EF0E51">
            <w:pPr>
              <w:spacing w:line="360" w:lineRule="auto"/>
              <w:ind w:firstLineChars="0" w:firstLine="0"/>
              <w:jc w:val="center"/>
            </w:pPr>
            <w:r w:rsidRPr="0099355B">
              <w:t>&lt;.001</w:t>
            </w:r>
          </w:p>
        </w:tc>
      </w:tr>
      <w:tr w:rsidR="00BD179E" w:rsidRPr="0099355B" w14:paraId="660DB70E" w14:textId="77777777" w:rsidTr="00465181">
        <w:trPr>
          <w:trHeight w:val="251"/>
          <w:jc w:val="center"/>
        </w:trPr>
        <w:tc>
          <w:tcPr>
            <w:tcW w:w="1800" w:type="dxa"/>
            <w:tcBorders>
              <w:bottom w:val="single" w:sz="4" w:space="0" w:color="auto"/>
            </w:tcBorders>
            <w:vAlign w:val="center"/>
          </w:tcPr>
          <w:p w14:paraId="6DD064EF" w14:textId="77777777" w:rsidR="00BD179E" w:rsidRPr="0099355B" w:rsidRDefault="00BD179E" w:rsidP="00EF0E51">
            <w:pPr>
              <w:spacing w:line="360" w:lineRule="auto"/>
              <w:ind w:leftChars="-11" w:left="-26" w:firstLineChars="4" w:firstLine="10"/>
              <w:jc w:val="center"/>
              <w:rPr>
                <w:bCs/>
              </w:rPr>
            </w:pPr>
            <w:r w:rsidRPr="0099355B">
              <w:rPr>
                <w:bCs/>
              </w:rPr>
              <w:t>Model 8</w:t>
            </w:r>
            <w:r w:rsidR="00F85D26" w:rsidRPr="0099355B">
              <w:rPr>
                <w:bCs/>
                <w:vertAlign w:val="superscript"/>
              </w:rPr>
              <w:t>2</w:t>
            </w:r>
          </w:p>
        </w:tc>
        <w:tc>
          <w:tcPr>
            <w:tcW w:w="1170" w:type="dxa"/>
            <w:tcBorders>
              <w:bottom w:val="single" w:sz="4" w:space="0" w:color="auto"/>
            </w:tcBorders>
            <w:vAlign w:val="center"/>
          </w:tcPr>
          <w:p w14:paraId="6EBD094D" w14:textId="77777777" w:rsidR="00BD179E" w:rsidRPr="0099355B" w:rsidRDefault="00044C97" w:rsidP="00EF0E51">
            <w:pPr>
              <w:spacing w:line="360" w:lineRule="auto"/>
              <w:ind w:firstLineChars="0" w:firstLine="0"/>
              <w:jc w:val="center"/>
              <w:rPr>
                <w:bCs/>
              </w:rPr>
            </w:pPr>
            <w:r w:rsidRPr="0099355B">
              <w:rPr>
                <w:bCs/>
              </w:rPr>
              <w:t>31</w:t>
            </w:r>
            <w:r w:rsidR="00A51E18" w:rsidRPr="0099355B">
              <w:rPr>
                <w:bCs/>
              </w:rPr>
              <w:t>59</w:t>
            </w:r>
            <w:r w:rsidRPr="0099355B">
              <w:rPr>
                <w:bCs/>
              </w:rPr>
              <w:t>.</w:t>
            </w:r>
            <w:r w:rsidR="00A51E18" w:rsidRPr="0099355B">
              <w:rPr>
                <w:bCs/>
              </w:rPr>
              <w:t>95</w:t>
            </w:r>
            <w:r w:rsidR="00F85D26" w:rsidRPr="0099355B">
              <w:rPr>
                <w:bCs/>
                <w:vertAlign w:val="superscript"/>
              </w:rPr>
              <w:t>3</w:t>
            </w:r>
          </w:p>
        </w:tc>
        <w:tc>
          <w:tcPr>
            <w:tcW w:w="1525" w:type="dxa"/>
            <w:tcBorders>
              <w:bottom w:val="single" w:sz="4" w:space="0" w:color="auto"/>
            </w:tcBorders>
            <w:vAlign w:val="center"/>
          </w:tcPr>
          <w:p w14:paraId="651ABF23" w14:textId="77777777" w:rsidR="00BD179E" w:rsidRPr="0099355B" w:rsidRDefault="00456E74" w:rsidP="00EF0E51">
            <w:pPr>
              <w:spacing w:line="360" w:lineRule="auto"/>
              <w:ind w:firstLineChars="0" w:firstLine="0"/>
              <w:jc w:val="center"/>
              <w:rPr>
                <w:vertAlign w:val="superscript"/>
              </w:rPr>
            </w:pPr>
            <w:r w:rsidRPr="0099355B">
              <w:t>-0.2</w:t>
            </w:r>
            <w:r w:rsidR="00164C33" w:rsidRPr="0099355B">
              <w:t>3</w:t>
            </w:r>
            <w:r w:rsidR="00474C87" w:rsidRPr="0099355B">
              <w:rPr>
                <w:vertAlign w:val="superscript"/>
              </w:rPr>
              <w:t>4</w:t>
            </w:r>
          </w:p>
        </w:tc>
        <w:tc>
          <w:tcPr>
            <w:tcW w:w="900" w:type="dxa"/>
            <w:tcBorders>
              <w:bottom w:val="single" w:sz="4" w:space="0" w:color="auto"/>
            </w:tcBorders>
            <w:vAlign w:val="center"/>
          </w:tcPr>
          <w:p w14:paraId="4E239EC5" w14:textId="77777777" w:rsidR="00BD179E" w:rsidRPr="0099355B" w:rsidRDefault="00BD179E" w:rsidP="00EF0E51">
            <w:pPr>
              <w:spacing w:line="360" w:lineRule="auto"/>
              <w:ind w:firstLineChars="0" w:firstLine="0"/>
              <w:jc w:val="center"/>
            </w:pPr>
            <w:r w:rsidRPr="0099355B">
              <w:t>.0</w:t>
            </w:r>
            <w:r w:rsidR="00456E74" w:rsidRPr="0099355B">
              <w:t>1</w:t>
            </w:r>
            <w:r w:rsidRPr="0099355B">
              <w:t>9</w:t>
            </w:r>
          </w:p>
        </w:tc>
        <w:tc>
          <w:tcPr>
            <w:tcW w:w="1800" w:type="dxa"/>
            <w:tcBorders>
              <w:bottom w:val="single" w:sz="4" w:space="0" w:color="auto"/>
            </w:tcBorders>
            <w:vAlign w:val="center"/>
          </w:tcPr>
          <w:p w14:paraId="478ECB79" w14:textId="77777777" w:rsidR="00BD179E" w:rsidRPr="0099355B" w:rsidRDefault="00BD179E" w:rsidP="00EF0E51">
            <w:pPr>
              <w:spacing w:line="360" w:lineRule="auto"/>
              <w:ind w:firstLineChars="0" w:firstLine="0"/>
              <w:jc w:val="center"/>
            </w:pPr>
            <w:r w:rsidRPr="0099355B">
              <w:t>(</w:t>
            </w:r>
            <w:r w:rsidR="004C53D3" w:rsidRPr="0099355B">
              <w:t>-0.27, -0.20)</w:t>
            </w:r>
          </w:p>
        </w:tc>
        <w:tc>
          <w:tcPr>
            <w:tcW w:w="1078" w:type="dxa"/>
            <w:tcBorders>
              <w:bottom w:val="single" w:sz="4" w:space="0" w:color="auto"/>
            </w:tcBorders>
            <w:vAlign w:val="center"/>
          </w:tcPr>
          <w:p w14:paraId="4C20CDFA" w14:textId="77777777" w:rsidR="00BD179E" w:rsidRPr="0099355B" w:rsidRDefault="00BD179E" w:rsidP="00EF0E51">
            <w:pPr>
              <w:spacing w:line="360" w:lineRule="auto"/>
              <w:ind w:firstLineChars="0" w:firstLine="0"/>
              <w:jc w:val="center"/>
            </w:pPr>
            <w:r w:rsidRPr="0099355B">
              <w:t>-1</w:t>
            </w:r>
            <w:r w:rsidR="004C53D3" w:rsidRPr="0099355B">
              <w:t>2</w:t>
            </w:r>
            <w:r w:rsidRPr="0099355B">
              <w:t>.</w:t>
            </w:r>
            <w:r w:rsidR="004C53D3" w:rsidRPr="0099355B">
              <w:t>63</w:t>
            </w:r>
          </w:p>
        </w:tc>
        <w:tc>
          <w:tcPr>
            <w:tcW w:w="1439" w:type="dxa"/>
            <w:tcBorders>
              <w:bottom w:val="single" w:sz="4" w:space="0" w:color="auto"/>
            </w:tcBorders>
            <w:vAlign w:val="center"/>
          </w:tcPr>
          <w:p w14:paraId="218AD4AD" w14:textId="77777777" w:rsidR="00BD179E" w:rsidRPr="0099355B" w:rsidRDefault="00BD179E" w:rsidP="00EF0E51">
            <w:pPr>
              <w:spacing w:line="360" w:lineRule="auto"/>
              <w:ind w:firstLineChars="0" w:firstLine="0"/>
              <w:jc w:val="center"/>
            </w:pPr>
            <w:r w:rsidRPr="0099355B">
              <w:t>&lt;.001</w:t>
            </w:r>
          </w:p>
        </w:tc>
      </w:tr>
      <w:tr w:rsidR="00B06705" w:rsidRPr="0099355B" w14:paraId="63872DDB" w14:textId="77777777" w:rsidTr="00465181">
        <w:trPr>
          <w:trHeight w:val="251"/>
          <w:jc w:val="center"/>
        </w:trPr>
        <w:tc>
          <w:tcPr>
            <w:tcW w:w="1800" w:type="dxa"/>
            <w:tcBorders>
              <w:top w:val="single" w:sz="4" w:space="0" w:color="auto"/>
            </w:tcBorders>
            <w:vAlign w:val="center"/>
          </w:tcPr>
          <w:p w14:paraId="3734757E" w14:textId="77777777" w:rsidR="00B06705" w:rsidRPr="0099355B" w:rsidRDefault="00B06705" w:rsidP="00EF0E51">
            <w:pPr>
              <w:spacing w:line="360" w:lineRule="auto"/>
              <w:ind w:leftChars="-11" w:left="-26" w:firstLineChars="4" w:firstLine="10"/>
              <w:jc w:val="center"/>
              <w:rPr>
                <w:bCs/>
              </w:rPr>
            </w:pPr>
          </w:p>
        </w:tc>
        <w:tc>
          <w:tcPr>
            <w:tcW w:w="1170" w:type="dxa"/>
            <w:tcBorders>
              <w:top w:val="single" w:sz="4" w:space="0" w:color="auto"/>
            </w:tcBorders>
            <w:vAlign w:val="center"/>
          </w:tcPr>
          <w:p w14:paraId="728C41B4" w14:textId="77777777" w:rsidR="00B06705" w:rsidRPr="0099355B" w:rsidRDefault="00B06705" w:rsidP="00EF0E51">
            <w:pPr>
              <w:spacing w:line="360" w:lineRule="auto"/>
              <w:ind w:firstLine="600"/>
              <w:jc w:val="center"/>
              <w:rPr>
                <w:bCs/>
              </w:rPr>
            </w:pPr>
          </w:p>
        </w:tc>
        <w:tc>
          <w:tcPr>
            <w:tcW w:w="6742" w:type="dxa"/>
            <w:gridSpan w:val="5"/>
            <w:tcBorders>
              <w:top w:val="single" w:sz="4" w:space="0" w:color="auto"/>
            </w:tcBorders>
            <w:vAlign w:val="center"/>
          </w:tcPr>
          <w:p w14:paraId="09C19BEB" w14:textId="77777777" w:rsidR="00B06705" w:rsidRPr="0099355B" w:rsidRDefault="00B06705" w:rsidP="00EF0E51">
            <w:pPr>
              <w:spacing w:line="360" w:lineRule="auto"/>
              <w:ind w:firstLine="600"/>
              <w:jc w:val="center"/>
            </w:pPr>
            <w:r w:rsidRPr="0099355B">
              <w:t>Random Effects Components</w:t>
            </w:r>
          </w:p>
        </w:tc>
      </w:tr>
      <w:tr w:rsidR="004718AD" w:rsidRPr="0099355B" w14:paraId="48497E1D" w14:textId="77777777" w:rsidTr="00465181">
        <w:trPr>
          <w:trHeight w:val="251"/>
          <w:jc w:val="center"/>
        </w:trPr>
        <w:tc>
          <w:tcPr>
            <w:tcW w:w="1800" w:type="dxa"/>
            <w:vAlign w:val="center"/>
          </w:tcPr>
          <w:p w14:paraId="53F72032" w14:textId="77777777" w:rsidR="004718AD" w:rsidRPr="0099355B" w:rsidRDefault="004718AD" w:rsidP="00EF0E51">
            <w:pPr>
              <w:spacing w:line="360" w:lineRule="auto"/>
              <w:ind w:leftChars="-11" w:left="-26" w:firstLineChars="4" w:firstLine="10"/>
              <w:jc w:val="center"/>
              <w:rPr>
                <w:bCs/>
              </w:rPr>
            </w:pPr>
          </w:p>
        </w:tc>
        <w:tc>
          <w:tcPr>
            <w:tcW w:w="1170" w:type="dxa"/>
            <w:vAlign w:val="center"/>
          </w:tcPr>
          <w:p w14:paraId="4A9AFEBF" w14:textId="77777777" w:rsidR="004718AD" w:rsidRPr="0099355B" w:rsidRDefault="004718AD" w:rsidP="00EF0E51">
            <w:pPr>
              <w:spacing w:line="360" w:lineRule="auto"/>
              <w:ind w:firstLineChars="0" w:firstLine="0"/>
              <w:jc w:val="center"/>
              <w:rPr>
                <w:bCs/>
              </w:rPr>
            </w:pPr>
          </w:p>
        </w:tc>
        <w:tc>
          <w:tcPr>
            <w:tcW w:w="1525" w:type="dxa"/>
            <w:vAlign w:val="center"/>
          </w:tcPr>
          <w:p w14:paraId="372BC466" w14:textId="77777777" w:rsidR="004718AD" w:rsidRPr="0099355B" w:rsidRDefault="00D32089" w:rsidP="00EF0E51">
            <w:pPr>
              <w:spacing w:line="360" w:lineRule="auto"/>
              <w:ind w:firstLineChars="0" w:firstLine="0"/>
              <w:jc w:val="center"/>
              <w:rPr>
                <w:vertAlign w:val="superscript"/>
              </w:rPr>
            </w:pPr>
            <m:oMath>
              <m:acc>
                <m:accPr>
                  <m:ctrlPr>
                    <w:rPr>
                      <w:rFonts w:ascii="Cambria Math" w:hAnsi="Cambria Math"/>
                      <w:bCs/>
                      <w:i/>
                    </w:rPr>
                  </m:ctrlPr>
                </m:accPr>
                <m:e>
                  <m:sSub>
                    <m:sSubPr>
                      <m:ctrlPr>
                        <w:rPr>
                          <w:rFonts w:ascii="Cambria Math" w:hAnsi="Cambria Math"/>
                          <w:bCs/>
                          <w:i/>
                        </w:rPr>
                      </m:ctrlPr>
                    </m:sSubPr>
                    <m:e>
                      <m:r>
                        <w:rPr>
                          <w:rFonts w:ascii="Cambria Math" w:hAnsi="Cambria Math"/>
                        </w:rPr>
                        <m:t>σ</m:t>
                      </m:r>
                    </m:e>
                    <m:sub>
                      <m:r>
                        <w:rPr>
                          <w:rFonts w:ascii="Cambria Math" w:hAnsi="Cambria Math"/>
                        </w:rPr>
                        <m:t>0</m:t>
                      </m:r>
                    </m:sub>
                  </m:sSub>
                </m:e>
              </m:acc>
            </m:oMath>
            <w:r w:rsidR="00474C87" w:rsidRPr="0099355B">
              <w:rPr>
                <w:bCs/>
                <w:vertAlign w:val="superscript"/>
              </w:rPr>
              <w:t>5</w:t>
            </w:r>
          </w:p>
        </w:tc>
        <w:tc>
          <w:tcPr>
            <w:tcW w:w="900" w:type="dxa"/>
            <w:vAlign w:val="center"/>
          </w:tcPr>
          <w:p w14:paraId="251A3CD2" w14:textId="77777777" w:rsidR="004718AD" w:rsidRPr="0099355B" w:rsidRDefault="00D32089" w:rsidP="00EF0E51">
            <w:pPr>
              <w:spacing w:line="360" w:lineRule="auto"/>
              <w:ind w:leftChars="-50" w:left="-120" w:firstLineChars="0" w:firstLine="1"/>
              <w:jc w:val="center"/>
              <w:rPr>
                <w:vertAlign w:val="superscript"/>
              </w:rPr>
            </w:pPr>
            <m:oMath>
              <m:acc>
                <m:accPr>
                  <m:ctrlPr>
                    <w:rPr>
                      <w:rFonts w:ascii="Cambria Math" w:hAnsi="Cambria Math"/>
                      <w:bCs/>
                      <w:i/>
                    </w:rPr>
                  </m:ctrlPr>
                </m:accPr>
                <m:e>
                  <m:sSub>
                    <m:sSubPr>
                      <m:ctrlPr>
                        <w:rPr>
                          <w:rFonts w:ascii="Cambria Math" w:hAnsi="Cambria Math"/>
                          <w:bCs/>
                          <w:i/>
                        </w:rPr>
                      </m:ctrlPr>
                    </m:sSubPr>
                    <m:e>
                      <m:r>
                        <w:rPr>
                          <w:rFonts w:ascii="Cambria Math" w:hAnsi="Cambria Math"/>
                        </w:rPr>
                        <m:t>σ</m:t>
                      </m:r>
                    </m:e>
                    <m:sub>
                      <m:r>
                        <w:rPr>
                          <w:rFonts w:ascii="Cambria Math" w:hAnsi="Cambria Math"/>
                        </w:rPr>
                        <m:t>1</m:t>
                      </m:r>
                    </m:sub>
                  </m:sSub>
                </m:e>
              </m:acc>
            </m:oMath>
            <w:r w:rsidR="00474C87" w:rsidRPr="0099355B">
              <w:rPr>
                <w:bCs/>
                <w:vertAlign w:val="superscript"/>
              </w:rPr>
              <w:t>5</w:t>
            </w:r>
          </w:p>
        </w:tc>
        <w:tc>
          <w:tcPr>
            <w:tcW w:w="1800" w:type="dxa"/>
            <w:vAlign w:val="center"/>
          </w:tcPr>
          <w:p w14:paraId="7A9C0DDE" w14:textId="77777777" w:rsidR="004718AD" w:rsidRPr="0099355B" w:rsidRDefault="00D32089" w:rsidP="00EF0E51">
            <w:pPr>
              <w:spacing w:line="360" w:lineRule="auto"/>
              <w:ind w:firstLineChars="0" w:firstLine="0"/>
              <w:jc w:val="center"/>
              <w:rPr>
                <w:vertAlign w:val="superscript"/>
              </w:rPr>
            </w:pPr>
            <m:oMath>
              <m:sSub>
                <m:sSubPr>
                  <m:ctrlPr>
                    <w:rPr>
                      <w:rFonts w:ascii="Cambria Math" w:hAnsi="Cambria Math"/>
                      <w:bCs/>
                      <w:i/>
                    </w:rPr>
                  </m:ctrlPr>
                </m:sSubPr>
                <m:e>
                  <m:acc>
                    <m:accPr>
                      <m:ctrlPr>
                        <w:rPr>
                          <w:rFonts w:ascii="Cambria Math" w:hAnsi="Cambria Math"/>
                          <w:bCs/>
                          <w:i/>
                        </w:rPr>
                      </m:ctrlPr>
                    </m:accPr>
                    <m:e>
                      <m:r>
                        <w:rPr>
                          <w:rFonts w:ascii="Cambria Math" w:hAnsi="Cambria Math"/>
                        </w:rPr>
                        <m:t>ρ</m:t>
                      </m:r>
                    </m:e>
                  </m:acc>
                </m:e>
                <m:sub>
                  <m:r>
                    <w:rPr>
                      <w:rFonts w:ascii="Cambria Math" w:hAnsi="Cambria Math"/>
                    </w:rPr>
                    <m:t>01</m:t>
                  </m:r>
                </m:sub>
              </m:sSub>
            </m:oMath>
            <w:r w:rsidR="00474C87" w:rsidRPr="0099355B">
              <w:rPr>
                <w:bCs/>
                <w:vertAlign w:val="superscript"/>
              </w:rPr>
              <w:t>5</w:t>
            </w:r>
          </w:p>
        </w:tc>
        <w:tc>
          <w:tcPr>
            <w:tcW w:w="1078" w:type="dxa"/>
            <w:vAlign w:val="center"/>
          </w:tcPr>
          <w:p w14:paraId="4FCCE5B9" w14:textId="77777777" w:rsidR="004718AD" w:rsidRPr="0099355B" w:rsidRDefault="00D32089" w:rsidP="00EF0E51">
            <w:pPr>
              <w:spacing w:line="360" w:lineRule="auto"/>
              <w:ind w:firstLineChars="0" w:firstLine="0"/>
              <w:jc w:val="center"/>
              <w:rPr>
                <w:vertAlign w:val="superscript"/>
              </w:rPr>
            </w:pPr>
            <m:oMath>
              <m:acc>
                <m:accPr>
                  <m:ctrlPr>
                    <w:rPr>
                      <w:rFonts w:ascii="Cambria Math" w:hAnsi="Cambria Math"/>
                      <w:bCs/>
                      <w:i/>
                    </w:rPr>
                  </m:ctrlPr>
                </m:accPr>
                <m:e>
                  <m:r>
                    <w:rPr>
                      <w:rFonts w:ascii="Cambria Math" w:hAnsi="Cambria Math"/>
                    </w:rPr>
                    <m:t>σ</m:t>
                  </m:r>
                </m:e>
              </m:acc>
            </m:oMath>
            <w:r w:rsidR="00474C87" w:rsidRPr="0099355B">
              <w:rPr>
                <w:bCs/>
                <w:vertAlign w:val="superscript"/>
              </w:rPr>
              <w:t>5</w:t>
            </w:r>
          </w:p>
        </w:tc>
        <w:tc>
          <w:tcPr>
            <w:tcW w:w="1439" w:type="dxa"/>
            <w:vAlign w:val="center"/>
          </w:tcPr>
          <w:p w14:paraId="0295CF97" w14:textId="77777777" w:rsidR="004718AD" w:rsidRPr="0099355B" w:rsidRDefault="004718AD" w:rsidP="00EF0E51">
            <w:pPr>
              <w:spacing w:line="360" w:lineRule="auto"/>
              <w:ind w:firstLine="600"/>
              <w:jc w:val="center"/>
              <w:rPr>
                <w:vertAlign w:val="superscript"/>
              </w:rPr>
            </w:pPr>
            <w:r w:rsidRPr="0099355B">
              <w:t>ICC</w:t>
            </w:r>
            <w:r w:rsidR="001C29D4" w:rsidRPr="0099355B">
              <w:rPr>
                <w:vertAlign w:val="superscript"/>
              </w:rPr>
              <w:t>5</w:t>
            </w:r>
          </w:p>
        </w:tc>
      </w:tr>
      <w:tr w:rsidR="004718AD" w:rsidRPr="0099355B" w14:paraId="2B459F2B" w14:textId="77777777" w:rsidTr="00465181">
        <w:trPr>
          <w:trHeight w:val="251"/>
          <w:jc w:val="center"/>
        </w:trPr>
        <w:tc>
          <w:tcPr>
            <w:tcW w:w="1800" w:type="dxa"/>
            <w:vAlign w:val="center"/>
          </w:tcPr>
          <w:p w14:paraId="46780976" w14:textId="77777777" w:rsidR="004718AD" w:rsidRPr="0099355B" w:rsidRDefault="004718AD" w:rsidP="00EF0E51">
            <w:pPr>
              <w:spacing w:line="360" w:lineRule="auto"/>
              <w:ind w:leftChars="-11" w:left="-26" w:firstLineChars="4" w:firstLine="10"/>
              <w:jc w:val="center"/>
              <w:rPr>
                <w:bCs/>
              </w:rPr>
            </w:pPr>
            <w:r w:rsidRPr="0099355B">
              <w:rPr>
                <w:bCs/>
              </w:rPr>
              <w:t>Model 5</w:t>
            </w:r>
            <w:r w:rsidR="00F85D26" w:rsidRPr="0099355B">
              <w:rPr>
                <w:bCs/>
                <w:vertAlign w:val="superscript"/>
              </w:rPr>
              <w:t>2</w:t>
            </w:r>
          </w:p>
        </w:tc>
        <w:tc>
          <w:tcPr>
            <w:tcW w:w="1170" w:type="dxa"/>
            <w:vAlign w:val="center"/>
          </w:tcPr>
          <w:p w14:paraId="060FC611" w14:textId="77777777" w:rsidR="004718AD" w:rsidRPr="0099355B" w:rsidRDefault="004718AD" w:rsidP="00EF0E51">
            <w:pPr>
              <w:spacing w:line="360" w:lineRule="auto"/>
              <w:ind w:firstLineChars="0" w:firstLine="0"/>
              <w:jc w:val="center"/>
              <w:rPr>
                <w:bCs/>
              </w:rPr>
            </w:pPr>
            <w:r w:rsidRPr="0099355B">
              <w:rPr>
                <w:bCs/>
              </w:rPr>
              <w:t>see above</w:t>
            </w:r>
          </w:p>
        </w:tc>
        <w:tc>
          <w:tcPr>
            <w:tcW w:w="1525" w:type="dxa"/>
            <w:vAlign w:val="center"/>
          </w:tcPr>
          <w:p w14:paraId="262E379E" w14:textId="77777777" w:rsidR="004718AD" w:rsidRPr="0099355B" w:rsidRDefault="004718AD" w:rsidP="00EF0E51">
            <w:pPr>
              <w:spacing w:line="360" w:lineRule="auto"/>
              <w:ind w:firstLineChars="0" w:firstLine="0"/>
              <w:jc w:val="center"/>
            </w:pPr>
            <w:r w:rsidRPr="0099355B">
              <w:rPr>
                <w:bCs/>
              </w:rPr>
              <w:t>4.</w:t>
            </w:r>
            <w:r w:rsidR="009A5802" w:rsidRPr="0099355B">
              <w:rPr>
                <w:bCs/>
              </w:rPr>
              <w:t>2</w:t>
            </w:r>
            <w:r w:rsidRPr="0099355B">
              <w:rPr>
                <w:bCs/>
              </w:rPr>
              <w:t>9</w:t>
            </w:r>
            <w:r w:rsidR="009A5802" w:rsidRPr="0099355B">
              <w:rPr>
                <w:bCs/>
              </w:rPr>
              <w:t>2</w:t>
            </w:r>
          </w:p>
        </w:tc>
        <w:tc>
          <w:tcPr>
            <w:tcW w:w="900" w:type="dxa"/>
            <w:vAlign w:val="center"/>
          </w:tcPr>
          <w:p w14:paraId="56188023" w14:textId="77777777" w:rsidR="004718AD" w:rsidRPr="0099355B" w:rsidRDefault="004718AD" w:rsidP="00EF0E51">
            <w:pPr>
              <w:spacing w:line="360" w:lineRule="auto"/>
              <w:ind w:firstLineChars="0" w:firstLine="0"/>
              <w:jc w:val="center"/>
            </w:pPr>
            <w:r w:rsidRPr="0099355B">
              <w:t>NA</w:t>
            </w:r>
          </w:p>
        </w:tc>
        <w:tc>
          <w:tcPr>
            <w:tcW w:w="1800" w:type="dxa"/>
            <w:vAlign w:val="center"/>
          </w:tcPr>
          <w:p w14:paraId="04F8B375" w14:textId="77777777" w:rsidR="004718AD" w:rsidRPr="0099355B" w:rsidRDefault="004718AD" w:rsidP="00EF0E51">
            <w:pPr>
              <w:spacing w:line="360" w:lineRule="auto"/>
              <w:ind w:firstLine="600"/>
            </w:pPr>
            <w:r w:rsidRPr="0099355B">
              <w:t>NA</w:t>
            </w:r>
          </w:p>
        </w:tc>
        <w:tc>
          <w:tcPr>
            <w:tcW w:w="1078" w:type="dxa"/>
            <w:vAlign w:val="center"/>
          </w:tcPr>
          <w:p w14:paraId="540942D4" w14:textId="77777777" w:rsidR="004718AD" w:rsidRPr="0099355B" w:rsidRDefault="004718AD" w:rsidP="00EF0E51">
            <w:pPr>
              <w:spacing w:line="360" w:lineRule="auto"/>
              <w:ind w:firstLineChars="0" w:firstLine="0"/>
              <w:jc w:val="center"/>
            </w:pPr>
            <w:r w:rsidRPr="0099355B">
              <w:t>4.</w:t>
            </w:r>
            <w:r w:rsidR="009A5802" w:rsidRPr="0099355B">
              <w:t>122</w:t>
            </w:r>
          </w:p>
        </w:tc>
        <w:tc>
          <w:tcPr>
            <w:tcW w:w="1439" w:type="dxa"/>
            <w:vAlign w:val="center"/>
          </w:tcPr>
          <w:p w14:paraId="0255A91E" w14:textId="77777777" w:rsidR="004718AD" w:rsidRPr="0099355B" w:rsidRDefault="004718AD" w:rsidP="00EF0E51">
            <w:pPr>
              <w:spacing w:line="360" w:lineRule="auto"/>
              <w:ind w:firstLine="600"/>
              <w:jc w:val="center"/>
            </w:pPr>
            <w:r w:rsidRPr="0099355B">
              <w:t>.5</w:t>
            </w:r>
            <w:r w:rsidR="009A5802" w:rsidRPr="0099355B">
              <w:t>2</w:t>
            </w:r>
            <w:r w:rsidRPr="0099355B">
              <w:t>0</w:t>
            </w:r>
          </w:p>
        </w:tc>
      </w:tr>
      <w:tr w:rsidR="004718AD" w:rsidRPr="0099355B" w14:paraId="0ACE2C16" w14:textId="77777777" w:rsidTr="00465181">
        <w:trPr>
          <w:trHeight w:val="251"/>
          <w:jc w:val="center"/>
        </w:trPr>
        <w:tc>
          <w:tcPr>
            <w:tcW w:w="1800" w:type="dxa"/>
            <w:vAlign w:val="center"/>
          </w:tcPr>
          <w:p w14:paraId="28F8021A" w14:textId="77777777" w:rsidR="004718AD" w:rsidRPr="0099355B" w:rsidRDefault="004718AD" w:rsidP="00EF0E51">
            <w:pPr>
              <w:spacing w:line="360" w:lineRule="auto"/>
              <w:ind w:leftChars="-11" w:left="-26" w:firstLineChars="4" w:firstLine="10"/>
              <w:jc w:val="center"/>
              <w:rPr>
                <w:bCs/>
              </w:rPr>
            </w:pPr>
            <w:r w:rsidRPr="0099355B">
              <w:rPr>
                <w:bCs/>
              </w:rPr>
              <w:t>Model 6</w:t>
            </w:r>
            <w:r w:rsidR="00F85D26" w:rsidRPr="0099355B">
              <w:rPr>
                <w:bCs/>
                <w:vertAlign w:val="superscript"/>
              </w:rPr>
              <w:t>2</w:t>
            </w:r>
          </w:p>
        </w:tc>
        <w:tc>
          <w:tcPr>
            <w:tcW w:w="1170" w:type="dxa"/>
            <w:vAlign w:val="center"/>
          </w:tcPr>
          <w:p w14:paraId="4D7562E1" w14:textId="77777777" w:rsidR="004718AD" w:rsidRPr="0099355B" w:rsidRDefault="004718AD" w:rsidP="00EF0E51">
            <w:pPr>
              <w:spacing w:line="360" w:lineRule="auto"/>
              <w:ind w:firstLineChars="0" w:firstLine="0"/>
              <w:jc w:val="center"/>
              <w:rPr>
                <w:bCs/>
              </w:rPr>
            </w:pPr>
            <w:r w:rsidRPr="0099355B">
              <w:rPr>
                <w:bCs/>
              </w:rPr>
              <w:t>see above</w:t>
            </w:r>
          </w:p>
        </w:tc>
        <w:tc>
          <w:tcPr>
            <w:tcW w:w="1525" w:type="dxa"/>
            <w:vAlign w:val="center"/>
          </w:tcPr>
          <w:p w14:paraId="2B5F3DDD" w14:textId="77777777" w:rsidR="004718AD" w:rsidRPr="0099355B" w:rsidRDefault="004718AD" w:rsidP="00EF0E51">
            <w:pPr>
              <w:spacing w:line="360" w:lineRule="auto"/>
              <w:ind w:firstLineChars="0" w:firstLine="0"/>
              <w:jc w:val="center"/>
              <w:rPr>
                <w:vertAlign w:val="superscript"/>
              </w:rPr>
            </w:pPr>
            <w:r w:rsidRPr="0099355B">
              <w:rPr>
                <w:bCs/>
              </w:rPr>
              <w:t>0.22</w:t>
            </w:r>
            <w:r w:rsidR="00456E74" w:rsidRPr="0099355B">
              <w:rPr>
                <w:bCs/>
              </w:rPr>
              <w:t>2</w:t>
            </w:r>
            <w:r w:rsidR="008F4F68" w:rsidRPr="0099355B">
              <w:rPr>
                <w:bCs/>
                <w:vertAlign w:val="superscript"/>
              </w:rPr>
              <w:t>6</w:t>
            </w:r>
          </w:p>
        </w:tc>
        <w:tc>
          <w:tcPr>
            <w:tcW w:w="900" w:type="dxa"/>
            <w:vAlign w:val="center"/>
          </w:tcPr>
          <w:p w14:paraId="7FD4FEE1" w14:textId="77777777" w:rsidR="004718AD" w:rsidRPr="0099355B" w:rsidRDefault="004718AD" w:rsidP="00EF0E51">
            <w:pPr>
              <w:spacing w:line="360" w:lineRule="auto"/>
              <w:ind w:firstLineChars="0" w:firstLine="0"/>
              <w:jc w:val="center"/>
            </w:pPr>
            <w:r w:rsidRPr="0099355B">
              <w:t>NA</w:t>
            </w:r>
          </w:p>
        </w:tc>
        <w:tc>
          <w:tcPr>
            <w:tcW w:w="1800" w:type="dxa"/>
            <w:vAlign w:val="center"/>
          </w:tcPr>
          <w:p w14:paraId="2942F567" w14:textId="77777777" w:rsidR="004718AD" w:rsidRPr="0099355B" w:rsidRDefault="004718AD" w:rsidP="00EF0E51">
            <w:pPr>
              <w:spacing w:line="360" w:lineRule="auto"/>
              <w:ind w:firstLine="600"/>
            </w:pPr>
            <w:r w:rsidRPr="0099355B">
              <w:t>NA</w:t>
            </w:r>
          </w:p>
        </w:tc>
        <w:tc>
          <w:tcPr>
            <w:tcW w:w="1078" w:type="dxa"/>
            <w:vAlign w:val="center"/>
          </w:tcPr>
          <w:p w14:paraId="08CD270B" w14:textId="77777777" w:rsidR="004718AD" w:rsidRPr="0099355B" w:rsidRDefault="004718AD" w:rsidP="00EF0E51">
            <w:pPr>
              <w:spacing w:line="360" w:lineRule="auto"/>
              <w:ind w:firstLineChars="0" w:firstLine="0"/>
              <w:jc w:val="center"/>
              <w:rPr>
                <w:vertAlign w:val="superscript"/>
              </w:rPr>
            </w:pPr>
            <w:r w:rsidRPr="0099355B">
              <w:t>0.2</w:t>
            </w:r>
            <w:r w:rsidR="00456E74" w:rsidRPr="0099355B">
              <w:t>18</w:t>
            </w:r>
            <w:r w:rsidR="008F4F68" w:rsidRPr="0099355B">
              <w:rPr>
                <w:vertAlign w:val="superscript"/>
              </w:rPr>
              <w:t>6</w:t>
            </w:r>
          </w:p>
        </w:tc>
        <w:tc>
          <w:tcPr>
            <w:tcW w:w="1439" w:type="dxa"/>
            <w:vAlign w:val="center"/>
          </w:tcPr>
          <w:p w14:paraId="415F946F" w14:textId="77777777" w:rsidR="004718AD" w:rsidRPr="0099355B" w:rsidRDefault="004718AD" w:rsidP="00EF0E51">
            <w:pPr>
              <w:spacing w:line="360" w:lineRule="auto"/>
              <w:ind w:firstLine="600"/>
              <w:jc w:val="center"/>
            </w:pPr>
            <w:r w:rsidRPr="0099355B">
              <w:t>.5</w:t>
            </w:r>
            <w:r w:rsidR="00456E74" w:rsidRPr="0099355B">
              <w:t>11</w:t>
            </w:r>
          </w:p>
        </w:tc>
      </w:tr>
      <w:tr w:rsidR="004718AD" w:rsidRPr="0099355B" w14:paraId="233DFD06" w14:textId="77777777" w:rsidTr="00465181">
        <w:trPr>
          <w:trHeight w:val="251"/>
          <w:jc w:val="center"/>
        </w:trPr>
        <w:tc>
          <w:tcPr>
            <w:tcW w:w="1800" w:type="dxa"/>
            <w:vAlign w:val="center"/>
          </w:tcPr>
          <w:p w14:paraId="227DFF97" w14:textId="77777777" w:rsidR="004718AD" w:rsidRPr="0099355B" w:rsidRDefault="004718AD" w:rsidP="00EF0E51">
            <w:pPr>
              <w:spacing w:line="360" w:lineRule="auto"/>
              <w:ind w:leftChars="-11" w:left="-26" w:firstLineChars="4" w:firstLine="10"/>
              <w:jc w:val="center"/>
              <w:rPr>
                <w:bCs/>
              </w:rPr>
            </w:pPr>
            <w:r w:rsidRPr="0099355B">
              <w:rPr>
                <w:bCs/>
              </w:rPr>
              <w:t>Model 7</w:t>
            </w:r>
            <w:r w:rsidR="00F85D26" w:rsidRPr="0099355B">
              <w:rPr>
                <w:bCs/>
                <w:vertAlign w:val="superscript"/>
              </w:rPr>
              <w:t>2</w:t>
            </w:r>
          </w:p>
        </w:tc>
        <w:tc>
          <w:tcPr>
            <w:tcW w:w="1170" w:type="dxa"/>
            <w:vAlign w:val="center"/>
          </w:tcPr>
          <w:p w14:paraId="56C31527" w14:textId="77777777" w:rsidR="004718AD" w:rsidRPr="0099355B" w:rsidRDefault="004718AD" w:rsidP="00EF0E51">
            <w:pPr>
              <w:spacing w:line="360" w:lineRule="auto"/>
              <w:ind w:firstLineChars="0" w:firstLine="0"/>
              <w:jc w:val="center"/>
              <w:rPr>
                <w:bCs/>
              </w:rPr>
            </w:pPr>
            <w:r w:rsidRPr="0099355B">
              <w:rPr>
                <w:bCs/>
              </w:rPr>
              <w:t>see above</w:t>
            </w:r>
          </w:p>
        </w:tc>
        <w:tc>
          <w:tcPr>
            <w:tcW w:w="1525" w:type="dxa"/>
            <w:vAlign w:val="center"/>
          </w:tcPr>
          <w:p w14:paraId="150F5615" w14:textId="77777777" w:rsidR="004718AD" w:rsidRPr="0099355B" w:rsidRDefault="004718AD" w:rsidP="00EF0E51">
            <w:pPr>
              <w:spacing w:line="360" w:lineRule="auto"/>
              <w:ind w:firstLineChars="0" w:firstLine="0"/>
              <w:jc w:val="center"/>
            </w:pPr>
            <w:r w:rsidRPr="0099355B">
              <w:rPr>
                <w:bCs/>
              </w:rPr>
              <w:t>4.340</w:t>
            </w:r>
          </w:p>
        </w:tc>
        <w:tc>
          <w:tcPr>
            <w:tcW w:w="900" w:type="dxa"/>
            <w:vAlign w:val="center"/>
          </w:tcPr>
          <w:p w14:paraId="0866201A" w14:textId="77777777" w:rsidR="004718AD" w:rsidRPr="0099355B" w:rsidRDefault="004718AD" w:rsidP="00EF0E51">
            <w:pPr>
              <w:spacing w:line="360" w:lineRule="auto"/>
              <w:ind w:firstLineChars="0" w:firstLine="0"/>
              <w:jc w:val="center"/>
            </w:pPr>
            <w:r w:rsidRPr="0099355B">
              <w:t>1.202</w:t>
            </w:r>
          </w:p>
        </w:tc>
        <w:tc>
          <w:tcPr>
            <w:tcW w:w="1800" w:type="dxa"/>
            <w:vAlign w:val="center"/>
          </w:tcPr>
          <w:p w14:paraId="50EA28F6" w14:textId="77777777" w:rsidR="004718AD" w:rsidRPr="0099355B" w:rsidRDefault="004718AD" w:rsidP="00EF0E51">
            <w:pPr>
              <w:spacing w:line="360" w:lineRule="auto"/>
              <w:ind w:firstLine="600"/>
            </w:pPr>
            <w:r w:rsidRPr="0099355B">
              <w:t>-0.092</w:t>
            </w:r>
          </w:p>
        </w:tc>
        <w:tc>
          <w:tcPr>
            <w:tcW w:w="1078" w:type="dxa"/>
            <w:vAlign w:val="center"/>
          </w:tcPr>
          <w:p w14:paraId="423242F4" w14:textId="77777777" w:rsidR="004718AD" w:rsidRPr="0099355B" w:rsidRDefault="004718AD" w:rsidP="00EF0E51">
            <w:pPr>
              <w:spacing w:line="360" w:lineRule="auto"/>
              <w:ind w:firstLineChars="0" w:firstLine="0"/>
              <w:jc w:val="center"/>
            </w:pPr>
            <w:r w:rsidRPr="0099355B">
              <w:t>3.583</w:t>
            </w:r>
          </w:p>
        </w:tc>
        <w:tc>
          <w:tcPr>
            <w:tcW w:w="1439" w:type="dxa"/>
            <w:vAlign w:val="center"/>
          </w:tcPr>
          <w:p w14:paraId="1D3F5F76" w14:textId="77777777" w:rsidR="004718AD" w:rsidRPr="0099355B" w:rsidRDefault="004718AD" w:rsidP="00EF0E51">
            <w:pPr>
              <w:spacing w:line="360" w:lineRule="auto"/>
              <w:ind w:firstLine="600"/>
              <w:jc w:val="center"/>
            </w:pPr>
            <w:r w:rsidRPr="0099355B">
              <w:t>.</w:t>
            </w:r>
            <w:r w:rsidR="00456E74" w:rsidRPr="0099355B">
              <w:t>595</w:t>
            </w:r>
          </w:p>
        </w:tc>
      </w:tr>
      <w:tr w:rsidR="004718AD" w:rsidRPr="0099355B" w14:paraId="47BDE8E2" w14:textId="77777777" w:rsidTr="00465181">
        <w:trPr>
          <w:trHeight w:val="251"/>
          <w:jc w:val="center"/>
        </w:trPr>
        <w:tc>
          <w:tcPr>
            <w:tcW w:w="1800" w:type="dxa"/>
            <w:tcBorders>
              <w:bottom w:val="single" w:sz="4" w:space="0" w:color="auto"/>
            </w:tcBorders>
            <w:vAlign w:val="center"/>
          </w:tcPr>
          <w:p w14:paraId="1C2089C7" w14:textId="77777777" w:rsidR="004718AD" w:rsidRPr="0099355B" w:rsidRDefault="004718AD" w:rsidP="00EF0E51">
            <w:pPr>
              <w:spacing w:line="360" w:lineRule="auto"/>
              <w:ind w:leftChars="-11" w:left="-26" w:firstLineChars="4" w:firstLine="10"/>
              <w:jc w:val="center"/>
              <w:rPr>
                <w:bCs/>
              </w:rPr>
            </w:pPr>
            <w:r w:rsidRPr="0099355B">
              <w:rPr>
                <w:bCs/>
              </w:rPr>
              <w:t>Model 8</w:t>
            </w:r>
            <w:r w:rsidR="00F85D26" w:rsidRPr="0099355B">
              <w:rPr>
                <w:bCs/>
                <w:vertAlign w:val="superscript"/>
              </w:rPr>
              <w:t>2</w:t>
            </w:r>
          </w:p>
        </w:tc>
        <w:tc>
          <w:tcPr>
            <w:tcW w:w="1170" w:type="dxa"/>
            <w:tcBorders>
              <w:bottom w:val="single" w:sz="4" w:space="0" w:color="auto"/>
            </w:tcBorders>
            <w:vAlign w:val="center"/>
          </w:tcPr>
          <w:p w14:paraId="27524C6B" w14:textId="77777777" w:rsidR="004718AD" w:rsidRPr="0099355B" w:rsidRDefault="004718AD" w:rsidP="00EF0E51">
            <w:pPr>
              <w:spacing w:line="360" w:lineRule="auto"/>
              <w:ind w:firstLineChars="0" w:firstLine="0"/>
              <w:jc w:val="center"/>
              <w:rPr>
                <w:bCs/>
              </w:rPr>
            </w:pPr>
            <w:r w:rsidRPr="0099355B">
              <w:rPr>
                <w:bCs/>
              </w:rPr>
              <w:t>see above</w:t>
            </w:r>
          </w:p>
        </w:tc>
        <w:tc>
          <w:tcPr>
            <w:tcW w:w="1525" w:type="dxa"/>
            <w:tcBorders>
              <w:bottom w:val="single" w:sz="4" w:space="0" w:color="auto"/>
            </w:tcBorders>
            <w:vAlign w:val="center"/>
          </w:tcPr>
          <w:p w14:paraId="1B4A7665" w14:textId="77777777" w:rsidR="004718AD" w:rsidRPr="0099355B" w:rsidRDefault="004718AD" w:rsidP="00EF0E51">
            <w:pPr>
              <w:spacing w:line="360" w:lineRule="auto"/>
              <w:ind w:firstLineChars="0" w:firstLine="0"/>
              <w:jc w:val="center"/>
              <w:rPr>
                <w:vertAlign w:val="superscript"/>
              </w:rPr>
            </w:pPr>
            <w:r w:rsidRPr="0099355B">
              <w:rPr>
                <w:bCs/>
              </w:rPr>
              <w:t>0.</w:t>
            </w:r>
            <w:r w:rsidR="004C53D3" w:rsidRPr="0099355B">
              <w:rPr>
                <w:bCs/>
              </w:rPr>
              <w:t>211</w:t>
            </w:r>
            <w:r w:rsidR="008F4F68" w:rsidRPr="0099355B">
              <w:rPr>
                <w:bCs/>
                <w:vertAlign w:val="superscript"/>
              </w:rPr>
              <w:t>6</w:t>
            </w:r>
          </w:p>
        </w:tc>
        <w:tc>
          <w:tcPr>
            <w:tcW w:w="900" w:type="dxa"/>
            <w:tcBorders>
              <w:bottom w:val="single" w:sz="4" w:space="0" w:color="auto"/>
            </w:tcBorders>
            <w:vAlign w:val="center"/>
          </w:tcPr>
          <w:p w14:paraId="12ACCC26" w14:textId="77777777" w:rsidR="004718AD" w:rsidRPr="0099355B" w:rsidRDefault="004718AD" w:rsidP="00EF0E51">
            <w:pPr>
              <w:spacing w:line="360" w:lineRule="auto"/>
              <w:ind w:firstLineChars="0" w:firstLine="0"/>
              <w:jc w:val="center"/>
              <w:rPr>
                <w:vertAlign w:val="superscript"/>
              </w:rPr>
            </w:pPr>
            <w:r w:rsidRPr="0099355B">
              <w:t>0.0</w:t>
            </w:r>
            <w:r w:rsidR="00EF0E51" w:rsidRPr="0099355B">
              <w:t>81</w:t>
            </w:r>
            <w:r w:rsidR="008F4F68" w:rsidRPr="0099355B">
              <w:rPr>
                <w:vertAlign w:val="superscript"/>
              </w:rPr>
              <w:t>6</w:t>
            </w:r>
          </w:p>
        </w:tc>
        <w:tc>
          <w:tcPr>
            <w:tcW w:w="1800" w:type="dxa"/>
            <w:tcBorders>
              <w:bottom w:val="single" w:sz="4" w:space="0" w:color="auto"/>
            </w:tcBorders>
            <w:vAlign w:val="center"/>
          </w:tcPr>
          <w:p w14:paraId="0A207DEA" w14:textId="77777777" w:rsidR="004718AD" w:rsidRPr="0099355B" w:rsidRDefault="00EF0E51" w:rsidP="00EF0E51">
            <w:pPr>
              <w:spacing w:line="360" w:lineRule="auto"/>
              <w:ind w:firstLine="600"/>
              <w:rPr>
                <w:vertAlign w:val="superscript"/>
              </w:rPr>
            </w:pPr>
            <w:r w:rsidRPr="0099355B">
              <w:t>-</w:t>
            </w:r>
            <w:r w:rsidR="004718AD" w:rsidRPr="0099355B">
              <w:t>0.</w:t>
            </w:r>
            <w:r w:rsidRPr="0099355B">
              <w:t>313</w:t>
            </w:r>
            <w:r w:rsidR="008F4F68" w:rsidRPr="0099355B">
              <w:rPr>
                <w:vertAlign w:val="superscript"/>
              </w:rPr>
              <w:t>6</w:t>
            </w:r>
          </w:p>
        </w:tc>
        <w:tc>
          <w:tcPr>
            <w:tcW w:w="1078" w:type="dxa"/>
            <w:tcBorders>
              <w:bottom w:val="single" w:sz="4" w:space="0" w:color="auto"/>
            </w:tcBorders>
            <w:vAlign w:val="center"/>
          </w:tcPr>
          <w:p w14:paraId="1B8B1EA6" w14:textId="77777777" w:rsidR="004718AD" w:rsidRPr="0099355B" w:rsidRDefault="004718AD" w:rsidP="00EF0E51">
            <w:pPr>
              <w:spacing w:line="360" w:lineRule="auto"/>
              <w:ind w:firstLineChars="0" w:firstLine="0"/>
              <w:jc w:val="center"/>
              <w:rPr>
                <w:vertAlign w:val="superscript"/>
              </w:rPr>
            </w:pPr>
            <w:r w:rsidRPr="0099355B">
              <w:t>0.1</w:t>
            </w:r>
            <w:r w:rsidR="00EF0E51" w:rsidRPr="0099355B">
              <w:t>7</w:t>
            </w:r>
            <w:r w:rsidRPr="0099355B">
              <w:t>8</w:t>
            </w:r>
            <w:r w:rsidR="008F4F68" w:rsidRPr="0099355B">
              <w:rPr>
                <w:vertAlign w:val="superscript"/>
              </w:rPr>
              <w:t>6</w:t>
            </w:r>
          </w:p>
        </w:tc>
        <w:tc>
          <w:tcPr>
            <w:tcW w:w="1439" w:type="dxa"/>
            <w:tcBorders>
              <w:bottom w:val="single" w:sz="4" w:space="0" w:color="auto"/>
            </w:tcBorders>
            <w:vAlign w:val="center"/>
          </w:tcPr>
          <w:p w14:paraId="43239953" w14:textId="77777777" w:rsidR="004718AD" w:rsidRPr="0099355B" w:rsidRDefault="004718AD" w:rsidP="00EF0E51">
            <w:pPr>
              <w:spacing w:line="360" w:lineRule="auto"/>
              <w:ind w:firstLine="600"/>
              <w:jc w:val="center"/>
            </w:pPr>
            <w:r w:rsidRPr="0099355B">
              <w:t>.</w:t>
            </w:r>
            <w:r w:rsidR="00EF0E51" w:rsidRPr="0099355B">
              <w:t>616</w:t>
            </w:r>
          </w:p>
        </w:tc>
      </w:tr>
    </w:tbl>
    <w:p w14:paraId="5B9BF6DF" w14:textId="50A0267F" w:rsidR="004718AD" w:rsidRPr="0099355B" w:rsidRDefault="004718AD" w:rsidP="004718AD">
      <w:pPr>
        <w:widowControl w:val="0"/>
        <w:autoSpaceDE w:val="0"/>
        <w:autoSpaceDN w:val="0"/>
        <w:adjustRightInd w:val="0"/>
      </w:pPr>
      <w:r w:rsidRPr="0099355B">
        <w:t>Note 1</w:t>
      </w:r>
      <w:r w:rsidR="000211A9" w:rsidRPr="0099355B">
        <w:t>.</w:t>
      </w:r>
      <w:r w:rsidRPr="0099355B">
        <w:t xml:space="preserve"> Estimates for additive and multiplicative models are respective unstandardized regression coefficient beta estimates and the ratio zeta estimates </w:t>
      </w:r>
      <w:r w:rsidRPr="0099355B">
        <w:fldChar w:fldCharType="begin" w:fldLock="1"/>
      </w:r>
      <w:r w:rsidR="003D6B31" w:rsidRPr="0099355B">
        <w:instrText>ADDIN CSL_CITATION {"citationItems":[{"id":"ITEM-1","itemData":{"DOI":"10.1037/met0000222","ISSN":"1939-1463","author":[{"dropping-particle":"","family":"Liu","given":"Qimin","non-dropping-particle":"","parse-names":false,"suffix":""},{"dropping-particle":"","family":"Maxwell","given":"Scott E.","non-dropping-particle":"","parse-names":false,"suffix":""}],"container-title":"Psychological Methods","id":"ITEM-1","issued":{"date-parts":[["2019","6","13"]]},"title":"Multiplicative treatment effects in randomized pretest-posttest experimental designs.","type":"article-journal"},"uris":["http://www.mendeley.com/documents/?uuid=98bd01d5-b700-4ed8-824a-a824e4719081"]}],"mendeley":{"formattedCitation":"[11]","plainTextFormattedCitation":"[11]","previouslyFormattedCitation":"(Liu and Maxwell)"},"properties":{"noteIndex":0},"schema":"https://github.com/citation-style-language/schema/raw/master/csl-citation.json"}</w:instrText>
      </w:r>
      <w:r w:rsidRPr="0099355B">
        <w:fldChar w:fldCharType="separate"/>
      </w:r>
      <w:r w:rsidR="003D6B31" w:rsidRPr="0099355B">
        <w:rPr>
          <w:noProof/>
        </w:rPr>
        <w:t>[11]</w:t>
      </w:r>
      <w:r w:rsidRPr="0099355B">
        <w:fldChar w:fldCharType="end"/>
      </w:r>
      <w:r w:rsidRPr="0099355B">
        <w:t xml:space="preserve"> compared with the baseline. Standard error estimates for multiplicative models are that of the logged model. </w:t>
      </w:r>
    </w:p>
    <w:p w14:paraId="095AC1E0" w14:textId="499EDA5B" w:rsidR="004718AD" w:rsidRPr="0099355B" w:rsidRDefault="004718AD" w:rsidP="004718AD">
      <w:pPr>
        <w:widowControl w:val="0"/>
        <w:autoSpaceDE w:val="0"/>
        <w:autoSpaceDN w:val="0"/>
        <w:adjustRightInd w:val="0"/>
      </w:pPr>
      <w:r w:rsidRPr="0099355B">
        <w:t xml:space="preserve">Note </w:t>
      </w:r>
      <w:r w:rsidR="00F85D26" w:rsidRPr="0099355B">
        <w:t>2</w:t>
      </w:r>
      <w:r w:rsidR="000211A9" w:rsidRPr="0099355B">
        <w:t>.</w:t>
      </w:r>
      <w:r w:rsidRPr="0099355B">
        <w:t xml:space="preserve"> Let Y</w:t>
      </w:r>
      <w:r w:rsidR="00E621D6" w:rsidRPr="0099355B">
        <w:t xml:space="preserve">, </w:t>
      </w:r>
      <w:r w:rsidRPr="0099355B">
        <w:t>M</w:t>
      </w:r>
      <w:r w:rsidR="00E621D6" w:rsidRPr="0099355B">
        <w:t xml:space="preserve">, </w:t>
      </w:r>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oMath>
      <w:r w:rsidRPr="0099355B">
        <w:t xml:space="preserve"> </w:t>
      </w:r>
      <w:r w:rsidR="00E621D6" w:rsidRPr="0099355B">
        <w:t xml:space="preserve">and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E621D6" w:rsidRPr="0099355B">
        <w:t xml:space="preserve"> </w:t>
      </w:r>
      <w:r w:rsidRPr="0099355B">
        <w:t>respectively represent PHQ-9 sum scores</w:t>
      </w:r>
      <w:r w:rsidR="00E621D6" w:rsidRPr="0099355B">
        <w:t xml:space="preserve">, </w:t>
      </w:r>
      <w:r w:rsidRPr="0099355B">
        <w:t>month,</w:t>
      </w:r>
      <w:r w:rsidR="00E621D6" w:rsidRPr="0099355B">
        <w:t xml:space="preserve"> random intercept, and random slope</w:t>
      </w:r>
      <w:r w:rsidR="004223B4">
        <w:t>. W</w:t>
      </w:r>
      <w:r w:rsidRPr="0099355B">
        <w:t xml:space="preserve">e have additive </w:t>
      </w:r>
      <w:r w:rsidR="008F4F68" w:rsidRPr="0099355B">
        <w:t>random-intercept</w:t>
      </w:r>
      <w:r w:rsidRPr="0099355B">
        <w:t xml:space="preserve"> model </w:t>
      </w:r>
      <w:r w:rsidR="008F4F68" w:rsidRPr="0099355B">
        <w:t>5</w:t>
      </w:r>
      <w:r w:rsidR="004223B4">
        <w:t>,</w:t>
      </w:r>
      <w:r w:rsidRPr="0099355B">
        <w:t xml:space="preserve">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+ε</m:t>
        </m:r>
      </m:oMath>
      <w:r w:rsidRPr="0099355B">
        <w:t xml:space="preserve">; multiplicative </w:t>
      </w:r>
      <w:r w:rsidR="00D17A8D" w:rsidRPr="0099355B">
        <w:t>random-intercept model 6</w:t>
      </w:r>
      <w:r w:rsidR="004223B4">
        <w:t>,</w:t>
      </w:r>
      <w:r w:rsidRPr="0099355B">
        <w:t xml:space="preserve"> </w:t>
      </w:r>
      <m:oMath>
        <m:r>
          <w:rPr>
            <w:rFonts w:ascii="Cambria Math" w:hAnsi="Cambria Math"/>
          </w:rPr>
          <m:t>Y=</m:t>
        </m:r>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m:t>
            </m:r>
          </m:sup>
        </m:sSubSup>
        <m:sSup>
          <m:sSupPr>
            <m:ctrlPr>
              <w:rPr>
                <w:rFonts w:ascii="Cambria Math" w:hAnsi="Cambria Math"/>
                <w:i/>
              </w:rPr>
            </m:ctrlPr>
          </m:sSupPr>
          <m:e>
            <m:r>
              <w:rPr>
                <w:rFonts w:ascii="Cambria Math" w:hAnsi="Cambria Math"/>
              </w:rPr>
              <m:t>M</m:t>
            </m:r>
          </m:e>
          <m:sup>
            <m:sSub>
              <m:sSubPr>
                <m:ctrlPr>
                  <w:rPr>
                    <w:rFonts w:ascii="Cambria Math" w:hAnsi="Cambria Math"/>
                    <w:i/>
                  </w:rPr>
                </m:ctrlPr>
              </m:sSubPr>
              <m:e>
                <m:r>
                  <w:rPr>
                    <w:rFonts w:ascii="Cambria Math" w:hAnsi="Cambria Math"/>
                  </w:rPr>
                  <m:t>β</m:t>
                </m:r>
              </m:e>
              <m:sub>
                <m:r>
                  <w:rPr>
                    <w:rFonts w:ascii="Cambria Math" w:hAnsi="Cambria Math"/>
                  </w:rPr>
                  <m:t>1</m:t>
                </m:r>
              </m:sub>
            </m:sSub>
          </m:sup>
        </m:sSup>
        <m:sSup>
          <m:sSupPr>
            <m:ctrlPr>
              <w:rPr>
                <w:rFonts w:ascii="Cambria Math" w:hAnsi="Cambria Math"/>
                <w:i/>
              </w:rPr>
            </m:ctrlPr>
          </m:sSupPr>
          <m:e>
            <m:r>
              <w:rPr>
                <w:rFonts w:ascii="Cambria Math" w:hAnsi="Cambria Math"/>
              </w:rPr>
              <m:t>ε</m:t>
            </m:r>
          </m:e>
          <m:sup>
            <m:r>
              <w:rPr>
                <w:rFonts w:ascii="Cambria Math" w:hAnsi="Cambria Math"/>
              </w:rPr>
              <m:t>*</m:t>
            </m:r>
          </m:sup>
        </m:sSup>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m:t>
            </m:r>
          </m:sup>
        </m:sSubSup>
      </m:oMath>
      <w:r w:rsidRPr="0099355B">
        <w:t xml:space="preserve"> where </w:t>
      </w:r>
      <w:r w:rsidR="00E621D6" w:rsidRPr="0099355B">
        <w:t>the random effects are modeled onto the logged scores</w:t>
      </w:r>
      <w:r w:rsidRPr="0099355B">
        <w:t xml:space="preserve">  and </w:t>
      </w:r>
      <m:oMath>
        <m:sSup>
          <m:sSupPr>
            <m:ctrlPr>
              <w:rPr>
                <w:rFonts w:ascii="Cambria Math" w:hAnsi="Cambria Math"/>
                <w:i/>
              </w:rPr>
            </m:ctrlPr>
          </m:sSupPr>
          <m:e>
            <m:r>
              <w:rPr>
                <w:rFonts w:ascii="Cambria Math" w:hAnsi="Cambria Math"/>
              </w:rPr>
              <m:t>ε</m:t>
            </m:r>
          </m:e>
          <m:sup>
            <m:r>
              <w:rPr>
                <w:rFonts w:ascii="Cambria Math" w:hAnsi="Cambria Math"/>
              </w:rPr>
              <m:t>*</m:t>
            </m:r>
          </m:sup>
        </m:sSup>
      </m:oMath>
      <w:r w:rsidRPr="0099355B">
        <w:t xml:space="preserve"> is the multiplicative error term; additive </w:t>
      </w:r>
      <w:r w:rsidR="00E621D6" w:rsidRPr="0099355B">
        <w:t>random-intercept random-slope</w:t>
      </w:r>
      <w:r w:rsidRPr="0099355B">
        <w:t xml:space="preserve"> model </w:t>
      </w:r>
      <w:r w:rsidR="00E621D6" w:rsidRPr="0099355B">
        <w:t>7</w:t>
      </w:r>
      <w:r w:rsidR="004223B4">
        <w:t>,</w:t>
      </w:r>
      <w:r w:rsidRPr="0099355B">
        <w:t xml:space="preserve"> </w:t>
      </w: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M+ε</m:t>
        </m:r>
      </m:oMath>
      <w:r w:rsidR="00E621D6" w:rsidRPr="0099355B">
        <w:t xml:space="preserve">; </w:t>
      </w:r>
      <w:r w:rsidRPr="0099355B">
        <w:t xml:space="preserve">and multiplicative </w:t>
      </w:r>
      <w:r w:rsidR="00E621D6" w:rsidRPr="0099355B">
        <w:t xml:space="preserve">additive random-intercept random-slope </w:t>
      </w:r>
      <w:r w:rsidRPr="0099355B">
        <w:t xml:space="preserve">model </w:t>
      </w:r>
      <w:r w:rsidR="00E621D6" w:rsidRPr="0099355B">
        <w:t>8</w:t>
      </w:r>
      <w:r w:rsidR="004223B4">
        <w:t>,</w:t>
      </w:r>
      <w:r w:rsidRPr="0099355B">
        <w:t xml:space="preserve"> </w:t>
      </w:r>
      <m:oMath>
        <m:r>
          <w:rPr>
            <w:rFonts w:ascii="Cambria Math" w:hAnsi="Cambria Math"/>
          </w:rPr>
          <m:t>Y=</m:t>
        </m:r>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m:t>
            </m:r>
          </m:sup>
        </m:sSubSup>
        <m:sSup>
          <m:sSupPr>
            <m:ctrlPr>
              <w:rPr>
                <w:rFonts w:ascii="Cambria Math" w:hAnsi="Cambria Math"/>
                <w:i/>
              </w:rPr>
            </m:ctrlPr>
          </m:sSupPr>
          <m:e>
            <m:r>
              <w:rPr>
                <w:rFonts w:ascii="Cambria Math" w:hAnsi="Cambria Math"/>
              </w:rPr>
              <m:t>M</m:t>
            </m:r>
          </m:e>
          <m:sup>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up>
        </m:sSup>
        <m:sSup>
          <m:sSupPr>
            <m:ctrlPr>
              <w:rPr>
                <w:rFonts w:ascii="Cambria Math" w:hAnsi="Cambria Math"/>
                <w:i/>
              </w:rPr>
            </m:ctrlPr>
          </m:sSupPr>
          <m:e>
            <m:r>
              <w:rPr>
                <w:rFonts w:ascii="Cambria Math" w:hAnsi="Cambria Math"/>
              </w:rPr>
              <m:t>ε</m:t>
            </m:r>
          </m:e>
          <m:sup>
            <m:r>
              <w:rPr>
                <w:rFonts w:ascii="Cambria Math" w:hAnsi="Cambria Math"/>
              </w:rPr>
              <m:t>*</m:t>
            </m:r>
          </m:sup>
        </m:sSup>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m:t>
            </m:r>
          </m:sup>
        </m:sSubSup>
      </m:oMath>
      <w:r w:rsidR="00D96377" w:rsidRPr="0099355B">
        <w:t xml:space="preserve"> where the random effects are modeled onto the logged scores.</w:t>
      </w:r>
    </w:p>
    <w:p w14:paraId="79CC6153" w14:textId="4844085E" w:rsidR="00183742" w:rsidRPr="0099355B" w:rsidRDefault="004718AD" w:rsidP="004718AD">
      <w:pPr>
        <w:widowControl w:val="0"/>
        <w:autoSpaceDE w:val="0"/>
        <w:autoSpaceDN w:val="0"/>
        <w:adjustRightInd w:val="0"/>
      </w:pPr>
      <w:r w:rsidRPr="0099355B">
        <w:t xml:space="preserve">Note </w:t>
      </w:r>
      <w:r w:rsidR="00F85D26" w:rsidRPr="0099355B">
        <w:t>3</w:t>
      </w:r>
      <w:r w:rsidR="000211A9" w:rsidRPr="0099355B">
        <w:t>.</w:t>
      </w:r>
      <w:r w:rsidRPr="0099355B">
        <w:t xml:space="preserve"> ABC procedure </w:t>
      </w:r>
      <w:r w:rsidRPr="0099355B">
        <w:fldChar w:fldCharType="begin" w:fldLock="1"/>
      </w:r>
      <w:r w:rsidR="003D6B31" w:rsidRPr="0099355B">
        <w:instrText>ADDIN CSL_CITATION {"citationItems":[{"id":"ITEM-1","itemData":{"DOI":"10.1037/met0000222","ISSN":"1939-1463","author":[{"dropping-particle":"","family":"Liu","given":"Qimin","non-dropping-particle":"","parse-names":false,"suffix":""},{"dropping-particle":"","family":"Maxwell","given":"Scott E.","non-dropping-particle":"","parse-names":false,"suffix":""}],"container-title":"Psychological Methods","id":"ITEM-1","issued":{"date-parts":[["2019","6","13"]]},"title":"Multiplicative treatment effects in randomized pretest-posttest experimental designs.","type":"article-journal"},"uris":["http://www.mendeley.com/documents/?uuid=98bd01d5-b700-4ed8-824a-a824e4719081"]}],"mendeley":{"formattedCitation":"[11]","plainTextFormattedCitation":"[11]","previouslyFormattedCitation":"(Liu and Maxwell)"},"properties":{"noteIndex":0},"schema":"https://github.com/citation-style-language/schema/raw/master/csl-citation.json"}</w:instrText>
      </w:r>
      <w:r w:rsidRPr="0099355B">
        <w:fldChar w:fldCharType="separate"/>
      </w:r>
      <w:r w:rsidR="003D6B31" w:rsidRPr="0099355B">
        <w:rPr>
          <w:noProof/>
        </w:rPr>
        <w:t>[11]</w:t>
      </w:r>
      <w:r w:rsidRPr="0099355B">
        <w:fldChar w:fldCharType="end"/>
      </w:r>
      <w:r w:rsidRPr="0099355B">
        <w:t xml:space="preserve"> was employed to obtain comparable AIC</w:t>
      </w:r>
      <w:r w:rsidR="00F85D26" w:rsidRPr="0099355B">
        <w:t>s.</w:t>
      </w:r>
      <w:r w:rsidR="00EB221F" w:rsidRPr="0099355B">
        <w:t xml:space="preserve"> We also considered additive model with log-transformed dependent variable: The random-intercept and random-intercept/-slope model had AICs of 3220.26 and of 3192.68</w:t>
      </w:r>
      <w:r w:rsidR="00474C87" w:rsidRPr="0099355B">
        <w:t xml:space="preserve">. This implies that </w:t>
      </w:r>
      <w:r w:rsidR="00D45376" w:rsidRPr="0099355B">
        <w:t>the plausibility of MMs does not come solely from the better distributional fit than AMs but from the faithfulness of the inherent multiplicative form to the data.</w:t>
      </w:r>
    </w:p>
    <w:p w14:paraId="30BE9AC6" w14:textId="6147F0FE" w:rsidR="00474C87" w:rsidRPr="0099355B" w:rsidRDefault="00474C87" w:rsidP="004718AD">
      <w:pPr>
        <w:widowControl w:val="0"/>
        <w:autoSpaceDE w:val="0"/>
        <w:autoSpaceDN w:val="0"/>
        <w:adjustRightInd w:val="0"/>
      </w:pPr>
      <w:r w:rsidRPr="0099355B">
        <w:t>Note 4</w:t>
      </w:r>
      <w:r w:rsidR="000211A9" w:rsidRPr="0099355B">
        <w:t>.</w:t>
      </w:r>
      <w:r w:rsidRPr="0099355B">
        <w:t xml:space="preserve"> </w:t>
      </w:r>
      <w:r w:rsidR="00B42798" w:rsidRPr="0099355B">
        <w:t>At month</w:t>
      </w:r>
      <w:r w:rsidR="00A666D3">
        <w:t xml:space="preserve"> one</w:t>
      </w:r>
      <w:r w:rsidR="00B42798" w:rsidRPr="0099355B">
        <w:t>, the depression is the (1+1)</w:t>
      </w:r>
      <w:r w:rsidR="00B42798" w:rsidRPr="0099355B">
        <w:rPr>
          <w:vertAlign w:val="superscript"/>
        </w:rPr>
        <w:t>-.23</w:t>
      </w:r>
      <w:r w:rsidR="00CF54F5" w:rsidRPr="0099355B">
        <w:rPr>
          <w:vertAlign w:val="superscript"/>
        </w:rPr>
        <w:t xml:space="preserve"> or -.24</w:t>
      </w:r>
      <w:r w:rsidR="00B42798" w:rsidRPr="0099355B">
        <w:t>= 85% of baseline and at month</w:t>
      </w:r>
      <w:r w:rsidR="00A666D3">
        <w:t xml:space="preserve"> three</w:t>
      </w:r>
      <w:r w:rsidR="00B42798" w:rsidRPr="0099355B">
        <w:t>, is (3+1)</w:t>
      </w:r>
      <w:r w:rsidR="00B42798" w:rsidRPr="0099355B">
        <w:rPr>
          <w:vertAlign w:val="superscript"/>
        </w:rPr>
        <w:t>-.23</w:t>
      </w:r>
      <w:r w:rsidR="00CF54F5" w:rsidRPr="0099355B">
        <w:rPr>
          <w:vertAlign w:val="superscript"/>
        </w:rPr>
        <w:t xml:space="preserve"> or -.24</w:t>
      </w:r>
      <w:r w:rsidR="00B42798" w:rsidRPr="0099355B">
        <w:t>=73% of the baseline.</w:t>
      </w:r>
      <w:r w:rsidR="00CF54F5" w:rsidRPr="0099355B">
        <w:t xml:space="preserve"> </w:t>
      </w:r>
    </w:p>
    <w:p w14:paraId="1B446DE1" w14:textId="5B9AEC49" w:rsidR="00DA5F87" w:rsidRPr="0099355B" w:rsidRDefault="00D96377" w:rsidP="004718AD">
      <w:pPr>
        <w:widowControl w:val="0"/>
        <w:autoSpaceDE w:val="0"/>
        <w:autoSpaceDN w:val="0"/>
        <w:adjustRightInd w:val="0"/>
      </w:pPr>
      <w:r w:rsidRPr="0099355B">
        <w:t xml:space="preserve">Note </w:t>
      </w:r>
      <w:r w:rsidR="00474C87" w:rsidRPr="0099355B">
        <w:t>5</w:t>
      </w:r>
      <w:r w:rsidR="000211A9" w:rsidRPr="0099355B">
        <w:t>.</w:t>
      </w:r>
      <w:r w:rsidRPr="0099355B">
        <w:t xml:space="preserve"> </w:t>
      </w:r>
      <w:r w:rsidR="00DA5F87" w:rsidRPr="0099355B">
        <w:t xml:space="preserve"> </w:t>
      </w:r>
      <m:oMath>
        <m:acc>
          <m:accPr>
            <m:ctrlPr>
              <w:rPr>
                <w:rFonts w:ascii="Cambria Math" w:hAnsi="Cambria Math"/>
                <w:bCs/>
                <w:i/>
                <w:kern w:val="2"/>
              </w:rPr>
            </m:ctrlPr>
          </m:accPr>
          <m:e>
            <m:sSub>
              <m:sSubPr>
                <m:ctrlPr>
                  <w:rPr>
                    <w:rFonts w:ascii="Cambria Math" w:hAnsi="Cambria Math"/>
                    <w:bCs/>
                    <w:i/>
                    <w:kern w:val="2"/>
                  </w:rPr>
                </m:ctrlPr>
              </m:sSubPr>
              <m:e>
                <m:r>
                  <w:rPr>
                    <w:rFonts w:ascii="Cambria Math" w:hAnsi="Cambria Math"/>
                  </w:rPr>
                  <m:t>σ</m:t>
                </m:r>
                <m:ctrlPr>
                  <w:rPr>
                    <w:rFonts w:ascii="Cambria Math" w:hAnsi="Cambria Math"/>
                    <w:bCs/>
                    <w:i/>
                  </w:rPr>
                </m:ctrlPr>
              </m:e>
              <m:sub>
                <m:r>
                  <w:rPr>
                    <w:rFonts w:ascii="Cambria Math" w:hAnsi="Cambria Math"/>
                  </w:rPr>
                  <m:t>0</m:t>
                </m:r>
              </m:sub>
            </m:sSub>
            <m:ctrlPr>
              <w:rPr>
                <w:rFonts w:ascii="Cambria Math" w:hAnsi="Cambria Math"/>
                <w:bCs/>
                <w:i/>
              </w:rPr>
            </m:ctrlPr>
          </m:e>
        </m:acc>
      </m:oMath>
      <w:r w:rsidR="00DA5F87" w:rsidRPr="0099355B">
        <w:rPr>
          <w:bCs/>
        </w:rPr>
        <w:t xml:space="preserve"> and </w:t>
      </w:r>
      <m:oMath>
        <m:acc>
          <m:accPr>
            <m:ctrlPr>
              <w:rPr>
                <w:rFonts w:ascii="Cambria Math" w:hAnsi="Cambria Math"/>
                <w:bCs/>
                <w:i/>
                <w:kern w:val="2"/>
              </w:rPr>
            </m:ctrlPr>
          </m:accPr>
          <m:e>
            <m:sSub>
              <m:sSubPr>
                <m:ctrlPr>
                  <w:rPr>
                    <w:rFonts w:ascii="Cambria Math" w:hAnsi="Cambria Math"/>
                    <w:bCs/>
                    <w:i/>
                    <w:kern w:val="2"/>
                  </w:rPr>
                </m:ctrlPr>
              </m:sSubPr>
              <m:e>
                <m:r>
                  <w:rPr>
                    <w:rFonts w:ascii="Cambria Math" w:hAnsi="Cambria Math"/>
                  </w:rPr>
                  <m:t>σ</m:t>
                </m:r>
                <m:ctrlPr>
                  <w:rPr>
                    <w:rFonts w:ascii="Cambria Math" w:hAnsi="Cambria Math"/>
                    <w:bCs/>
                    <w:i/>
                  </w:rPr>
                </m:ctrlPr>
              </m:e>
              <m:sub>
                <m:r>
                  <w:rPr>
                    <w:rFonts w:ascii="Cambria Math" w:hAnsi="Cambria Math"/>
                  </w:rPr>
                  <m:t>1</m:t>
                </m:r>
              </m:sub>
            </m:sSub>
            <m:ctrlPr>
              <w:rPr>
                <w:rFonts w:ascii="Cambria Math" w:hAnsi="Cambria Math"/>
                <w:bCs/>
                <w:i/>
              </w:rPr>
            </m:ctrlPr>
          </m:e>
        </m:acc>
      </m:oMath>
      <w:r w:rsidR="00DA5F87" w:rsidRPr="0099355B">
        <w:rPr>
          <w:bCs/>
        </w:rPr>
        <w:t xml:space="preserve"> respectively denote the standard deviation of the random intercept and random slope,  </w:t>
      </w:r>
      <m:oMath>
        <m:sSub>
          <m:sSubPr>
            <m:ctrlPr>
              <w:rPr>
                <w:rFonts w:ascii="Cambria Math" w:hAnsi="Cambria Math"/>
                <w:bCs/>
                <w:i/>
                <w:kern w:val="2"/>
              </w:rPr>
            </m:ctrlPr>
          </m:sSubPr>
          <m:e>
            <m:acc>
              <m:accPr>
                <m:ctrlPr>
                  <w:rPr>
                    <w:rFonts w:ascii="Cambria Math" w:hAnsi="Cambria Math"/>
                    <w:bCs/>
                    <w:i/>
                    <w:kern w:val="2"/>
                  </w:rPr>
                </m:ctrlPr>
              </m:accPr>
              <m:e>
                <m:r>
                  <w:rPr>
                    <w:rFonts w:ascii="Cambria Math" w:hAnsi="Cambria Math"/>
                  </w:rPr>
                  <m:t>ρ</m:t>
                </m:r>
                <m:ctrlPr>
                  <w:rPr>
                    <w:rFonts w:ascii="Cambria Math" w:hAnsi="Cambria Math"/>
                    <w:bCs/>
                    <w:i/>
                  </w:rPr>
                </m:ctrlPr>
              </m:e>
            </m:acc>
            <m:ctrlPr>
              <w:rPr>
                <w:rFonts w:ascii="Cambria Math" w:hAnsi="Cambria Math"/>
                <w:bCs/>
                <w:i/>
              </w:rPr>
            </m:ctrlPr>
          </m:e>
          <m:sub>
            <m:r>
              <w:rPr>
                <w:rFonts w:ascii="Cambria Math" w:hAnsi="Cambria Math"/>
              </w:rPr>
              <m:t>01</m:t>
            </m:r>
          </m:sub>
        </m:sSub>
      </m:oMath>
      <w:r w:rsidR="00DA5F87" w:rsidRPr="0099355B">
        <w:rPr>
          <w:bCs/>
          <w:kern w:val="2"/>
        </w:rPr>
        <w:t xml:space="preserve"> denotes the correlation </w:t>
      </w:r>
      <w:r w:rsidR="00DA5F87" w:rsidRPr="0099355B">
        <w:rPr>
          <w:bCs/>
          <w:kern w:val="2"/>
        </w:rPr>
        <w:lastRenderedPageBreak/>
        <w:t xml:space="preserve">between random intercept and random slope,  </w:t>
      </w:r>
      <m:oMath>
        <m:acc>
          <m:accPr>
            <m:ctrlPr>
              <w:rPr>
                <w:rFonts w:ascii="Cambria Math" w:hAnsi="Cambria Math"/>
                <w:bCs/>
                <w:i/>
                <w:kern w:val="2"/>
              </w:rPr>
            </m:ctrlPr>
          </m:accPr>
          <m:e>
            <m:r>
              <w:rPr>
                <w:rFonts w:ascii="Cambria Math" w:hAnsi="Cambria Math"/>
                <w:kern w:val="2"/>
              </w:rPr>
              <m:t>σ</m:t>
            </m:r>
            <m:ctrlPr>
              <w:rPr>
                <w:rFonts w:ascii="Cambria Math" w:hAnsi="Cambria Math"/>
                <w:bCs/>
                <w:i/>
              </w:rPr>
            </m:ctrlPr>
          </m:e>
        </m:acc>
      </m:oMath>
      <w:r w:rsidR="00DA5F87" w:rsidRPr="0099355B">
        <w:rPr>
          <w:bCs/>
        </w:rPr>
        <w:t xml:space="preserve"> is the residual standard deviation, and </w:t>
      </w:r>
      <w:r w:rsidR="00DA5F87" w:rsidRPr="0099355B">
        <w:t xml:space="preserve">ICC is the </w:t>
      </w:r>
      <w:r w:rsidR="00924425">
        <w:t>sample</w:t>
      </w:r>
      <w:r w:rsidR="00DA5F87" w:rsidRPr="0099355B">
        <w:t xml:space="preserve"> intra-class correlation. </w:t>
      </w:r>
    </w:p>
    <w:p w14:paraId="2B382350" w14:textId="77777777" w:rsidR="001A779A" w:rsidRPr="0099355B" w:rsidRDefault="00DA5F87" w:rsidP="001A779A">
      <w:pPr>
        <w:widowControl w:val="0"/>
        <w:autoSpaceDE w:val="0"/>
        <w:autoSpaceDN w:val="0"/>
        <w:adjustRightInd w:val="0"/>
      </w:pPr>
      <w:r w:rsidRPr="0099355B">
        <w:t xml:space="preserve">Note </w:t>
      </w:r>
      <w:r w:rsidR="00474C87" w:rsidRPr="0099355B">
        <w:t>6</w:t>
      </w:r>
      <w:r w:rsidRPr="0099355B">
        <w:t>. Estimates for the random components in multiplicative models are with respect to the log-log linear mixed effect models</w:t>
      </w:r>
      <w:r w:rsidR="00171EDB" w:rsidRPr="0099355B">
        <w:t xml:space="preserve"> as model 6 can be rewritten as log(</w:t>
      </w:r>
      <m:oMath>
        <m:r>
          <w:rPr>
            <w:rFonts w:ascii="Cambria Math" w:hAnsi="Cambria Math"/>
          </w:rPr>
          <m:t>Y)=</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(M)+</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m:t>
            </m:r>
          </m:sup>
        </m:sSubSup>
        <m:r>
          <w:rPr>
            <w:rFonts w:ascii="Cambria Math" w:hAnsi="Cambria Math"/>
          </w:rPr>
          <m:t>)+</m:t>
        </m:r>
        <m:r>
          <m:rPr>
            <m:sty m:val="p"/>
          </m:rPr>
          <w:rPr>
            <w:rFonts w:ascii="Cambria Math" w:hAnsi="Cambria Math"/>
          </w:rPr>
          <m:t>log⁡</m:t>
        </m:r>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oMath>
      <w:r w:rsidR="001A779A" w:rsidRPr="0099355B">
        <w:t xml:space="preserve"> and model 8 can be rewritten as  log(</w:t>
      </w:r>
      <m:oMath>
        <m:r>
          <w:rPr>
            <w:rFonts w:ascii="Cambria Math" w:hAnsi="Cambria Math"/>
          </w:rPr>
          <m:t>Y)=</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m:t>
                    </m:r>
                  </m:sup>
                </m:sSubSup>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γ</m:t>
                    </m:r>
                  </m:e>
                  <m:sub>
                    <m:r>
                      <w:rPr>
                        <w:rFonts w:ascii="Cambria Math" w:hAnsi="Cambria Math"/>
                      </w:rPr>
                      <m:t>0</m:t>
                    </m:r>
                  </m:sub>
                  <m:sup>
                    <m:r>
                      <w:rPr>
                        <w:rFonts w:ascii="Cambria Math" w:hAnsi="Cambria Math"/>
                      </w:rPr>
                      <m:t>*</m:t>
                    </m:r>
                  </m:sup>
                </m:sSubSup>
              </m:e>
            </m:d>
          </m:e>
        </m:func>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M</m:t>
                </m:r>
              </m:e>
            </m:d>
          </m:e>
        </m:func>
        <m:r>
          <w:rPr>
            <w:rFonts w:ascii="Cambria Math" w:hAnsi="Cambria Math"/>
          </w:rPr>
          <m:t>+</m:t>
        </m:r>
        <m:r>
          <m:rPr>
            <m:sty m:val="p"/>
          </m:rPr>
          <w:rPr>
            <w:rFonts w:ascii="Cambria Math" w:hAnsi="Cambria Math"/>
          </w:rPr>
          <m:t>log⁡</m:t>
        </m:r>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oMath>
      <w:r w:rsidR="00394988" w:rsidRPr="0099355B">
        <w:t>. Both can be readily estimated with existing software.</w:t>
      </w:r>
      <w:r w:rsidR="00474C87" w:rsidRPr="0099355B">
        <w:t xml:space="preserve"> </w:t>
      </w:r>
    </w:p>
    <w:p w14:paraId="23AF6DFC" w14:textId="77777777" w:rsidR="001C4850" w:rsidRPr="0099355B" w:rsidRDefault="001C4850" w:rsidP="001A779A">
      <w:pPr>
        <w:widowControl w:val="0"/>
        <w:autoSpaceDE w:val="0"/>
        <w:autoSpaceDN w:val="0"/>
        <w:adjustRightInd w:val="0"/>
      </w:pPr>
    </w:p>
    <w:p w14:paraId="1C1B1FAF" w14:textId="77777777" w:rsidR="004C711C" w:rsidRPr="0099355B" w:rsidRDefault="004C711C" w:rsidP="001A779A">
      <w:pPr>
        <w:widowControl w:val="0"/>
        <w:autoSpaceDE w:val="0"/>
        <w:autoSpaceDN w:val="0"/>
        <w:adjustRightInd w:val="0"/>
      </w:pPr>
    </w:p>
    <w:p w14:paraId="579B4CD2" w14:textId="77777777" w:rsidR="004C711C" w:rsidRPr="0099355B" w:rsidRDefault="004C711C" w:rsidP="001A779A">
      <w:pPr>
        <w:widowControl w:val="0"/>
        <w:autoSpaceDE w:val="0"/>
        <w:autoSpaceDN w:val="0"/>
        <w:adjustRightInd w:val="0"/>
      </w:pPr>
    </w:p>
    <w:p w14:paraId="7BDF02BB" w14:textId="77777777" w:rsidR="004C711C" w:rsidRPr="0099355B" w:rsidRDefault="004C711C" w:rsidP="001A779A">
      <w:pPr>
        <w:widowControl w:val="0"/>
        <w:autoSpaceDE w:val="0"/>
        <w:autoSpaceDN w:val="0"/>
        <w:adjustRightInd w:val="0"/>
      </w:pPr>
    </w:p>
    <w:p w14:paraId="3578B619" w14:textId="77777777" w:rsidR="004C711C" w:rsidRPr="0099355B" w:rsidRDefault="004C711C" w:rsidP="001A779A">
      <w:pPr>
        <w:widowControl w:val="0"/>
        <w:autoSpaceDE w:val="0"/>
        <w:autoSpaceDN w:val="0"/>
        <w:adjustRightInd w:val="0"/>
      </w:pPr>
    </w:p>
    <w:p w14:paraId="72EEA1CA" w14:textId="77777777" w:rsidR="004C711C" w:rsidRPr="0099355B" w:rsidRDefault="004C711C" w:rsidP="001A779A">
      <w:pPr>
        <w:widowControl w:val="0"/>
        <w:autoSpaceDE w:val="0"/>
        <w:autoSpaceDN w:val="0"/>
        <w:adjustRightInd w:val="0"/>
      </w:pPr>
    </w:p>
    <w:p w14:paraId="47C1B1E0" w14:textId="77777777" w:rsidR="004C711C" w:rsidRPr="0099355B" w:rsidRDefault="004C711C" w:rsidP="001A779A">
      <w:pPr>
        <w:widowControl w:val="0"/>
        <w:autoSpaceDE w:val="0"/>
        <w:autoSpaceDN w:val="0"/>
        <w:adjustRightInd w:val="0"/>
      </w:pPr>
    </w:p>
    <w:p w14:paraId="6CD1C300" w14:textId="77777777" w:rsidR="004C711C" w:rsidRPr="0099355B" w:rsidRDefault="004C711C" w:rsidP="001A779A">
      <w:pPr>
        <w:widowControl w:val="0"/>
        <w:autoSpaceDE w:val="0"/>
        <w:autoSpaceDN w:val="0"/>
        <w:adjustRightInd w:val="0"/>
      </w:pPr>
    </w:p>
    <w:p w14:paraId="4632D508" w14:textId="77777777" w:rsidR="004C711C" w:rsidRPr="0099355B" w:rsidRDefault="004C711C" w:rsidP="001A779A">
      <w:pPr>
        <w:widowControl w:val="0"/>
        <w:autoSpaceDE w:val="0"/>
        <w:autoSpaceDN w:val="0"/>
        <w:adjustRightInd w:val="0"/>
      </w:pPr>
    </w:p>
    <w:p w14:paraId="27235B77" w14:textId="77777777" w:rsidR="004C711C" w:rsidRPr="0099355B" w:rsidRDefault="004C711C" w:rsidP="001A779A">
      <w:pPr>
        <w:widowControl w:val="0"/>
        <w:autoSpaceDE w:val="0"/>
        <w:autoSpaceDN w:val="0"/>
        <w:adjustRightInd w:val="0"/>
      </w:pPr>
    </w:p>
    <w:p w14:paraId="1278A99E" w14:textId="77777777" w:rsidR="004C711C" w:rsidRPr="0099355B" w:rsidRDefault="004C711C" w:rsidP="001A779A">
      <w:pPr>
        <w:widowControl w:val="0"/>
        <w:autoSpaceDE w:val="0"/>
        <w:autoSpaceDN w:val="0"/>
        <w:adjustRightInd w:val="0"/>
      </w:pPr>
    </w:p>
    <w:p w14:paraId="3A0FCD84" w14:textId="77777777" w:rsidR="004C711C" w:rsidRPr="0099355B" w:rsidRDefault="004C711C" w:rsidP="001A779A">
      <w:pPr>
        <w:widowControl w:val="0"/>
        <w:autoSpaceDE w:val="0"/>
        <w:autoSpaceDN w:val="0"/>
        <w:adjustRightInd w:val="0"/>
      </w:pPr>
    </w:p>
    <w:p w14:paraId="0B4C26DC" w14:textId="77777777" w:rsidR="004C711C" w:rsidRPr="0099355B" w:rsidRDefault="004C711C" w:rsidP="001A779A">
      <w:pPr>
        <w:widowControl w:val="0"/>
        <w:autoSpaceDE w:val="0"/>
        <w:autoSpaceDN w:val="0"/>
        <w:adjustRightInd w:val="0"/>
      </w:pPr>
    </w:p>
    <w:p w14:paraId="037B7A9A" w14:textId="77777777" w:rsidR="004C711C" w:rsidRPr="0099355B" w:rsidRDefault="004C711C" w:rsidP="001A779A">
      <w:pPr>
        <w:widowControl w:val="0"/>
        <w:autoSpaceDE w:val="0"/>
        <w:autoSpaceDN w:val="0"/>
        <w:adjustRightInd w:val="0"/>
      </w:pPr>
    </w:p>
    <w:p w14:paraId="331B0DA9" w14:textId="77777777" w:rsidR="004C711C" w:rsidRPr="0099355B" w:rsidRDefault="004C711C" w:rsidP="001A779A">
      <w:pPr>
        <w:widowControl w:val="0"/>
        <w:autoSpaceDE w:val="0"/>
        <w:autoSpaceDN w:val="0"/>
        <w:adjustRightInd w:val="0"/>
      </w:pPr>
    </w:p>
    <w:p w14:paraId="2FE7CA36" w14:textId="77777777" w:rsidR="004C711C" w:rsidRPr="0099355B" w:rsidRDefault="004C711C" w:rsidP="001A779A">
      <w:pPr>
        <w:widowControl w:val="0"/>
        <w:autoSpaceDE w:val="0"/>
        <w:autoSpaceDN w:val="0"/>
        <w:adjustRightInd w:val="0"/>
      </w:pPr>
    </w:p>
    <w:p w14:paraId="6A454DD6" w14:textId="77777777" w:rsidR="004C711C" w:rsidRPr="0099355B" w:rsidRDefault="004C711C" w:rsidP="001A779A">
      <w:pPr>
        <w:widowControl w:val="0"/>
        <w:autoSpaceDE w:val="0"/>
        <w:autoSpaceDN w:val="0"/>
        <w:adjustRightInd w:val="0"/>
      </w:pPr>
    </w:p>
    <w:p w14:paraId="7FC7EADF" w14:textId="77777777" w:rsidR="004C711C" w:rsidRPr="0099355B" w:rsidRDefault="004C711C" w:rsidP="001A779A">
      <w:pPr>
        <w:widowControl w:val="0"/>
        <w:autoSpaceDE w:val="0"/>
        <w:autoSpaceDN w:val="0"/>
        <w:adjustRightInd w:val="0"/>
      </w:pPr>
    </w:p>
    <w:p w14:paraId="338A6EF0" w14:textId="77777777" w:rsidR="004C711C" w:rsidRPr="0099355B" w:rsidRDefault="004C711C" w:rsidP="001A779A">
      <w:pPr>
        <w:widowControl w:val="0"/>
        <w:autoSpaceDE w:val="0"/>
        <w:autoSpaceDN w:val="0"/>
        <w:adjustRightInd w:val="0"/>
      </w:pPr>
    </w:p>
    <w:p w14:paraId="60CEC5D3" w14:textId="77777777" w:rsidR="004C711C" w:rsidRPr="0099355B" w:rsidRDefault="004C711C" w:rsidP="001A779A">
      <w:pPr>
        <w:widowControl w:val="0"/>
        <w:autoSpaceDE w:val="0"/>
        <w:autoSpaceDN w:val="0"/>
        <w:adjustRightInd w:val="0"/>
      </w:pPr>
    </w:p>
    <w:p w14:paraId="77882B48" w14:textId="77777777" w:rsidR="004C711C" w:rsidRPr="0099355B" w:rsidRDefault="004C711C" w:rsidP="001A779A">
      <w:pPr>
        <w:widowControl w:val="0"/>
        <w:autoSpaceDE w:val="0"/>
        <w:autoSpaceDN w:val="0"/>
        <w:adjustRightInd w:val="0"/>
      </w:pPr>
    </w:p>
    <w:p w14:paraId="3DF15E1F" w14:textId="77777777" w:rsidR="004C711C" w:rsidRPr="0099355B" w:rsidRDefault="004C711C" w:rsidP="001A779A">
      <w:pPr>
        <w:widowControl w:val="0"/>
        <w:autoSpaceDE w:val="0"/>
        <w:autoSpaceDN w:val="0"/>
        <w:adjustRightInd w:val="0"/>
      </w:pPr>
    </w:p>
    <w:p w14:paraId="6FB49391" w14:textId="77777777" w:rsidR="004C711C" w:rsidRPr="0099355B" w:rsidRDefault="004C711C" w:rsidP="001A779A">
      <w:pPr>
        <w:widowControl w:val="0"/>
        <w:autoSpaceDE w:val="0"/>
        <w:autoSpaceDN w:val="0"/>
        <w:adjustRightInd w:val="0"/>
      </w:pPr>
    </w:p>
    <w:p w14:paraId="7D8E0660" w14:textId="77777777" w:rsidR="004C711C" w:rsidRPr="0099355B" w:rsidRDefault="004C711C" w:rsidP="001A779A">
      <w:pPr>
        <w:widowControl w:val="0"/>
        <w:autoSpaceDE w:val="0"/>
        <w:autoSpaceDN w:val="0"/>
        <w:adjustRightInd w:val="0"/>
      </w:pPr>
    </w:p>
    <w:p w14:paraId="4C9795DF" w14:textId="77777777" w:rsidR="004C711C" w:rsidRPr="0099355B" w:rsidRDefault="004C711C" w:rsidP="001A779A">
      <w:pPr>
        <w:widowControl w:val="0"/>
        <w:autoSpaceDE w:val="0"/>
        <w:autoSpaceDN w:val="0"/>
        <w:adjustRightInd w:val="0"/>
      </w:pPr>
    </w:p>
    <w:p w14:paraId="6E5D75BC" w14:textId="77777777" w:rsidR="004C711C" w:rsidRPr="0099355B" w:rsidRDefault="004C711C" w:rsidP="001A779A">
      <w:pPr>
        <w:widowControl w:val="0"/>
        <w:autoSpaceDE w:val="0"/>
        <w:autoSpaceDN w:val="0"/>
        <w:adjustRightInd w:val="0"/>
      </w:pPr>
    </w:p>
    <w:p w14:paraId="127A9274" w14:textId="77777777" w:rsidR="004C711C" w:rsidRPr="0099355B" w:rsidRDefault="004C711C" w:rsidP="001A779A">
      <w:pPr>
        <w:widowControl w:val="0"/>
        <w:autoSpaceDE w:val="0"/>
        <w:autoSpaceDN w:val="0"/>
        <w:adjustRightInd w:val="0"/>
      </w:pPr>
    </w:p>
    <w:p w14:paraId="03512803" w14:textId="77777777" w:rsidR="004C711C" w:rsidRPr="0099355B" w:rsidRDefault="004C711C" w:rsidP="001A779A">
      <w:pPr>
        <w:widowControl w:val="0"/>
        <w:autoSpaceDE w:val="0"/>
        <w:autoSpaceDN w:val="0"/>
        <w:adjustRightInd w:val="0"/>
      </w:pPr>
    </w:p>
    <w:p w14:paraId="5B78B396" w14:textId="77777777" w:rsidR="004C711C" w:rsidRPr="0099355B" w:rsidRDefault="004C711C" w:rsidP="001A779A">
      <w:pPr>
        <w:widowControl w:val="0"/>
        <w:autoSpaceDE w:val="0"/>
        <w:autoSpaceDN w:val="0"/>
        <w:adjustRightInd w:val="0"/>
      </w:pPr>
    </w:p>
    <w:p w14:paraId="408E59AF" w14:textId="77777777" w:rsidR="001C4850" w:rsidRPr="00FC7710" w:rsidRDefault="004A2B95" w:rsidP="001A779A">
      <w:pPr>
        <w:widowControl w:val="0"/>
        <w:autoSpaceDE w:val="0"/>
        <w:autoSpaceDN w:val="0"/>
        <w:adjustRightInd w:val="0"/>
        <w:rPr>
          <w:i/>
        </w:rPr>
      </w:pPr>
      <w:r w:rsidRPr="00FC7710">
        <w:rPr>
          <w:i/>
        </w:rPr>
        <w:lastRenderedPageBreak/>
        <w:t xml:space="preserve">Table 2a. </w:t>
      </w:r>
      <w:r w:rsidR="00F5335D" w:rsidRPr="00FC7710">
        <w:rPr>
          <w:i/>
        </w:rPr>
        <w:t>Model Fit of Item-Rest Relations</w:t>
      </w:r>
    </w:p>
    <w:tbl>
      <w:tblPr>
        <w:tblW w:w="0" w:type="auto"/>
        <w:jc w:val="center"/>
        <w:tblLook w:val="04A0" w:firstRow="1" w:lastRow="0" w:firstColumn="1" w:lastColumn="0" w:noHBand="0" w:noVBand="1"/>
      </w:tblPr>
      <w:tblGrid>
        <w:gridCol w:w="643"/>
        <w:gridCol w:w="996"/>
        <w:gridCol w:w="1170"/>
        <w:gridCol w:w="996"/>
        <w:gridCol w:w="1170"/>
        <w:gridCol w:w="2692"/>
      </w:tblGrid>
      <w:tr w:rsidR="0099355B" w:rsidRPr="0099355B" w14:paraId="0F1A54E9" w14:textId="7B6EF2F4" w:rsidTr="0099355B">
        <w:trPr>
          <w:trHeight w:val="320"/>
          <w:jc w:val="center"/>
        </w:trPr>
        <w:tc>
          <w:tcPr>
            <w:tcW w:w="0" w:type="auto"/>
            <w:shd w:val="clear" w:color="auto" w:fill="auto"/>
            <w:noWrap/>
            <w:vAlign w:val="center"/>
            <w:hideMark/>
          </w:tcPr>
          <w:p w14:paraId="30137766" w14:textId="77777777" w:rsidR="0099355B" w:rsidRPr="0099355B" w:rsidRDefault="0099355B" w:rsidP="0099355B">
            <w:pPr>
              <w:jc w:val="center"/>
            </w:pPr>
          </w:p>
        </w:tc>
        <w:tc>
          <w:tcPr>
            <w:tcW w:w="0" w:type="auto"/>
            <w:gridSpan w:val="2"/>
            <w:shd w:val="clear" w:color="auto" w:fill="auto"/>
            <w:noWrap/>
            <w:vAlign w:val="center"/>
            <w:hideMark/>
          </w:tcPr>
          <w:p w14:paraId="0940843D" w14:textId="715F92FF" w:rsidR="0099355B" w:rsidRPr="0099355B" w:rsidRDefault="0099355B" w:rsidP="0099355B">
            <w:pPr>
              <w:jc w:val="center"/>
              <w:rPr>
                <w:color w:val="000000"/>
              </w:rPr>
            </w:pPr>
            <w:r w:rsidRPr="0099355B">
              <w:rPr>
                <w:color w:val="000000"/>
              </w:rPr>
              <w:t>Additive</w:t>
            </w:r>
          </w:p>
        </w:tc>
        <w:tc>
          <w:tcPr>
            <w:tcW w:w="0" w:type="auto"/>
            <w:gridSpan w:val="2"/>
            <w:shd w:val="clear" w:color="auto" w:fill="auto"/>
            <w:noWrap/>
            <w:vAlign w:val="center"/>
            <w:hideMark/>
          </w:tcPr>
          <w:p w14:paraId="0B1DBE4D" w14:textId="77777777" w:rsidR="0099355B" w:rsidRPr="0099355B" w:rsidRDefault="0099355B" w:rsidP="0099355B">
            <w:pPr>
              <w:jc w:val="center"/>
              <w:rPr>
                <w:color w:val="000000"/>
              </w:rPr>
            </w:pPr>
            <w:r w:rsidRPr="0099355B">
              <w:rPr>
                <w:color w:val="000000"/>
              </w:rPr>
              <w:t>Multiplicative</w:t>
            </w:r>
          </w:p>
        </w:tc>
        <w:tc>
          <w:tcPr>
            <w:tcW w:w="0" w:type="auto"/>
            <w:vAlign w:val="center"/>
          </w:tcPr>
          <w:p w14:paraId="6A6B743F" w14:textId="31F02F9C" w:rsidR="0099355B" w:rsidRPr="0099355B" w:rsidRDefault="0099355B" w:rsidP="0099355B">
            <w:pPr>
              <w:jc w:val="center"/>
              <w:rPr>
                <w:color w:val="000000"/>
              </w:rPr>
            </w:pPr>
            <w:r w:rsidRPr="0099355B">
              <w:rPr>
                <w:color w:val="000000"/>
              </w:rPr>
              <w:t>Model Fit Difference</w:t>
            </w:r>
          </w:p>
        </w:tc>
      </w:tr>
      <w:tr w:rsidR="00903E3C" w:rsidRPr="0099355B" w14:paraId="50F4FBAA" w14:textId="37578D99" w:rsidTr="0099355B">
        <w:trPr>
          <w:trHeight w:val="320"/>
          <w:jc w:val="center"/>
        </w:trPr>
        <w:tc>
          <w:tcPr>
            <w:tcW w:w="0" w:type="auto"/>
            <w:tcBorders>
              <w:left w:val="nil"/>
              <w:bottom w:val="single" w:sz="4" w:space="0" w:color="auto"/>
              <w:right w:val="nil"/>
            </w:tcBorders>
            <w:shd w:val="clear" w:color="auto" w:fill="auto"/>
            <w:noWrap/>
            <w:vAlign w:val="center"/>
            <w:hideMark/>
          </w:tcPr>
          <w:p w14:paraId="00382652" w14:textId="77777777" w:rsidR="00903E3C" w:rsidRPr="0099355B" w:rsidRDefault="00903E3C" w:rsidP="0099355B">
            <w:pPr>
              <w:jc w:val="center"/>
              <w:rPr>
                <w:color w:val="000000"/>
              </w:rPr>
            </w:pPr>
            <w:r w:rsidRPr="0099355B">
              <w:rPr>
                <w:color w:val="000000"/>
              </w:rPr>
              <w:t>item</w:t>
            </w:r>
          </w:p>
        </w:tc>
        <w:tc>
          <w:tcPr>
            <w:tcW w:w="0" w:type="auto"/>
            <w:tcBorders>
              <w:left w:val="nil"/>
              <w:bottom w:val="single" w:sz="4" w:space="0" w:color="auto"/>
              <w:right w:val="nil"/>
            </w:tcBorders>
            <w:shd w:val="clear" w:color="auto" w:fill="auto"/>
            <w:noWrap/>
            <w:vAlign w:val="center"/>
            <w:hideMark/>
          </w:tcPr>
          <w:p w14:paraId="0522C9B2" w14:textId="08C440B9" w:rsidR="00903E3C" w:rsidRPr="00A62706" w:rsidRDefault="00903E3C" w:rsidP="0099355B">
            <w:pPr>
              <w:jc w:val="center"/>
              <w:rPr>
                <w:color w:val="000000"/>
                <w:vertAlign w:val="subscript"/>
              </w:rPr>
            </w:pPr>
            <w:r w:rsidRPr="0099355B">
              <w:rPr>
                <w:color w:val="000000"/>
              </w:rPr>
              <w:t>AIC</w:t>
            </w:r>
            <w:r w:rsidR="00A62706">
              <w:rPr>
                <w:color w:val="000000"/>
                <w:vertAlign w:val="subscript"/>
              </w:rPr>
              <w:t>AM</w:t>
            </w:r>
          </w:p>
        </w:tc>
        <w:tc>
          <w:tcPr>
            <w:tcW w:w="0" w:type="auto"/>
            <w:tcBorders>
              <w:left w:val="nil"/>
              <w:bottom w:val="single" w:sz="4" w:space="0" w:color="auto"/>
              <w:right w:val="nil"/>
            </w:tcBorders>
            <w:shd w:val="clear" w:color="auto" w:fill="auto"/>
            <w:noWrap/>
            <w:vAlign w:val="center"/>
            <w:hideMark/>
          </w:tcPr>
          <w:p w14:paraId="22A06418" w14:textId="77777777" w:rsidR="00903E3C" w:rsidRPr="0099355B" w:rsidRDefault="00903E3C" w:rsidP="0099355B">
            <w:pPr>
              <w:jc w:val="center"/>
              <w:rPr>
                <w:color w:val="000000"/>
              </w:rPr>
            </w:pPr>
            <w:r w:rsidRPr="0099355B">
              <w:rPr>
                <w:color w:val="000000"/>
              </w:rPr>
              <w:t>F (3, 327)</w:t>
            </w:r>
          </w:p>
        </w:tc>
        <w:tc>
          <w:tcPr>
            <w:tcW w:w="0" w:type="auto"/>
            <w:tcBorders>
              <w:left w:val="nil"/>
              <w:bottom w:val="single" w:sz="4" w:space="0" w:color="auto"/>
              <w:right w:val="nil"/>
            </w:tcBorders>
            <w:shd w:val="clear" w:color="auto" w:fill="auto"/>
            <w:noWrap/>
            <w:vAlign w:val="center"/>
            <w:hideMark/>
          </w:tcPr>
          <w:p w14:paraId="7E2CB7EE" w14:textId="7CDE76A2" w:rsidR="00903E3C" w:rsidRPr="00A62706" w:rsidRDefault="00903E3C" w:rsidP="0099355B">
            <w:pPr>
              <w:jc w:val="center"/>
              <w:rPr>
                <w:color w:val="000000"/>
                <w:vertAlign w:val="subscript"/>
              </w:rPr>
            </w:pPr>
            <w:r w:rsidRPr="0099355B">
              <w:rPr>
                <w:color w:val="000000"/>
              </w:rPr>
              <w:t>AIC</w:t>
            </w:r>
            <w:r w:rsidR="00A62706">
              <w:rPr>
                <w:color w:val="000000"/>
                <w:vertAlign w:val="subscript"/>
              </w:rPr>
              <w:t>MM</w:t>
            </w:r>
          </w:p>
        </w:tc>
        <w:tc>
          <w:tcPr>
            <w:tcW w:w="0" w:type="auto"/>
            <w:tcBorders>
              <w:left w:val="nil"/>
              <w:bottom w:val="single" w:sz="4" w:space="0" w:color="auto"/>
              <w:right w:val="nil"/>
            </w:tcBorders>
            <w:shd w:val="clear" w:color="auto" w:fill="auto"/>
            <w:noWrap/>
            <w:vAlign w:val="center"/>
            <w:hideMark/>
          </w:tcPr>
          <w:p w14:paraId="14991CDD" w14:textId="77777777" w:rsidR="00903E3C" w:rsidRPr="0099355B" w:rsidRDefault="00903E3C" w:rsidP="0099355B">
            <w:pPr>
              <w:jc w:val="center"/>
              <w:rPr>
                <w:color w:val="000000"/>
              </w:rPr>
            </w:pPr>
            <w:r w:rsidRPr="0099355B">
              <w:rPr>
                <w:color w:val="000000"/>
              </w:rPr>
              <w:t>F (3, 327)</w:t>
            </w:r>
          </w:p>
        </w:tc>
        <w:tc>
          <w:tcPr>
            <w:tcW w:w="0" w:type="auto"/>
            <w:tcBorders>
              <w:left w:val="nil"/>
              <w:bottom w:val="single" w:sz="4" w:space="0" w:color="auto"/>
              <w:right w:val="nil"/>
            </w:tcBorders>
            <w:vAlign w:val="center"/>
          </w:tcPr>
          <w:p w14:paraId="34DFF1F6" w14:textId="24FF597B" w:rsidR="00903E3C" w:rsidRPr="0099355B" w:rsidRDefault="00903E3C" w:rsidP="0099355B">
            <w:pPr>
              <w:jc w:val="center"/>
              <w:rPr>
                <w:color w:val="000000"/>
              </w:rPr>
            </w:pPr>
            <m:oMathPara>
              <m:oMath>
                <m:r>
                  <m:rPr>
                    <m:sty m:val="p"/>
                  </m:rPr>
                  <w:rPr>
                    <w:rFonts w:ascii="Cambria Math" w:hAnsi="Cambria Math"/>
                    <w:color w:val="000000"/>
                  </w:rPr>
                  <m:t>Δ</m:t>
                </m:r>
                <m:r>
                  <w:rPr>
                    <w:rFonts w:ascii="Cambria Math" w:hAnsi="Cambria Math"/>
                    <w:color w:val="000000"/>
                  </w:rPr>
                  <m:t>AIC</m:t>
                </m:r>
                <m:r>
                  <w:rPr>
                    <w:rFonts w:ascii="Cambria Math" w:hAnsi="Cambria Math"/>
                    <w:color w:val="000000"/>
                  </w:rPr>
                  <m:t>=AI</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AM</m:t>
                    </m:r>
                  </m:sub>
                </m:sSub>
                <m:r>
                  <w:rPr>
                    <w:rFonts w:ascii="Cambria Math" w:hAnsi="Cambria Math"/>
                    <w:color w:val="000000"/>
                  </w:rPr>
                  <m:t>-AI</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MM</m:t>
                    </m:r>
                  </m:sub>
                </m:sSub>
              </m:oMath>
            </m:oMathPara>
          </w:p>
        </w:tc>
      </w:tr>
      <w:tr w:rsidR="0099355B" w:rsidRPr="0099355B" w14:paraId="65F83C1D" w14:textId="0E5239DF" w:rsidTr="0099355B">
        <w:trPr>
          <w:trHeight w:val="320"/>
          <w:jc w:val="center"/>
        </w:trPr>
        <w:tc>
          <w:tcPr>
            <w:tcW w:w="0" w:type="auto"/>
            <w:tcBorders>
              <w:top w:val="single" w:sz="4" w:space="0" w:color="auto"/>
              <w:left w:val="nil"/>
              <w:bottom w:val="nil"/>
              <w:right w:val="nil"/>
            </w:tcBorders>
            <w:shd w:val="clear" w:color="auto" w:fill="auto"/>
            <w:noWrap/>
            <w:vAlign w:val="center"/>
            <w:hideMark/>
          </w:tcPr>
          <w:p w14:paraId="61677722" w14:textId="77777777" w:rsidR="0099355B" w:rsidRPr="0099355B" w:rsidRDefault="0099355B" w:rsidP="0099355B">
            <w:pPr>
              <w:jc w:val="center"/>
              <w:rPr>
                <w:color w:val="000000"/>
              </w:rPr>
            </w:pPr>
            <w:r w:rsidRPr="0099355B">
              <w:rPr>
                <w:color w:val="000000"/>
              </w:rPr>
              <w:t>1</w:t>
            </w:r>
          </w:p>
        </w:tc>
        <w:tc>
          <w:tcPr>
            <w:tcW w:w="0" w:type="auto"/>
            <w:tcBorders>
              <w:top w:val="single" w:sz="4" w:space="0" w:color="auto"/>
              <w:left w:val="nil"/>
              <w:bottom w:val="nil"/>
              <w:right w:val="nil"/>
            </w:tcBorders>
            <w:shd w:val="clear" w:color="auto" w:fill="auto"/>
            <w:noWrap/>
            <w:vAlign w:val="center"/>
            <w:hideMark/>
          </w:tcPr>
          <w:p w14:paraId="59522D0A" w14:textId="77777777" w:rsidR="0099355B" w:rsidRPr="0099355B" w:rsidRDefault="0099355B" w:rsidP="0099355B">
            <w:pPr>
              <w:jc w:val="center"/>
              <w:rPr>
                <w:color w:val="000000"/>
              </w:rPr>
            </w:pPr>
            <w:r w:rsidRPr="0099355B">
              <w:rPr>
                <w:color w:val="000000"/>
              </w:rPr>
              <w:t>2857.17</w:t>
            </w:r>
          </w:p>
        </w:tc>
        <w:tc>
          <w:tcPr>
            <w:tcW w:w="0" w:type="auto"/>
            <w:tcBorders>
              <w:top w:val="single" w:sz="4" w:space="0" w:color="auto"/>
              <w:left w:val="nil"/>
              <w:bottom w:val="nil"/>
              <w:right w:val="nil"/>
            </w:tcBorders>
            <w:shd w:val="clear" w:color="auto" w:fill="auto"/>
            <w:noWrap/>
            <w:vAlign w:val="center"/>
            <w:hideMark/>
          </w:tcPr>
          <w:p w14:paraId="4096C2BB" w14:textId="77777777" w:rsidR="0099355B" w:rsidRPr="0099355B" w:rsidRDefault="0099355B" w:rsidP="0099355B">
            <w:pPr>
              <w:jc w:val="center"/>
              <w:rPr>
                <w:color w:val="000000"/>
              </w:rPr>
            </w:pPr>
            <w:r w:rsidRPr="0099355B">
              <w:rPr>
                <w:color w:val="000000"/>
              </w:rPr>
              <w:t>121.06</w:t>
            </w:r>
          </w:p>
        </w:tc>
        <w:tc>
          <w:tcPr>
            <w:tcW w:w="0" w:type="auto"/>
            <w:tcBorders>
              <w:top w:val="single" w:sz="4" w:space="0" w:color="auto"/>
              <w:left w:val="nil"/>
              <w:bottom w:val="nil"/>
              <w:right w:val="nil"/>
            </w:tcBorders>
            <w:shd w:val="clear" w:color="auto" w:fill="auto"/>
            <w:noWrap/>
            <w:vAlign w:val="center"/>
            <w:hideMark/>
          </w:tcPr>
          <w:p w14:paraId="72B96190" w14:textId="77777777" w:rsidR="0099355B" w:rsidRPr="0099355B" w:rsidRDefault="0099355B" w:rsidP="0099355B">
            <w:pPr>
              <w:jc w:val="center"/>
              <w:rPr>
                <w:b/>
                <w:bCs/>
                <w:color w:val="000000"/>
              </w:rPr>
            </w:pPr>
            <w:r w:rsidRPr="0099355B">
              <w:rPr>
                <w:b/>
                <w:bCs/>
                <w:color w:val="000000"/>
              </w:rPr>
              <w:t>2819.06</w:t>
            </w:r>
          </w:p>
        </w:tc>
        <w:tc>
          <w:tcPr>
            <w:tcW w:w="0" w:type="auto"/>
            <w:tcBorders>
              <w:top w:val="single" w:sz="4" w:space="0" w:color="auto"/>
              <w:left w:val="nil"/>
              <w:bottom w:val="nil"/>
              <w:right w:val="nil"/>
            </w:tcBorders>
            <w:shd w:val="clear" w:color="auto" w:fill="auto"/>
            <w:noWrap/>
            <w:vAlign w:val="center"/>
            <w:hideMark/>
          </w:tcPr>
          <w:p w14:paraId="4CE0C527" w14:textId="77777777" w:rsidR="0099355B" w:rsidRPr="0099355B" w:rsidRDefault="0099355B" w:rsidP="0099355B">
            <w:pPr>
              <w:jc w:val="center"/>
              <w:rPr>
                <w:color w:val="000000"/>
              </w:rPr>
            </w:pPr>
            <w:r w:rsidRPr="0099355B">
              <w:rPr>
                <w:color w:val="000000"/>
              </w:rPr>
              <w:t>101.49</w:t>
            </w:r>
          </w:p>
        </w:tc>
        <w:tc>
          <w:tcPr>
            <w:tcW w:w="0" w:type="auto"/>
            <w:tcBorders>
              <w:top w:val="single" w:sz="4" w:space="0" w:color="auto"/>
              <w:left w:val="nil"/>
              <w:bottom w:val="nil"/>
              <w:right w:val="nil"/>
            </w:tcBorders>
            <w:vAlign w:val="center"/>
          </w:tcPr>
          <w:p w14:paraId="0382C8C7" w14:textId="5793F44F" w:rsidR="0099355B" w:rsidRPr="0099355B" w:rsidRDefault="0099355B" w:rsidP="0099355B">
            <w:pPr>
              <w:jc w:val="center"/>
              <w:rPr>
                <w:color w:val="000000"/>
              </w:rPr>
            </w:pPr>
            <w:r w:rsidRPr="0099355B">
              <w:rPr>
                <w:color w:val="000000"/>
              </w:rPr>
              <w:t>38.11</w:t>
            </w:r>
          </w:p>
        </w:tc>
      </w:tr>
      <w:tr w:rsidR="0099355B" w:rsidRPr="0099355B" w14:paraId="07647583" w14:textId="4B5D2693" w:rsidTr="0099355B">
        <w:trPr>
          <w:trHeight w:val="320"/>
          <w:jc w:val="center"/>
        </w:trPr>
        <w:tc>
          <w:tcPr>
            <w:tcW w:w="0" w:type="auto"/>
            <w:tcBorders>
              <w:top w:val="nil"/>
              <w:left w:val="nil"/>
              <w:bottom w:val="nil"/>
              <w:right w:val="nil"/>
            </w:tcBorders>
            <w:shd w:val="clear" w:color="auto" w:fill="auto"/>
            <w:noWrap/>
            <w:vAlign w:val="center"/>
            <w:hideMark/>
          </w:tcPr>
          <w:p w14:paraId="7F27014B" w14:textId="77777777" w:rsidR="0099355B" w:rsidRPr="0099355B" w:rsidRDefault="0099355B" w:rsidP="0099355B">
            <w:pPr>
              <w:jc w:val="center"/>
              <w:rPr>
                <w:color w:val="000000"/>
              </w:rPr>
            </w:pPr>
            <w:r w:rsidRPr="0099355B">
              <w:rPr>
                <w:color w:val="000000"/>
              </w:rPr>
              <w:t>2</w:t>
            </w:r>
          </w:p>
        </w:tc>
        <w:tc>
          <w:tcPr>
            <w:tcW w:w="0" w:type="auto"/>
            <w:tcBorders>
              <w:top w:val="nil"/>
              <w:left w:val="nil"/>
              <w:bottom w:val="nil"/>
              <w:right w:val="nil"/>
            </w:tcBorders>
            <w:shd w:val="clear" w:color="auto" w:fill="auto"/>
            <w:noWrap/>
            <w:vAlign w:val="center"/>
            <w:hideMark/>
          </w:tcPr>
          <w:p w14:paraId="16699582" w14:textId="77777777" w:rsidR="0099355B" w:rsidRPr="0099355B" w:rsidRDefault="0099355B" w:rsidP="0099355B">
            <w:pPr>
              <w:jc w:val="center"/>
              <w:rPr>
                <w:color w:val="000000"/>
              </w:rPr>
            </w:pPr>
            <w:r w:rsidRPr="0099355B">
              <w:rPr>
                <w:color w:val="000000"/>
              </w:rPr>
              <w:t>2753.57</w:t>
            </w:r>
          </w:p>
        </w:tc>
        <w:tc>
          <w:tcPr>
            <w:tcW w:w="0" w:type="auto"/>
            <w:tcBorders>
              <w:top w:val="nil"/>
              <w:left w:val="nil"/>
              <w:bottom w:val="nil"/>
              <w:right w:val="nil"/>
            </w:tcBorders>
            <w:shd w:val="clear" w:color="auto" w:fill="auto"/>
            <w:noWrap/>
            <w:vAlign w:val="center"/>
            <w:hideMark/>
          </w:tcPr>
          <w:p w14:paraId="6B99480F" w14:textId="77777777" w:rsidR="0099355B" w:rsidRPr="0099355B" w:rsidRDefault="0099355B" w:rsidP="0099355B">
            <w:pPr>
              <w:jc w:val="center"/>
              <w:rPr>
                <w:color w:val="000000"/>
              </w:rPr>
            </w:pPr>
            <w:r w:rsidRPr="0099355B">
              <w:rPr>
                <w:color w:val="000000"/>
              </w:rPr>
              <w:t>184.18</w:t>
            </w:r>
          </w:p>
        </w:tc>
        <w:tc>
          <w:tcPr>
            <w:tcW w:w="0" w:type="auto"/>
            <w:tcBorders>
              <w:top w:val="nil"/>
              <w:left w:val="nil"/>
              <w:bottom w:val="nil"/>
              <w:right w:val="nil"/>
            </w:tcBorders>
            <w:shd w:val="clear" w:color="auto" w:fill="auto"/>
            <w:noWrap/>
            <w:vAlign w:val="center"/>
            <w:hideMark/>
          </w:tcPr>
          <w:p w14:paraId="726E4B40" w14:textId="77777777" w:rsidR="0099355B" w:rsidRPr="0099355B" w:rsidRDefault="0099355B" w:rsidP="0099355B">
            <w:pPr>
              <w:jc w:val="center"/>
              <w:rPr>
                <w:b/>
                <w:bCs/>
                <w:color w:val="000000"/>
              </w:rPr>
            </w:pPr>
            <w:r w:rsidRPr="0099355B">
              <w:rPr>
                <w:b/>
                <w:bCs/>
                <w:color w:val="000000"/>
              </w:rPr>
              <w:t>2723.86</w:t>
            </w:r>
          </w:p>
        </w:tc>
        <w:tc>
          <w:tcPr>
            <w:tcW w:w="0" w:type="auto"/>
            <w:tcBorders>
              <w:top w:val="nil"/>
              <w:left w:val="nil"/>
              <w:bottom w:val="nil"/>
              <w:right w:val="nil"/>
            </w:tcBorders>
            <w:shd w:val="clear" w:color="auto" w:fill="auto"/>
            <w:noWrap/>
            <w:vAlign w:val="center"/>
            <w:hideMark/>
          </w:tcPr>
          <w:p w14:paraId="0C49D45C" w14:textId="77777777" w:rsidR="0099355B" w:rsidRPr="0099355B" w:rsidRDefault="0099355B" w:rsidP="0099355B">
            <w:pPr>
              <w:jc w:val="center"/>
              <w:rPr>
                <w:color w:val="000000"/>
              </w:rPr>
            </w:pPr>
            <w:r w:rsidRPr="0099355B">
              <w:rPr>
                <w:color w:val="000000"/>
              </w:rPr>
              <w:t>150.30</w:t>
            </w:r>
          </w:p>
        </w:tc>
        <w:tc>
          <w:tcPr>
            <w:tcW w:w="0" w:type="auto"/>
            <w:tcBorders>
              <w:top w:val="nil"/>
              <w:left w:val="nil"/>
              <w:bottom w:val="nil"/>
              <w:right w:val="nil"/>
            </w:tcBorders>
            <w:vAlign w:val="center"/>
          </w:tcPr>
          <w:p w14:paraId="4F9DBCA7" w14:textId="621063D2" w:rsidR="0099355B" w:rsidRPr="0099355B" w:rsidRDefault="0099355B" w:rsidP="0099355B">
            <w:pPr>
              <w:jc w:val="center"/>
              <w:rPr>
                <w:color w:val="000000"/>
              </w:rPr>
            </w:pPr>
            <w:r w:rsidRPr="0099355B">
              <w:rPr>
                <w:color w:val="000000"/>
              </w:rPr>
              <w:t>29.71</w:t>
            </w:r>
          </w:p>
        </w:tc>
      </w:tr>
      <w:tr w:rsidR="0099355B" w:rsidRPr="0099355B" w14:paraId="388A673B" w14:textId="715B380B" w:rsidTr="0099355B">
        <w:trPr>
          <w:trHeight w:val="320"/>
          <w:jc w:val="center"/>
        </w:trPr>
        <w:tc>
          <w:tcPr>
            <w:tcW w:w="0" w:type="auto"/>
            <w:tcBorders>
              <w:top w:val="nil"/>
              <w:left w:val="nil"/>
              <w:bottom w:val="nil"/>
              <w:right w:val="nil"/>
            </w:tcBorders>
            <w:shd w:val="clear" w:color="auto" w:fill="auto"/>
            <w:noWrap/>
            <w:vAlign w:val="center"/>
            <w:hideMark/>
          </w:tcPr>
          <w:p w14:paraId="33FCDCE3" w14:textId="77777777" w:rsidR="0099355B" w:rsidRPr="0099355B" w:rsidRDefault="0099355B" w:rsidP="0099355B">
            <w:pPr>
              <w:jc w:val="center"/>
              <w:rPr>
                <w:color w:val="000000"/>
              </w:rPr>
            </w:pPr>
            <w:r w:rsidRPr="0099355B">
              <w:rPr>
                <w:color w:val="000000"/>
              </w:rPr>
              <w:t>3</w:t>
            </w:r>
          </w:p>
        </w:tc>
        <w:tc>
          <w:tcPr>
            <w:tcW w:w="0" w:type="auto"/>
            <w:tcBorders>
              <w:top w:val="nil"/>
              <w:left w:val="nil"/>
              <w:bottom w:val="nil"/>
              <w:right w:val="nil"/>
            </w:tcBorders>
            <w:shd w:val="clear" w:color="auto" w:fill="auto"/>
            <w:noWrap/>
            <w:vAlign w:val="center"/>
            <w:hideMark/>
          </w:tcPr>
          <w:p w14:paraId="06B2B015" w14:textId="77777777" w:rsidR="0099355B" w:rsidRPr="0099355B" w:rsidRDefault="0099355B" w:rsidP="0099355B">
            <w:pPr>
              <w:jc w:val="center"/>
              <w:rPr>
                <w:color w:val="000000"/>
              </w:rPr>
            </w:pPr>
            <w:r w:rsidRPr="0099355B">
              <w:rPr>
                <w:color w:val="000000"/>
              </w:rPr>
              <w:t>3022.23</w:t>
            </w:r>
          </w:p>
        </w:tc>
        <w:tc>
          <w:tcPr>
            <w:tcW w:w="0" w:type="auto"/>
            <w:tcBorders>
              <w:top w:val="nil"/>
              <w:left w:val="nil"/>
              <w:bottom w:val="nil"/>
              <w:right w:val="nil"/>
            </w:tcBorders>
            <w:shd w:val="clear" w:color="auto" w:fill="auto"/>
            <w:noWrap/>
            <w:vAlign w:val="center"/>
            <w:hideMark/>
          </w:tcPr>
          <w:p w14:paraId="1019D146" w14:textId="77777777" w:rsidR="0099355B" w:rsidRPr="0099355B" w:rsidRDefault="0099355B" w:rsidP="0099355B">
            <w:pPr>
              <w:jc w:val="center"/>
              <w:rPr>
                <w:color w:val="000000"/>
              </w:rPr>
            </w:pPr>
            <w:r w:rsidRPr="0099355B">
              <w:rPr>
                <w:color w:val="000000"/>
              </w:rPr>
              <w:t>46.89</w:t>
            </w:r>
          </w:p>
        </w:tc>
        <w:tc>
          <w:tcPr>
            <w:tcW w:w="0" w:type="auto"/>
            <w:tcBorders>
              <w:top w:val="nil"/>
              <w:left w:val="nil"/>
              <w:bottom w:val="nil"/>
              <w:right w:val="nil"/>
            </w:tcBorders>
            <w:shd w:val="clear" w:color="auto" w:fill="auto"/>
            <w:noWrap/>
            <w:vAlign w:val="center"/>
            <w:hideMark/>
          </w:tcPr>
          <w:p w14:paraId="497E3462" w14:textId="77777777" w:rsidR="0099355B" w:rsidRPr="0099355B" w:rsidRDefault="0099355B" w:rsidP="0099355B">
            <w:pPr>
              <w:jc w:val="center"/>
              <w:rPr>
                <w:b/>
                <w:bCs/>
                <w:color w:val="000000"/>
              </w:rPr>
            </w:pPr>
            <w:r w:rsidRPr="0099355B">
              <w:rPr>
                <w:b/>
                <w:bCs/>
                <w:color w:val="000000"/>
              </w:rPr>
              <w:t>2943.72</w:t>
            </w:r>
          </w:p>
        </w:tc>
        <w:tc>
          <w:tcPr>
            <w:tcW w:w="0" w:type="auto"/>
            <w:tcBorders>
              <w:top w:val="nil"/>
              <w:left w:val="nil"/>
              <w:bottom w:val="nil"/>
              <w:right w:val="nil"/>
            </w:tcBorders>
            <w:shd w:val="clear" w:color="auto" w:fill="auto"/>
            <w:noWrap/>
            <w:vAlign w:val="center"/>
            <w:hideMark/>
          </w:tcPr>
          <w:p w14:paraId="09AC7829" w14:textId="77777777" w:rsidR="0099355B" w:rsidRPr="0099355B" w:rsidRDefault="0099355B" w:rsidP="0099355B">
            <w:pPr>
              <w:jc w:val="center"/>
              <w:rPr>
                <w:color w:val="000000"/>
              </w:rPr>
            </w:pPr>
            <w:r w:rsidRPr="0099355B">
              <w:rPr>
                <w:color w:val="000000"/>
              </w:rPr>
              <w:t>43.33</w:t>
            </w:r>
          </w:p>
        </w:tc>
        <w:tc>
          <w:tcPr>
            <w:tcW w:w="0" w:type="auto"/>
            <w:tcBorders>
              <w:top w:val="nil"/>
              <w:left w:val="nil"/>
              <w:bottom w:val="nil"/>
              <w:right w:val="nil"/>
            </w:tcBorders>
            <w:vAlign w:val="center"/>
          </w:tcPr>
          <w:p w14:paraId="5381F4FB" w14:textId="29D2696D" w:rsidR="0099355B" w:rsidRPr="0099355B" w:rsidRDefault="0099355B" w:rsidP="0099355B">
            <w:pPr>
              <w:jc w:val="center"/>
              <w:rPr>
                <w:color w:val="000000"/>
              </w:rPr>
            </w:pPr>
            <w:r w:rsidRPr="0099355B">
              <w:rPr>
                <w:color w:val="000000"/>
              </w:rPr>
              <w:t>78.51</w:t>
            </w:r>
          </w:p>
        </w:tc>
      </w:tr>
      <w:tr w:rsidR="0099355B" w:rsidRPr="0099355B" w14:paraId="1A1C9EAF" w14:textId="3BA02C1B" w:rsidTr="0099355B">
        <w:trPr>
          <w:trHeight w:val="320"/>
          <w:jc w:val="center"/>
        </w:trPr>
        <w:tc>
          <w:tcPr>
            <w:tcW w:w="0" w:type="auto"/>
            <w:tcBorders>
              <w:top w:val="nil"/>
              <w:left w:val="nil"/>
              <w:bottom w:val="nil"/>
              <w:right w:val="nil"/>
            </w:tcBorders>
            <w:shd w:val="clear" w:color="auto" w:fill="auto"/>
            <w:noWrap/>
            <w:vAlign w:val="center"/>
            <w:hideMark/>
          </w:tcPr>
          <w:p w14:paraId="30A70DF6" w14:textId="77777777" w:rsidR="0099355B" w:rsidRPr="0099355B" w:rsidRDefault="0099355B" w:rsidP="0099355B">
            <w:pPr>
              <w:jc w:val="center"/>
              <w:rPr>
                <w:color w:val="000000"/>
              </w:rPr>
            </w:pPr>
            <w:r w:rsidRPr="0099355B">
              <w:rPr>
                <w:color w:val="000000"/>
              </w:rPr>
              <w:t>4</w:t>
            </w:r>
          </w:p>
        </w:tc>
        <w:tc>
          <w:tcPr>
            <w:tcW w:w="0" w:type="auto"/>
            <w:tcBorders>
              <w:top w:val="nil"/>
              <w:left w:val="nil"/>
              <w:bottom w:val="nil"/>
              <w:right w:val="nil"/>
            </w:tcBorders>
            <w:shd w:val="clear" w:color="auto" w:fill="auto"/>
            <w:noWrap/>
            <w:vAlign w:val="center"/>
            <w:hideMark/>
          </w:tcPr>
          <w:p w14:paraId="13CF73CE" w14:textId="77777777" w:rsidR="0099355B" w:rsidRPr="0099355B" w:rsidRDefault="0099355B" w:rsidP="0099355B">
            <w:pPr>
              <w:jc w:val="center"/>
              <w:rPr>
                <w:color w:val="000000"/>
              </w:rPr>
            </w:pPr>
            <w:r w:rsidRPr="0099355B">
              <w:rPr>
                <w:color w:val="000000"/>
              </w:rPr>
              <w:t>2769.17</w:t>
            </w:r>
          </w:p>
        </w:tc>
        <w:tc>
          <w:tcPr>
            <w:tcW w:w="0" w:type="auto"/>
            <w:tcBorders>
              <w:top w:val="nil"/>
              <w:left w:val="nil"/>
              <w:bottom w:val="nil"/>
              <w:right w:val="nil"/>
            </w:tcBorders>
            <w:shd w:val="clear" w:color="auto" w:fill="auto"/>
            <w:noWrap/>
            <w:vAlign w:val="center"/>
            <w:hideMark/>
          </w:tcPr>
          <w:p w14:paraId="189A6CB9" w14:textId="77777777" w:rsidR="0099355B" w:rsidRPr="0099355B" w:rsidRDefault="0099355B" w:rsidP="0099355B">
            <w:pPr>
              <w:jc w:val="center"/>
              <w:rPr>
                <w:color w:val="000000"/>
              </w:rPr>
            </w:pPr>
            <w:r w:rsidRPr="0099355B">
              <w:rPr>
                <w:color w:val="000000"/>
              </w:rPr>
              <w:t>162.65</w:t>
            </w:r>
          </w:p>
        </w:tc>
        <w:tc>
          <w:tcPr>
            <w:tcW w:w="0" w:type="auto"/>
            <w:tcBorders>
              <w:top w:val="nil"/>
              <w:left w:val="nil"/>
              <w:bottom w:val="nil"/>
              <w:right w:val="nil"/>
            </w:tcBorders>
            <w:shd w:val="clear" w:color="auto" w:fill="auto"/>
            <w:noWrap/>
            <w:vAlign w:val="center"/>
            <w:hideMark/>
          </w:tcPr>
          <w:p w14:paraId="7749A23C" w14:textId="77777777" w:rsidR="0099355B" w:rsidRPr="0099355B" w:rsidRDefault="0099355B" w:rsidP="0099355B">
            <w:pPr>
              <w:jc w:val="center"/>
              <w:rPr>
                <w:b/>
                <w:bCs/>
                <w:color w:val="000000"/>
              </w:rPr>
            </w:pPr>
            <w:r w:rsidRPr="0099355B">
              <w:rPr>
                <w:b/>
                <w:bCs/>
                <w:color w:val="000000"/>
              </w:rPr>
              <w:t>2679.11</w:t>
            </w:r>
          </w:p>
        </w:tc>
        <w:tc>
          <w:tcPr>
            <w:tcW w:w="0" w:type="auto"/>
            <w:tcBorders>
              <w:top w:val="nil"/>
              <w:left w:val="nil"/>
              <w:bottom w:val="nil"/>
              <w:right w:val="nil"/>
            </w:tcBorders>
            <w:shd w:val="clear" w:color="auto" w:fill="auto"/>
            <w:noWrap/>
            <w:vAlign w:val="center"/>
            <w:hideMark/>
          </w:tcPr>
          <w:p w14:paraId="5EE1DE5E" w14:textId="77777777" w:rsidR="0099355B" w:rsidRPr="0099355B" w:rsidRDefault="0099355B" w:rsidP="0099355B">
            <w:pPr>
              <w:jc w:val="center"/>
              <w:rPr>
                <w:color w:val="000000"/>
              </w:rPr>
            </w:pPr>
            <w:r w:rsidRPr="0099355B">
              <w:rPr>
                <w:color w:val="000000"/>
              </w:rPr>
              <w:t>157.48</w:t>
            </w:r>
          </w:p>
        </w:tc>
        <w:tc>
          <w:tcPr>
            <w:tcW w:w="0" w:type="auto"/>
            <w:tcBorders>
              <w:top w:val="nil"/>
              <w:left w:val="nil"/>
              <w:bottom w:val="nil"/>
              <w:right w:val="nil"/>
            </w:tcBorders>
            <w:vAlign w:val="center"/>
          </w:tcPr>
          <w:p w14:paraId="0AC8E95E" w14:textId="082330ED" w:rsidR="0099355B" w:rsidRPr="0099355B" w:rsidRDefault="0099355B" w:rsidP="0099355B">
            <w:pPr>
              <w:jc w:val="center"/>
              <w:rPr>
                <w:color w:val="000000"/>
              </w:rPr>
            </w:pPr>
            <w:r w:rsidRPr="0099355B">
              <w:rPr>
                <w:color w:val="000000"/>
              </w:rPr>
              <w:t>90.06</w:t>
            </w:r>
          </w:p>
        </w:tc>
      </w:tr>
      <w:tr w:rsidR="0099355B" w:rsidRPr="0099355B" w14:paraId="40534FDF" w14:textId="58AD81A8" w:rsidTr="0099355B">
        <w:trPr>
          <w:trHeight w:val="320"/>
          <w:jc w:val="center"/>
        </w:trPr>
        <w:tc>
          <w:tcPr>
            <w:tcW w:w="0" w:type="auto"/>
            <w:tcBorders>
              <w:top w:val="nil"/>
              <w:left w:val="nil"/>
              <w:bottom w:val="nil"/>
              <w:right w:val="nil"/>
            </w:tcBorders>
            <w:shd w:val="clear" w:color="auto" w:fill="auto"/>
            <w:noWrap/>
            <w:vAlign w:val="center"/>
            <w:hideMark/>
          </w:tcPr>
          <w:p w14:paraId="57004D94" w14:textId="77777777" w:rsidR="0099355B" w:rsidRPr="0099355B" w:rsidRDefault="0099355B" w:rsidP="0099355B">
            <w:pPr>
              <w:jc w:val="center"/>
              <w:rPr>
                <w:color w:val="000000"/>
              </w:rPr>
            </w:pPr>
            <w:r w:rsidRPr="0099355B">
              <w:rPr>
                <w:color w:val="000000"/>
              </w:rPr>
              <w:t>5</w:t>
            </w:r>
          </w:p>
        </w:tc>
        <w:tc>
          <w:tcPr>
            <w:tcW w:w="0" w:type="auto"/>
            <w:tcBorders>
              <w:top w:val="nil"/>
              <w:left w:val="nil"/>
              <w:bottom w:val="nil"/>
              <w:right w:val="nil"/>
            </w:tcBorders>
            <w:shd w:val="clear" w:color="auto" w:fill="auto"/>
            <w:noWrap/>
            <w:vAlign w:val="center"/>
            <w:hideMark/>
          </w:tcPr>
          <w:p w14:paraId="41AD14D6" w14:textId="77777777" w:rsidR="0099355B" w:rsidRPr="0099355B" w:rsidRDefault="0099355B" w:rsidP="0099355B">
            <w:pPr>
              <w:jc w:val="center"/>
              <w:rPr>
                <w:color w:val="000000"/>
              </w:rPr>
            </w:pPr>
            <w:r w:rsidRPr="0099355B">
              <w:rPr>
                <w:color w:val="000000"/>
              </w:rPr>
              <w:t>3001.44</w:t>
            </w:r>
          </w:p>
        </w:tc>
        <w:tc>
          <w:tcPr>
            <w:tcW w:w="0" w:type="auto"/>
            <w:tcBorders>
              <w:top w:val="nil"/>
              <w:left w:val="nil"/>
              <w:bottom w:val="nil"/>
              <w:right w:val="nil"/>
            </w:tcBorders>
            <w:shd w:val="clear" w:color="auto" w:fill="auto"/>
            <w:noWrap/>
            <w:vAlign w:val="center"/>
            <w:hideMark/>
          </w:tcPr>
          <w:p w14:paraId="28052910" w14:textId="77777777" w:rsidR="0099355B" w:rsidRPr="0099355B" w:rsidRDefault="0099355B" w:rsidP="0099355B">
            <w:pPr>
              <w:jc w:val="center"/>
              <w:rPr>
                <w:color w:val="000000"/>
              </w:rPr>
            </w:pPr>
            <w:r w:rsidRPr="0099355B">
              <w:rPr>
                <w:color w:val="000000"/>
              </w:rPr>
              <w:t>52.06</w:t>
            </w:r>
          </w:p>
        </w:tc>
        <w:tc>
          <w:tcPr>
            <w:tcW w:w="0" w:type="auto"/>
            <w:tcBorders>
              <w:top w:val="nil"/>
              <w:left w:val="nil"/>
              <w:bottom w:val="nil"/>
              <w:right w:val="nil"/>
            </w:tcBorders>
            <w:shd w:val="clear" w:color="auto" w:fill="auto"/>
            <w:noWrap/>
            <w:vAlign w:val="center"/>
            <w:hideMark/>
          </w:tcPr>
          <w:p w14:paraId="6905240D" w14:textId="77777777" w:rsidR="0099355B" w:rsidRPr="0099355B" w:rsidRDefault="0099355B" w:rsidP="0099355B">
            <w:pPr>
              <w:jc w:val="center"/>
              <w:rPr>
                <w:b/>
                <w:bCs/>
                <w:color w:val="000000"/>
              </w:rPr>
            </w:pPr>
            <w:r w:rsidRPr="0099355B">
              <w:rPr>
                <w:b/>
                <w:bCs/>
                <w:color w:val="000000"/>
              </w:rPr>
              <w:t>2945.05</w:t>
            </w:r>
          </w:p>
        </w:tc>
        <w:tc>
          <w:tcPr>
            <w:tcW w:w="0" w:type="auto"/>
            <w:tcBorders>
              <w:top w:val="nil"/>
              <w:left w:val="nil"/>
              <w:bottom w:val="nil"/>
              <w:right w:val="nil"/>
            </w:tcBorders>
            <w:shd w:val="clear" w:color="auto" w:fill="auto"/>
            <w:noWrap/>
            <w:vAlign w:val="center"/>
            <w:hideMark/>
          </w:tcPr>
          <w:p w14:paraId="0544ED61" w14:textId="77777777" w:rsidR="0099355B" w:rsidRPr="0099355B" w:rsidRDefault="0099355B" w:rsidP="0099355B">
            <w:pPr>
              <w:jc w:val="center"/>
              <w:rPr>
                <w:color w:val="000000"/>
              </w:rPr>
            </w:pPr>
            <w:r w:rsidRPr="0099355B">
              <w:rPr>
                <w:color w:val="000000"/>
              </w:rPr>
              <w:t>39.62</w:t>
            </w:r>
          </w:p>
        </w:tc>
        <w:tc>
          <w:tcPr>
            <w:tcW w:w="0" w:type="auto"/>
            <w:tcBorders>
              <w:top w:val="nil"/>
              <w:left w:val="nil"/>
              <w:bottom w:val="nil"/>
              <w:right w:val="nil"/>
            </w:tcBorders>
            <w:vAlign w:val="center"/>
          </w:tcPr>
          <w:p w14:paraId="1353E0F3" w14:textId="49189BA9" w:rsidR="0099355B" w:rsidRPr="0099355B" w:rsidRDefault="0099355B" w:rsidP="0099355B">
            <w:pPr>
              <w:jc w:val="center"/>
              <w:rPr>
                <w:color w:val="000000"/>
              </w:rPr>
            </w:pPr>
            <w:r w:rsidRPr="0099355B">
              <w:rPr>
                <w:color w:val="000000"/>
              </w:rPr>
              <w:t>56.39</w:t>
            </w:r>
          </w:p>
        </w:tc>
      </w:tr>
      <w:tr w:rsidR="0099355B" w:rsidRPr="0099355B" w14:paraId="055E6AF2" w14:textId="13E998BB" w:rsidTr="0099355B">
        <w:trPr>
          <w:trHeight w:val="320"/>
          <w:jc w:val="center"/>
        </w:trPr>
        <w:tc>
          <w:tcPr>
            <w:tcW w:w="0" w:type="auto"/>
            <w:tcBorders>
              <w:top w:val="nil"/>
              <w:left w:val="nil"/>
              <w:bottom w:val="nil"/>
              <w:right w:val="nil"/>
            </w:tcBorders>
            <w:shd w:val="clear" w:color="auto" w:fill="auto"/>
            <w:noWrap/>
            <w:vAlign w:val="center"/>
            <w:hideMark/>
          </w:tcPr>
          <w:p w14:paraId="572BE93D" w14:textId="77777777" w:rsidR="0099355B" w:rsidRPr="0099355B" w:rsidRDefault="0099355B" w:rsidP="0099355B">
            <w:pPr>
              <w:jc w:val="center"/>
              <w:rPr>
                <w:color w:val="000000"/>
              </w:rPr>
            </w:pPr>
            <w:r w:rsidRPr="0099355B">
              <w:rPr>
                <w:color w:val="000000"/>
              </w:rPr>
              <w:t>6</w:t>
            </w:r>
          </w:p>
        </w:tc>
        <w:tc>
          <w:tcPr>
            <w:tcW w:w="0" w:type="auto"/>
            <w:tcBorders>
              <w:top w:val="nil"/>
              <w:left w:val="nil"/>
              <w:bottom w:val="nil"/>
              <w:right w:val="nil"/>
            </w:tcBorders>
            <w:shd w:val="clear" w:color="auto" w:fill="auto"/>
            <w:noWrap/>
            <w:vAlign w:val="center"/>
            <w:hideMark/>
          </w:tcPr>
          <w:p w14:paraId="4A9FB116" w14:textId="77777777" w:rsidR="0099355B" w:rsidRPr="0099355B" w:rsidRDefault="0099355B" w:rsidP="0099355B">
            <w:pPr>
              <w:jc w:val="center"/>
              <w:rPr>
                <w:color w:val="000000"/>
              </w:rPr>
            </w:pPr>
            <w:r w:rsidRPr="0099355B">
              <w:rPr>
                <w:color w:val="000000"/>
              </w:rPr>
              <w:t>2841.80</w:t>
            </w:r>
          </w:p>
        </w:tc>
        <w:tc>
          <w:tcPr>
            <w:tcW w:w="0" w:type="auto"/>
            <w:tcBorders>
              <w:top w:val="nil"/>
              <w:left w:val="nil"/>
              <w:bottom w:val="nil"/>
              <w:right w:val="nil"/>
            </w:tcBorders>
            <w:shd w:val="clear" w:color="auto" w:fill="auto"/>
            <w:noWrap/>
            <w:vAlign w:val="center"/>
            <w:hideMark/>
          </w:tcPr>
          <w:p w14:paraId="6B59705B" w14:textId="77777777" w:rsidR="0099355B" w:rsidRPr="0099355B" w:rsidRDefault="0099355B" w:rsidP="0099355B">
            <w:pPr>
              <w:jc w:val="center"/>
              <w:rPr>
                <w:color w:val="000000"/>
              </w:rPr>
            </w:pPr>
            <w:r w:rsidRPr="0099355B">
              <w:rPr>
                <w:color w:val="000000"/>
              </w:rPr>
              <w:t>118.05</w:t>
            </w:r>
          </w:p>
        </w:tc>
        <w:tc>
          <w:tcPr>
            <w:tcW w:w="0" w:type="auto"/>
            <w:tcBorders>
              <w:top w:val="nil"/>
              <w:left w:val="nil"/>
              <w:bottom w:val="nil"/>
              <w:right w:val="nil"/>
            </w:tcBorders>
            <w:shd w:val="clear" w:color="auto" w:fill="auto"/>
            <w:noWrap/>
            <w:vAlign w:val="center"/>
            <w:hideMark/>
          </w:tcPr>
          <w:p w14:paraId="61384B51" w14:textId="77777777" w:rsidR="0099355B" w:rsidRPr="0099355B" w:rsidRDefault="0099355B" w:rsidP="0099355B">
            <w:pPr>
              <w:jc w:val="center"/>
              <w:rPr>
                <w:b/>
                <w:bCs/>
                <w:color w:val="000000"/>
              </w:rPr>
            </w:pPr>
            <w:r w:rsidRPr="0099355B">
              <w:rPr>
                <w:b/>
                <w:bCs/>
                <w:color w:val="000000"/>
              </w:rPr>
              <w:t>2831.46</w:t>
            </w:r>
          </w:p>
        </w:tc>
        <w:tc>
          <w:tcPr>
            <w:tcW w:w="0" w:type="auto"/>
            <w:tcBorders>
              <w:top w:val="nil"/>
              <w:left w:val="nil"/>
              <w:bottom w:val="nil"/>
              <w:right w:val="nil"/>
            </w:tcBorders>
            <w:shd w:val="clear" w:color="auto" w:fill="auto"/>
            <w:noWrap/>
            <w:vAlign w:val="center"/>
            <w:hideMark/>
          </w:tcPr>
          <w:p w14:paraId="47AE50CC" w14:textId="77777777" w:rsidR="0099355B" w:rsidRPr="0099355B" w:rsidRDefault="0099355B" w:rsidP="0099355B">
            <w:pPr>
              <w:jc w:val="center"/>
              <w:rPr>
                <w:color w:val="000000"/>
              </w:rPr>
            </w:pPr>
            <w:r w:rsidRPr="0099355B">
              <w:rPr>
                <w:color w:val="000000"/>
              </w:rPr>
              <w:t>89.16</w:t>
            </w:r>
          </w:p>
        </w:tc>
        <w:tc>
          <w:tcPr>
            <w:tcW w:w="0" w:type="auto"/>
            <w:tcBorders>
              <w:top w:val="nil"/>
              <w:left w:val="nil"/>
              <w:bottom w:val="nil"/>
              <w:right w:val="nil"/>
            </w:tcBorders>
            <w:vAlign w:val="center"/>
          </w:tcPr>
          <w:p w14:paraId="0394F83B" w14:textId="501878A3" w:rsidR="0099355B" w:rsidRPr="0099355B" w:rsidRDefault="0099355B" w:rsidP="0099355B">
            <w:pPr>
              <w:jc w:val="center"/>
              <w:rPr>
                <w:color w:val="000000"/>
              </w:rPr>
            </w:pPr>
            <w:r w:rsidRPr="0099355B">
              <w:rPr>
                <w:color w:val="000000"/>
              </w:rPr>
              <w:t>10.34</w:t>
            </w:r>
          </w:p>
        </w:tc>
      </w:tr>
      <w:tr w:rsidR="0099355B" w:rsidRPr="0099355B" w14:paraId="5C9B2FEA" w14:textId="0503AF0D" w:rsidTr="0099355B">
        <w:trPr>
          <w:trHeight w:val="320"/>
          <w:jc w:val="center"/>
        </w:trPr>
        <w:tc>
          <w:tcPr>
            <w:tcW w:w="0" w:type="auto"/>
            <w:tcBorders>
              <w:top w:val="nil"/>
              <w:left w:val="nil"/>
              <w:bottom w:val="nil"/>
              <w:right w:val="nil"/>
            </w:tcBorders>
            <w:shd w:val="clear" w:color="auto" w:fill="auto"/>
            <w:noWrap/>
            <w:vAlign w:val="center"/>
            <w:hideMark/>
          </w:tcPr>
          <w:p w14:paraId="1239684F" w14:textId="77777777" w:rsidR="0099355B" w:rsidRPr="0099355B" w:rsidRDefault="0099355B" w:rsidP="0099355B">
            <w:pPr>
              <w:jc w:val="center"/>
              <w:rPr>
                <w:color w:val="000000"/>
              </w:rPr>
            </w:pPr>
            <w:r w:rsidRPr="0099355B">
              <w:rPr>
                <w:color w:val="000000"/>
              </w:rPr>
              <w:t>7</w:t>
            </w:r>
          </w:p>
        </w:tc>
        <w:tc>
          <w:tcPr>
            <w:tcW w:w="0" w:type="auto"/>
            <w:tcBorders>
              <w:top w:val="nil"/>
              <w:left w:val="nil"/>
              <w:bottom w:val="nil"/>
              <w:right w:val="nil"/>
            </w:tcBorders>
            <w:shd w:val="clear" w:color="auto" w:fill="auto"/>
            <w:noWrap/>
            <w:vAlign w:val="center"/>
            <w:hideMark/>
          </w:tcPr>
          <w:p w14:paraId="3F63607D" w14:textId="77777777" w:rsidR="0099355B" w:rsidRPr="0099355B" w:rsidRDefault="0099355B" w:rsidP="0099355B">
            <w:pPr>
              <w:jc w:val="center"/>
              <w:rPr>
                <w:color w:val="000000"/>
              </w:rPr>
            </w:pPr>
            <w:r w:rsidRPr="0099355B">
              <w:rPr>
                <w:color w:val="000000"/>
              </w:rPr>
              <w:t>2870.20</w:t>
            </w:r>
          </w:p>
        </w:tc>
        <w:tc>
          <w:tcPr>
            <w:tcW w:w="0" w:type="auto"/>
            <w:tcBorders>
              <w:top w:val="nil"/>
              <w:left w:val="nil"/>
              <w:bottom w:val="nil"/>
              <w:right w:val="nil"/>
            </w:tcBorders>
            <w:shd w:val="clear" w:color="auto" w:fill="auto"/>
            <w:noWrap/>
            <w:vAlign w:val="center"/>
            <w:hideMark/>
          </w:tcPr>
          <w:p w14:paraId="62796151" w14:textId="77777777" w:rsidR="0099355B" w:rsidRPr="0099355B" w:rsidRDefault="0099355B" w:rsidP="0099355B">
            <w:pPr>
              <w:jc w:val="center"/>
              <w:rPr>
                <w:color w:val="000000"/>
              </w:rPr>
            </w:pPr>
            <w:r w:rsidRPr="0099355B">
              <w:rPr>
                <w:color w:val="000000"/>
              </w:rPr>
              <w:t>111.44</w:t>
            </w:r>
          </w:p>
        </w:tc>
        <w:tc>
          <w:tcPr>
            <w:tcW w:w="0" w:type="auto"/>
            <w:tcBorders>
              <w:top w:val="nil"/>
              <w:left w:val="nil"/>
              <w:bottom w:val="nil"/>
              <w:right w:val="nil"/>
            </w:tcBorders>
            <w:shd w:val="clear" w:color="auto" w:fill="auto"/>
            <w:noWrap/>
            <w:vAlign w:val="center"/>
            <w:hideMark/>
          </w:tcPr>
          <w:p w14:paraId="65974C52" w14:textId="77777777" w:rsidR="0099355B" w:rsidRPr="0099355B" w:rsidRDefault="0099355B" w:rsidP="0099355B">
            <w:pPr>
              <w:jc w:val="center"/>
              <w:rPr>
                <w:b/>
                <w:bCs/>
                <w:color w:val="000000"/>
              </w:rPr>
            </w:pPr>
            <w:r w:rsidRPr="0099355B">
              <w:rPr>
                <w:b/>
                <w:bCs/>
                <w:color w:val="000000"/>
              </w:rPr>
              <w:t>2849.58</w:t>
            </w:r>
          </w:p>
        </w:tc>
        <w:tc>
          <w:tcPr>
            <w:tcW w:w="0" w:type="auto"/>
            <w:tcBorders>
              <w:top w:val="nil"/>
              <w:left w:val="nil"/>
              <w:bottom w:val="nil"/>
              <w:right w:val="nil"/>
            </w:tcBorders>
            <w:shd w:val="clear" w:color="auto" w:fill="auto"/>
            <w:noWrap/>
            <w:vAlign w:val="center"/>
            <w:hideMark/>
          </w:tcPr>
          <w:p w14:paraId="7857D534" w14:textId="77777777" w:rsidR="0099355B" w:rsidRPr="0099355B" w:rsidRDefault="0099355B" w:rsidP="0099355B">
            <w:pPr>
              <w:jc w:val="center"/>
              <w:rPr>
                <w:color w:val="000000"/>
              </w:rPr>
            </w:pPr>
            <w:r w:rsidRPr="0099355B">
              <w:rPr>
                <w:color w:val="000000"/>
              </w:rPr>
              <w:t>85.15</w:t>
            </w:r>
          </w:p>
        </w:tc>
        <w:tc>
          <w:tcPr>
            <w:tcW w:w="0" w:type="auto"/>
            <w:tcBorders>
              <w:top w:val="nil"/>
              <w:left w:val="nil"/>
              <w:bottom w:val="nil"/>
              <w:right w:val="nil"/>
            </w:tcBorders>
            <w:vAlign w:val="center"/>
          </w:tcPr>
          <w:p w14:paraId="795F415D" w14:textId="55D8E1AD" w:rsidR="0099355B" w:rsidRPr="0099355B" w:rsidRDefault="0099355B" w:rsidP="0099355B">
            <w:pPr>
              <w:jc w:val="center"/>
              <w:rPr>
                <w:color w:val="000000"/>
              </w:rPr>
            </w:pPr>
            <w:r w:rsidRPr="0099355B">
              <w:rPr>
                <w:color w:val="000000"/>
              </w:rPr>
              <w:t>20.62</w:t>
            </w:r>
          </w:p>
        </w:tc>
      </w:tr>
      <w:tr w:rsidR="0099355B" w:rsidRPr="0099355B" w14:paraId="577B0E2B" w14:textId="565B7D1A" w:rsidTr="0099355B">
        <w:trPr>
          <w:trHeight w:val="320"/>
          <w:jc w:val="center"/>
        </w:trPr>
        <w:tc>
          <w:tcPr>
            <w:tcW w:w="0" w:type="auto"/>
            <w:tcBorders>
              <w:top w:val="nil"/>
              <w:left w:val="nil"/>
              <w:right w:val="nil"/>
            </w:tcBorders>
            <w:shd w:val="clear" w:color="auto" w:fill="auto"/>
            <w:noWrap/>
            <w:vAlign w:val="center"/>
            <w:hideMark/>
          </w:tcPr>
          <w:p w14:paraId="4889FFF2" w14:textId="77777777" w:rsidR="0099355B" w:rsidRPr="0099355B" w:rsidRDefault="0099355B" w:rsidP="0099355B">
            <w:pPr>
              <w:jc w:val="center"/>
              <w:rPr>
                <w:color w:val="000000"/>
              </w:rPr>
            </w:pPr>
            <w:r w:rsidRPr="0099355B">
              <w:rPr>
                <w:color w:val="000000"/>
              </w:rPr>
              <w:t>8</w:t>
            </w:r>
          </w:p>
        </w:tc>
        <w:tc>
          <w:tcPr>
            <w:tcW w:w="0" w:type="auto"/>
            <w:tcBorders>
              <w:top w:val="nil"/>
              <w:left w:val="nil"/>
              <w:right w:val="nil"/>
            </w:tcBorders>
            <w:shd w:val="clear" w:color="auto" w:fill="auto"/>
            <w:noWrap/>
            <w:vAlign w:val="center"/>
            <w:hideMark/>
          </w:tcPr>
          <w:p w14:paraId="712CBBE1" w14:textId="77777777" w:rsidR="0099355B" w:rsidRPr="0099355B" w:rsidRDefault="0099355B" w:rsidP="0099355B">
            <w:pPr>
              <w:jc w:val="center"/>
              <w:rPr>
                <w:color w:val="000000"/>
              </w:rPr>
            </w:pPr>
            <w:r w:rsidRPr="0099355B">
              <w:rPr>
                <w:color w:val="000000"/>
              </w:rPr>
              <w:t>3035.88</w:t>
            </w:r>
          </w:p>
        </w:tc>
        <w:tc>
          <w:tcPr>
            <w:tcW w:w="0" w:type="auto"/>
            <w:tcBorders>
              <w:top w:val="nil"/>
              <w:left w:val="nil"/>
              <w:right w:val="nil"/>
            </w:tcBorders>
            <w:shd w:val="clear" w:color="auto" w:fill="auto"/>
            <w:noWrap/>
            <w:vAlign w:val="center"/>
            <w:hideMark/>
          </w:tcPr>
          <w:p w14:paraId="5C30A631" w14:textId="77777777" w:rsidR="0099355B" w:rsidRPr="0099355B" w:rsidRDefault="0099355B" w:rsidP="0099355B">
            <w:pPr>
              <w:jc w:val="center"/>
              <w:rPr>
                <w:color w:val="000000"/>
              </w:rPr>
            </w:pPr>
            <w:r w:rsidRPr="0099355B">
              <w:rPr>
                <w:color w:val="000000"/>
              </w:rPr>
              <w:t>49.42</w:t>
            </w:r>
          </w:p>
        </w:tc>
        <w:tc>
          <w:tcPr>
            <w:tcW w:w="0" w:type="auto"/>
            <w:tcBorders>
              <w:top w:val="nil"/>
              <w:left w:val="nil"/>
              <w:right w:val="nil"/>
            </w:tcBorders>
            <w:shd w:val="clear" w:color="auto" w:fill="auto"/>
            <w:noWrap/>
            <w:vAlign w:val="center"/>
            <w:hideMark/>
          </w:tcPr>
          <w:p w14:paraId="51647E97" w14:textId="77777777" w:rsidR="0099355B" w:rsidRPr="0099355B" w:rsidRDefault="0099355B" w:rsidP="0099355B">
            <w:pPr>
              <w:jc w:val="center"/>
              <w:rPr>
                <w:b/>
                <w:bCs/>
                <w:color w:val="000000"/>
              </w:rPr>
            </w:pPr>
            <w:r w:rsidRPr="0099355B">
              <w:rPr>
                <w:b/>
                <w:bCs/>
                <w:color w:val="000000"/>
              </w:rPr>
              <w:t>2995.17</w:t>
            </w:r>
          </w:p>
        </w:tc>
        <w:tc>
          <w:tcPr>
            <w:tcW w:w="0" w:type="auto"/>
            <w:tcBorders>
              <w:top w:val="nil"/>
              <w:left w:val="nil"/>
              <w:right w:val="nil"/>
            </w:tcBorders>
            <w:shd w:val="clear" w:color="auto" w:fill="auto"/>
            <w:noWrap/>
            <w:vAlign w:val="center"/>
            <w:hideMark/>
          </w:tcPr>
          <w:p w14:paraId="17594A10" w14:textId="77777777" w:rsidR="0099355B" w:rsidRPr="0099355B" w:rsidRDefault="0099355B" w:rsidP="0099355B">
            <w:pPr>
              <w:jc w:val="center"/>
              <w:rPr>
                <w:color w:val="000000"/>
              </w:rPr>
            </w:pPr>
            <w:r w:rsidRPr="0099355B">
              <w:rPr>
                <w:color w:val="000000"/>
              </w:rPr>
              <w:t>36.64</w:t>
            </w:r>
          </w:p>
        </w:tc>
        <w:tc>
          <w:tcPr>
            <w:tcW w:w="0" w:type="auto"/>
            <w:tcBorders>
              <w:top w:val="nil"/>
              <w:left w:val="nil"/>
              <w:right w:val="nil"/>
            </w:tcBorders>
            <w:vAlign w:val="center"/>
          </w:tcPr>
          <w:p w14:paraId="0EDB3314" w14:textId="7C56893A" w:rsidR="0099355B" w:rsidRPr="0099355B" w:rsidRDefault="0099355B" w:rsidP="0099355B">
            <w:pPr>
              <w:jc w:val="center"/>
              <w:rPr>
                <w:color w:val="000000"/>
              </w:rPr>
            </w:pPr>
            <w:r w:rsidRPr="0099355B">
              <w:rPr>
                <w:color w:val="000000"/>
              </w:rPr>
              <w:t>40.71</w:t>
            </w:r>
          </w:p>
        </w:tc>
      </w:tr>
      <w:tr w:rsidR="0099355B" w:rsidRPr="0099355B" w14:paraId="50E3B944" w14:textId="0A433792" w:rsidTr="0099355B">
        <w:trPr>
          <w:trHeight w:val="320"/>
          <w:jc w:val="center"/>
        </w:trPr>
        <w:tc>
          <w:tcPr>
            <w:tcW w:w="0" w:type="auto"/>
            <w:tcBorders>
              <w:top w:val="nil"/>
              <w:left w:val="nil"/>
              <w:bottom w:val="single" w:sz="4" w:space="0" w:color="auto"/>
              <w:right w:val="nil"/>
            </w:tcBorders>
            <w:shd w:val="clear" w:color="auto" w:fill="auto"/>
            <w:noWrap/>
            <w:vAlign w:val="center"/>
            <w:hideMark/>
          </w:tcPr>
          <w:p w14:paraId="26DB76F7" w14:textId="77777777" w:rsidR="0099355B" w:rsidRPr="0099355B" w:rsidRDefault="0099355B" w:rsidP="0099355B">
            <w:pPr>
              <w:jc w:val="center"/>
              <w:rPr>
                <w:color w:val="000000"/>
              </w:rPr>
            </w:pPr>
            <w:r w:rsidRPr="0099355B">
              <w:rPr>
                <w:color w:val="000000"/>
              </w:rPr>
              <w:t>9</w:t>
            </w:r>
          </w:p>
        </w:tc>
        <w:tc>
          <w:tcPr>
            <w:tcW w:w="0" w:type="auto"/>
            <w:tcBorders>
              <w:top w:val="nil"/>
              <w:left w:val="nil"/>
              <w:bottom w:val="single" w:sz="4" w:space="0" w:color="auto"/>
              <w:right w:val="nil"/>
            </w:tcBorders>
            <w:shd w:val="clear" w:color="auto" w:fill="auto"/>
            <w:noWrap/>
            <w:vAlign w:val="center"/>
            <w:hideMark/>
          </w:tcPr>
          <w:p w14:paraId="4C6FB86C" w14:textId="77777777" w:rsidR="0099355B" w:rsidRPr="0099355B" w:rsidRDefault="0099355B" w:rsidP="0099355B">
            <w:pPr>
              <w:jc w:val="center"/>
              <w:rPr>
                <w:color w:val="000000"/>
              </w:rPr>
            </w:pPr>
            <w:r w:rsidRPr="0099355B">
              <w:rPr>
                <w:color w:val="000000"/>
              </w:rPr>
              <w:t>3102.71</w:t>
            </w:r>
          </w:p>
        </w:tc>
        <w:tc>
          <w:tcPr>
            <w:tcW w:w="0" w:type="auto"/>
            <w:tcBorders>
              <w:top w:val="nil"/>
              <w:left w:val="nil"/>
              <w:bottom w:val="single" w:sz="4" w:space="0" w:color="auto"/>
              <w:right w:val="nil"/>
            </w:tcBorders>
            <w:shd w:val="clear" w:color="auto" w:fill="auto"/>
            <w:noWrap/>
            <w:vAlign w:val="center"/>
            <w:hideMark/>
          </w:tcPr>
          <w:p w14:paraId="7502E724" w14:textId="77777777" w:rsidR="0099355B" w:rsidRPr="0099355B" w:rsidRDefault="0099355B" w:rsidP="0099355B">
            <w:pPr>
              <w:jc w:val="center"/>
              <w:rPr>
                <w:color w:val="000000"/>
              </w:rPr>
            </w:pPr>
            <w:r w:rsidRPr="0099355B">
              <w:rPr>
                <w:color w:val="000000"/>
              </w:rPr>
              <w:t>34.37</w:t>
            </w:r>
          </w:p>
        </w:tc>
        <w:tc>
          <w:tcPr>
            <w:tcW w:w="0" w:type="auto"/>
            <w:tcBorders>
              <w:top w:val="nil"/>
              <w:left w:val="nil"/>
              <w:bottom w:val="single" w:sz="4" w:space="0" w:color="auto"/>
              <w:right w:val="nil"/>
            </w:tcBorders>
            <w:shd w:val="clear" w:color="auto" w:fill="auto"/>
            <w:noWrap/>
            <w:vAlign w:val="center"/>
            <w:hideMark/>
          </w:tcPr>
          <w:p w14:paraId="0B6A3D1A" w14:textId="77777777" w:rsidR="0099355B" w:rsidRPr="0099355B" w:rsidRDefault="0099355B" w:rsidP="0099355B">
            <w:pPr>
              <w:jc w:val="center"/>
              <w:rPr>
                <w:b/>
                <w:bCs/>
                <w:color w:val="000000"/>
              </w:rPr>
            </w:pPr>
            <w:r w:rsidRPr="0099355B">
              <w:rPr>
                <w:b/>
                <w:bCs/>
                <w:color w:val="000000"/>
              </w:rPr>
              <w:t>3052.23</w:t>
            </w:r>
          </w:p>
        </w:tc>
        <w:tc>
          <w:tcPr>
            <w:tcW w:w="0" w:type="auto"/>
            <w:tcBorders>
              <w:top w:val="nil"/>
              <w:left w:val="nil"/>
              <w:bottom w:val="single" w:sz="4" w:space="0" w:color="auto"/>
              <w:right w:val="nil"/>
            </w:tcBorders>
            <w:shd w:val="clear" w:color="auto" w:fill="auto"/>
            <w:noWrap/>
            <w:vAlign w:val="center"/>
            <w:hideMark/>
          </w:tcPr>
          <w:p w14:paraId="05B6CD04" w14:textId="77777777" w:rsidR="0099355B" w:rsidRPr="0099355B" w:rsidRDefault="0099355B" w:rsidP="0099355B">
            <w:pPr>
              <w:jc w:val="center"/>
              <w:rPr>
                <w:color w:val="000000"/>
              </w:rPr>
            </w:pPr>
            <w:r w:rsidRPr="0099355B">
              <w:rPr>
                <w:color w:val="000000"/>
              </w:rPr>
              <w:t>25.22</w:t>
            </w:r>
          </w:p>
        </w:tc>
        <w:tc>
          <w:tcPr>
            <w:tcW w:w="0" w:type="auto"/>
            <w:tcBorders>
              <w:top w:val="nil"/>
              <w:left w:val="nil"/>
              <w:bottom w:val="single" w:sz="4" w:space="0" w:color="auto"/>
              <w:right w:val="nil"/>
            </w:tcBorders>
            <w:vAlign w:val="center"/>
          </w:tcPr>
          <w:p w14:paraId="4FB7A372" w14:textId="1EDB7F0B" w:rsidR="0099355B" w:rsidRPr="0099355B" w:rsidRDefault="0099355B" w:rsidP="0099355B">
            <w:pPr>
              <w:jc w:val="center"/>
              <w:rPr>
                <w:color w:val="000000"/>
              </w:rPr>
            </w:pPr>
            <w:r w:rsidRPr="0099355B">
              <w:rPr>
                <w:color w:val="000000"/>
              </w:rPr>
              <w:t>50.48</w:t>
            </w:r>
          </w:p>
        </w:tc>
      </w:tr>
    </w:tbl>
    <w:p w14:paraId="4B4742FD" w14:textId="77777777" w:rsidR="004A2B95" w:rsidRPr="0099355B" w:rsidRDefault="004A2B95" w:rsidP="001A779A">
      <w:pPr>
        <w:widowControl w:val="0"/>
        <w:autoSpaceDE w:val="0"/>
        <w:autoSpaceDN w:val="0"/>
        <w:adjustRightInd w:val="0"/>
      </w:pPr>
    </w:p>
    <w:p w14:paraId="07E1C339" w14:textId="19C873B7" w:rsidR="00FC7670" w:rsidRPr="0099355B" w:rsidRDefault="004A2B95" w:rsidP="00FC7670">
      <w:pPr>
        <w:tabs>
          <w:tab w:val="left" w:pos="2965"/>
        </w:tabs>
      </w:pPr>
      <w:r w:rsidRPr="0099355B">
        <w:t>Note</w:t>
      </w:r>
      <w:r w:rsidR="008976A1" w:rsidRPr="0099355B">
        <w:t xml:space="preserve"> 1</w:t>
      </w:r>
      <w:r w:rsidRPr="0099355B">
        <w:t xml:space="preserve">. </w:t>
      </w:r>
      <w:r w:rsidR="00FC7670" w:rsidRPr="0099355B">
        <w:t xml:space="preserve">All </w:t>
      </w:r>
      <w:r w:rsidR="00971D21" w:rsidRPr="0099355B">
        <w:t xml:space="preserve">model </w:t>
      </w:r>
      <w:r w:rsidR="00FC7670" w:rsidRPr="0099355B">
        <w:rPr>
          <w:i/>
        </w:rPr>
        <w:t xml:space="preserve">p </w:t>
      </w:r>
      <w:r w:rsidR="00FC7670" w:rsidRPr="0099355B">
        <w:t>values are under .001 after multiplicity correction</w:t>
      </w:r>
      <w:r w:rsidR="00973724" w:rsidRPr="0099355B">
        <w:t xml:space="preserve"> using Bonferroni’s method</w:t>
      </w:r>
      <w:r w:rsidR="00FC7670" w:rsidRPr="0099355B">
        <w:t>.</w:t>
      </w:r>
      <w:r w:rsidR="00971D21" w:rsidRPr="0099355B">
        <w:t xml:space="preserve"> </w:t>
      </w:r>
    </w:p>
    <w:p w14:paraId="3A0BF20C" w14:textId="67E112FA" w:rsidR="00971D21" w:rsidRPr="0099355B" w:rsidRDefault="00971D21" w:rsidP="00FC7670">
      <w:pPr>
        <w:tabs>
          <w:tab w:val="left" w:pos="2965"/>
        </w:tabs>
      </w:pPr>
      <w:r w:rsidRPr="0099355B">
        <w:t xml:space="preserve">Note 2. </w:t>
      </w:r>
      <w:r w:rsidR="00773F00" w:rsidRPr="0099355B">
        <w:rPr>
          <w:i/>
        </w:rPr>
        <w:t>F</w:t>
      </w:r>
      <w:r w:rsidR="00773F00" w:rsidRPr="0099355B">
        <w:t xml:space="preserve"> values </w:t>
      </w:r>
      <w:r w:rsidR="002C74E5" w:rsidRPr="0099355B">
        <w:t>refer to the tests for</w:t>
      </w:r>
      <w:r w:rsidR="00773F00" w:rsidRPr="0099355B">
        <w:t xml:space="preserve"> the effect </w:t>
      </w:r>
      <w:r w:rsidR="002C74E5" w:rsidRPr="0099355B">
        <w:t xml:space="preserve">of the individual items predicting </w:t>
      </w:r>
      <w:r w:rsidR="002C74E5" w:rsidRPr="0099355B">
        <w:rPr>
          <w:i/>
        </w:rPr>
        <w:t>SOI</w:t>
      </w:r>
      <w:r w:rsidR="002C74E5" w:rsidRPr="0099355B">
        <w:t>s.</w:t>
      </w:r>
    </w:p>
    <w:p w14:paraId="7B0B16FA" w14:textId="4C451A40" w:rsidR="00973724" w:rsidRPr="0099355B" w:rsidRDefault="008976A1" w:rsidP="008976A1">
      <w:pPr>
        <w:tabs>
          <w:tab w:val="left" w:pos="2965"/>
        </w:tabs>
      </w:pPr>
      <w:r w:rsidRPr="0099355B">
        <w:t xml:space="preserve">Note </w:t>
      </w:r>
      <w:r w:rsidR="00971D21" w:rsidRPr="0099355B">
        <w:t>3</w:t>
      </w:r>
      <w:r w:rsidRPr="0099355B">
        <w:t xml:space="preserve">. AIC values two units smaller than that of </w:t>
      </w:r>
      <w:r w:rsidR="00AB3852" w:rsidRPr="0099355B">
        <w:t>additive</w:t>
      </w:r>
      <w:r w:rsidRPr="0099355B">
        <w:t xml:space="preserve"> models are bolded, indicating that </w:t>
      </w:r>
      <w:r w:rsidR="00AB3852" w:rsidRPr="0099355B">
        <w:t>multiplicative</w:t>
      </w:r>
      <w:r w:rsidRPr="0099355B">
        <w:t xml:space="preserve"> model is superior in modeling the respective relationship.</w:t>
      </w:r>
      <w:r w:rsidR="00F45D9F">
        <w:t xml:space="preserve"> The smaller the AIC, the better the model fit. </w:t>
      </w:r>
    </w:p>
    <w:p w14:paraId="737D7AA4" w14:textId="77777777" w:rsidR="00F8070D" w:rsidRPr="0099355B" w:rsidRDefault="00F8070D" w:rsidP="00E33568">
      <w:pPr>
        <w:widowControl w:val="0"/>
        <w:autoSpaceDE w:val="0"/>
        <w:autoSpaceDN w:val="0"/>
        <w:adjustRightInd w:val="0"/>
      </w:pPr>
    </w:p>
    <w:p w14:paraId="2FD6CF4E" w14:textId="77777777" w:rsidR="00F8070D" w:rsidRPr="0099355B" w:rsidRDefault="00F8070D" w:rsidP="00E33568">
      <w:pPr>
        <w:widowControl w:val="0"/>
        <w:autoSpaceDE w:val="0"/>
        <w:autoSpaceDN w:val="0"/>
        <w:adjustRightInd w:val="0"/>
      </w:pPr>
    </w:p>
    <w:p w14:paraId="5EDBA233" w14:textId="77777777" w:rsidR="00F8070D" w:rsidRPr="0099355B" w:rsidRDefault="00F8070D" w:rsidP="00E33568">
      <w:pPr>
        <w:widowControl w:val="0"/>
        <w:autoSpaceDE w:val="0"/>
        <w:autoSpaceDN w:val="0"/>
        <w:adjustRightInd w:val="0"/>
      </w:pPr>
    </w:p>
    <w:p w14:paraId="2AEA6794" w14:textId="77777777" w:rsidR="00F8070D" w:rsidRPr="0099355B" w:rsidRDefault="00F8070D" w:rsidP="00E33568">
      <w:pPr>
        <w:widowControl w:val="0"/>
        <w:autoSpaceDE w:val="0"/>
        <w:autoSpaceDN w:val="0"/>
        <w:adjustRightInd w:val="0"/>
      </w:pPr>
    </w:p>
    <w:p w14:paraId="7D946590" w14:textId="77777777" w:rsidR="00F8070D" w:rsidRPr="0099355B" w:rsidRDefault="00F8070D" w:rsidP="00E33568">
      <w:pPr>
        <w:widowControl w:val="0"/>
        <w:autoSpaceDE w:val="0"/>
        <w:autoSpaceDN w:val="0"/>
        <w:adjustRightInd w:val="0"/>
      </w:pPr>
    </w:p>
    <w:p w14:paraId="41094C7C" w14:textId="77777777" w:rsidR="00F8070D" w:rsidRPr="0099355B" w:rsidRDefault="00F8070D" w:rsidP="00E33568">
      <w:pPr>
        <w:widowControl w:val="0"/>
        <w:autoSpaceDE w:val="0"/>
        <w:autoSpaceDN w:val="0"/>
        <w:adjustRightInd w:val="0"/>
      </w:pPr>
    </w:p>
    <w:p w14:paraId="1CC7FE9A" w14:textId="77777777" w:rsidR="00F8070D" w:rsidRPr="0099355B" w:rsidRDefault="00F8070D" w:rsidP="00E33568">
      <w:pPr>
        <w:widowControl w:val="0"/>
        <w:autoSpaceDE w:val="0"/>
        <w:autoSpaceDN w:val="0"/>
        <w:adjustRightInd w:val="0"/>
      </w:pPr>
    </w:p>
    <w:p w14:paraId="3F7F0D59" w14:textId="77777777" w:rsidR="00F8070D" w:rsidRPr="0099355B" w:rsidRDefault="00F8070D" w:rsidP="00E33568">
      <w:pPr>
        <w:widowControl w:val="0"/>
        <w:autoSpaceDE w:val="0"/>
        <w:autoSpaceDN w:val="0"/>
        <w:adjustRightInd w:val="0"/>
      </w:pPr>
    </w:p>
    <w:p w14:paraId="082FDA0A" w14:textId="77777777" w:rsidR="00F8070D" w:rsidRPr="0099355B" w:rsidRDefault="00F8070D" w:rsidP="00E33568">
      <w:pPr>
        <w:widowControl w:val="0"/>
        <w:autoSpaceDE w:val="0"/>
        <w:autoSpaceDN w:val="0"/>
        <w:adjustRightInd w:val="0"/>
      </w:pPr>
    </w:p>
    <w:p w14:paraId="2ECC68C8" w14:textId="77777777" w:rsidR="004C711C" w:rsidRPr="0099355B" w:rsidRDefault="004C711C" w:rsidP="00E33568">
      <w:pPr>
        <w:widowControl w:val="0"/>
        <w:autoSpaceDE w:val="0"/>
        <w:autoSpaceDN w:val="0"/>
        <w:adjustRightInd w:val="0"/>
      </w:pPr>
    </w:p>
    <w:p w14:paraId="72DC8E81" w14:textId="77777777" w:rsidR="004C711C" w:rsidRPr="0099355B" w:rsidRDefault="004C711C" w:rsidP="00E33568">
      <w:pPr>
        <w:widowControl w:val="0"/>
        <w:autoSpaceDE w:val="0"/>
        <w:autoSpaceDN w:val="0"/>
        <w:adjustRightInd w:val="0"/>
      </w:pPr>
    </w:p>
    <w:p w14:paraId="1253E081" w14:textId="77777777" w:rsidR="004C711C" w:rsidRPr="0099355B" w:rsidRDefault="004C711C" w:rsidP="00E33568">
      <w:pPr>
        <w:widowControl w:val="0"/>
        <w:autoSpaceDE w:val="0"/>
        <w:autoSpaceDN w:val="0"/>
        <w:adjustRightInd w:val="0"/>
      </w:pPr>
    </w:p>
    <w:p w14:paraId="36D86F3C" w14:textId="77777777" w:rsidR="004C711C" w:rsidRPr="0099355B" w:rsidRDefault="004C711C" w:rsidP="00E33568">
      <w:pPr>
        <w:widowControl w:val="0"/>
        <w:autoSpaceDE w:val="0"/>
        <w:autoSpaceDN w:val="0"/>
        <w:adjustRightInd w:val="0"/>
      </w:pPr>
    </w:p>
    <w:p w14:paraId="28301762" w14:textId="77777777" w:rsidR="004C711C" w:rsidRPr="0099355B" w:rsidRDefault="004C711C" w:rsidP="00E33568">
      <w:pPr>
        <w:widowControl w:val="0"/>
        <w:autoSpaceDE w:val="0"/>
        <w:autoSpaceDN w:val="0"/>
        <w:adjustRightInd w:val="0"/>
      </w:pPr>
    </w:p>
    <w:p w14:paraId="57FDC21F" w14:textId="77777777" w:rsidR="00F8070D" w:rsidRPr="0099355B" w:rsidRDefault="00F8070D" w:rsidP="00E33568">
      <w:pPr>
        <w:widowControl w:val="0"/>
        <w:autoSpaceDE w:val="0"/>
        <w:autoSpaceDN w:val="0"/>
        <w:adjustRightInd w:val="0"/>
      </w:pPr>
    </w:p>
    <w:p w14:paraId="3D0D0FF4" w14:textId="77777777" w:rsidR="00F8070D" w:rsidRPr="0099355B" w:rsidRDefault="00F8070D" w:rsidP="00E33568">
      <w:pPr>
        <w:widowControl w:val="0"/>
        <w:autoSpaceDE w:val="0"/>
        <w:autoSpaceDN w:val="0"/>
        <w:adjustRightInd w:val="0"/>
      </w:pPr>
    </w:p>
    <w:p w14:paraId="3929E4AC" w14:textId="77777777" w:rsidR="00F8070D" w:rsidRPr="00FC7710" w:rsidRDefault="008976A1" w:rsidP="00465181">
      <w:pPr>
        <w:widowControl w:val="0"/>
        <w:autoSpaceDE w:val="0"/>
        <w:autoSpaceDN w:val="0"/>
        <w:adjustRightInd w:val="0"/>
        <w:jc w:val="center"/>
        <w:rPr>
          <w:i/>
        </w:rPr>
      </w:pPr>
      <w:r w:rsidRPr="00FC7710">
        <w:rPr>
          <w:i/>
        </w:rPr>
        <w:t>Table 2b. Multiplicative Models on Item-Rest Relations</w:t>
      </w:r>
    </w:p>
    <w:tbl>
      <w:tblPr>
        <w:tblW w:w="0" w:type="auto"/>
        <w:jc w:val="center"/>
        <w:tblLook w:val="04A0" w:firstRow="1" w:lastRow="0" w:firstColumn="1" w:lastColumn="0" w:noHBand="0" w:noVBand="1"/>
      </w:tblPr>
      <w:tblGrid>
        <w:gridCol w:w="671"/>
        <w:gridCol w:w="596"/>
        <w:gridCol w:w="621"/>
        <w:gridCol w:w="621"/>
        <w:gridCol w:w="621"/>
        <w:gridCol w:w="621"/>
        <w:gridCol w:w="621"/>
        <w:gridCol w:w="636"/>
        <w:gridCol w:w="621"/>
        <w:gridCol w:w="621"/>
        <w:gridCol w:w="636"/>
        <w:gridCol w:w="636"/>
      </w:tblGrid>
      <w:tr w:rsidR="00AB3852" w:rsidRPr="0099355B" w14:paraId="72B76AE4" w14:textId="77777777" w:rsidTr="00465181">
        <w:trPr>
          <w:trHeight w:val="288"/>
          <w:jc w:val="center"/>
        </w:trPr>
        <w:tc>
          <w:tcPr>
            <w:tcW w:w="0" w:type="auto"/>
            <w:tcBorders>
              <w:top w:val="nil"/>
              <w:left w:val="nil"/>
              <w:right w:val="nil"/>
            </w:tcBorders>
            <w:shd w:val="clear" w:color="auto" w:fill="auto"/>
            <w:noWrap/>
            <w:vAlign w:val="center"/>
          </w:tcPr>
          <w:p w14:paraId="17367CF1" w14:textId="77777777" w:rsidR="00AB3852" w:rsidRPr="0099355B" w:rsidRDefault="00AB3852" w:rsidP="00AB3852">
            <w:pPr>
              <w:jc w:val="center"/>
              <w:rPr>
                <w:sz w:val="18"/>
                <w:szCs w:val="18"/>
              </w:rPr>
            </w:pPr>
          </w:p>
        </w:tc>
        <w:tc>
          <w:tcPr>
            <w:tcW w:w="0" w:type="auto"/>
            <w:tcBorders>
              <w:top w:val="nil"/>
              <w:left w:val="nil"/>
              <w:right w:val="nil"/>
            </w:tcBorders>
            <w:shd w:val="clear" w:color="auto" w:fill="auto"/>
            <w:noWrap/>
            <w:vAlign w:val="center"/>
          </w:tcPr>
          <w:p w14:paraId="2063F6F4" w14:textId="77777777" w:rsidR="00AB3852" w:rsidRPr="0099355B" w:rsidRDefault="00AB3852" w:rsidP="00AB3852">
            <w:pPr>
              <w:jc w:val="center"/>
              <w:rPr>
                <w:color w:val="000000"/>
                <w:sz w:val="18"/>
                <w:szCs w:val="18"/>
              </w:rPr>
            </w:pPr>
          </w:p>
        </w:tc>
        <w:tc>
          <w:tcPr>
            <w:tcW w:w="0" w:type="auto"/>
            <w:gridSpan w:val="5"/>
            <w:tcBorders>
              <w:top w:val="nil"/>
              <w:left w:val="nil"/>
              <w:right w:val="nil"/>
            </w:tcBorders>
            <w:shd w:val="clear" w:color="auto" w:fill="auto"/>
            <w:noWrap/>
            <w:vAlign w:val="center"/>
          </w:tcPr>
          <w:p w14:paraId="3605BA78" w14:textId="77777777" w:rsidR="00AB3852" w:rsidRPr="0099355B" w:rsidRDefault="00AB3852" w:rsidP="00AB3852">
            <w:pPr>
              <w:jc w:val="center"/>
              <w:rPr>
                <w:color w:val="000000"/>
                <w:sz w:val="18"/>
                <w:szCs w:val="18"/>
              </w:rPr>
            </w:pPr>
            <w:r w:rsidRPr="0099355B">
              <w:rPr>
                <w:color w:val="000000"/>
                <w:sz w:val="18"/>
                <w:szCs w:val="18"/>
              </w:rPr>
              <w:t>Additive Model</w:t>
            </w:r>
          </w:p>
        </w:tc>
        <w:tc>
          <w:tcPr>
            <w:tcW w:w="0" w:type="auto"/>
            <w:gridSpan w:val="5"/>
            <w:tcBorders>
              <w:top w:val="nil"/>
              <w:left w:val="nil"/>
              <w:right w:val="nil"/>
            </w:tcBorders>
            <w:shd w:val="clear" w:color="auto" w:fill="auto"/>
            <w:noWrap/>
            <w:vAlign w:val="center"/>
          </w:tcPr>
          <w:p w14:paraId="14CF608B" w14:textId="77777777" w:rsidR="00AB3852" w:rsidRPr="0099355B" w:rsidRDefault="00AB3852" w:rsidP="00AB3852">
            <w:pPr>
              <w:jc w:val="center"/>
              <w:rPr>
                <w:color w:val="000000"/>
                <w:sz w:val="18"/>
                <w:szCs w:val="18"/>
              </w:rPr>
            </w:pPr>
            <w:r w:rsidRPr="0099355B">
              <w:rPr>
                <w:color w:val="000000"/>
                <w:sz w:val="18"/>
                <w:szCs w:val="18"/>
              </w:rPr>
              <w:t>Multiplicative Model</w:t>
            </w:r>
          </w:p>
        </w:tc>
      </w:tr>
      <w:tr w:rsidR="00AB3852" w:rsidRPr="0099355B" w14:paraId="046444F7" w14:textId="77777777" w:rsidTr="00465181">
        <w:trPr>
          <w:trHeight w:val="288"/>
          <w:jc w:val="center"/>
        </w:trPr>
        <w:tc>
          <w:tcPr>
            <w:tcW w:w="0" w:type="auto"/>
            <w:tcBorders>
              <w:left w:val="nil"/>
              <w:bottom w:val="single" w:sz="4" w:space="0" w:color="auto"/>
              <w:right w:val="nil"/>
            </w:tcBorders>
            <w:shd w:val="clear" w:color="auto" w:fill="auto"/>
            <w:noWrap/>
            <w:vAlign w:val="center"/>
            <w:hideMark/>
          </w:tcPr>
          <w:p w14:paraId="018CA817" w14:textId="77777777" w:rsidR="00AB3852" w:rsidRPr="0099355B" w:rsidRDefault="00AB3852" w:rsidP="00AB3852">
            <w:pPr>
              <w:jc w:val="center"/>
              <w:rPr>
                <w:sz w:val="18"/>
                <w:szCs w:val="18"/>
              </w:rPr>
            </w:pPr>
          </w:p>
        </w:tc>
        <w:tc>
          <w:tcPr>
            <w:tcW w:w="0" w:type="auto"/>
            <w:tcBorders>
              <w:left w:val="nil"/>
              <w:bottom w:val="single" w:sz="4" w:space="0" w:color="auto"/>
              <w:right w:val="nil"/>
            </w:tcBorders>
            <w:shd w:val="clear" w:color="auto" w:fill="auto"/>
            <w:noWrap/>
            <w:vAlign w:val="center"/>
            <w:hideMark/>
          </w:tcPr>
          <w:p w14:paraId="0C192631" w14:textId="77777777" w:rsidR="00AB3852" w:rsidRPr="0099355B" w:rsidRDefault="00AB3852" w:rsidP="00AB3852">
            <w:pPr>
              <w:jc w:val="center"/>
              <w:rPr>
                <w:color w:val="000000"/>
                <w:sz w:val="18"/>
                <w:szCs w:val="18"/>
              </w:rPr>
            </w:pPr>
            <w:r w:rsidRPr="0099355B">
              <w:rPr>
                <w:color w:val="000000"/>
                <w:sz w:val="18"/>
                <w:szCs w:val="18"/>
              </w:rPr>
              <w:t>scor</w:t>
            </w:r>
            <w:r w:rsidR="00F8070D" w:rsidRPr="0099355B">
              <w:rPr>
                <w:color w:val="000000"/>
                <w:sz w:val="18"/>
                <w:szCs w:val="18"/>
              </w:rPr>
              <w:t>e</w:t>
            </w:r>
          </w:p>
        </w:tc>
        <w:tc>
          <w:tcPr>
            <w:tcW w:w="0" w:type="auto"/>
            <w:tcBorders>
              <w:left w:val="nil"/>
              <w:bottom w:val="single" w:sz="4" w:space="0" w:color="auto"/>
              <w:right w:val="nil"/>
            </w:tcBorders>
            <w:shd w:val="clear" w:color="auto" w:fill="auto"/>
            <w:noWrap/>
            <w:vAlign w:val="center"/>
            <w:hideMark/>
          </w:tcPr>
          <w:p w14:paraId="3BDAE33E" w14:textId="77777777" w:rsidR="00AB3852" w:rsidRPr="0099355B" w:rsidRDefault="00D32089" w:rsidP="00AB3852">
            <w:pPr>
              <w:jc w:val="center"/>
              <w:rPr>
                <w:color w:val="000000"/>
                <w:sz w:val="18"/>
                <w:szCs w:val="18"/>
              </w:rPr>
            </w:pPr>
            <m:oMathPara>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ctrlPr>
                      <w:rPr>
                        <w:rFonts w:ascii="Cambria Math" w:hAnsi="Cambria Math"/>
                        <w:i/>
                        <w:color w:val="000000"/>
                        <w:sz w:val="18"/>
                        <w:szCs w:val="18"/>
                      </w:rPr>
                    </m:ctrlPr>
                  </m:e>
                </m:acc>
              </m:oMath>
            </m:oMathPara>
          </w:p>
        </w:tc>
        <w:tc>
          <w:tcPr>
            <w:tcW w:w="0" w:type="auto"/>
            <w:tcBorders>
              <w:left w:val="nil"/>
              <w:bottom w:val="single" w:sz="4" w:space="0" w:color="auto"/>
              <w:right w:val="nil"/>
            </w:tcBorders>
            <w:shd w:val="clear" w:color="auto" w:fill="auto"/>
            <w:noWrap/>
            <w:vAlign w:val="center"/>
            <w:hideMark/>
          </w:tcPr>
          <w:p w14:paraId="574CA4C4" w14:textId="77777777" w:rsidR="00AB3852" w:rsidRPr="0099355B" w:rsidRDefault="00AB3852" w:rsidP="00AB3852">
            <w:pPr>
              <w:jc w:val="center"/>
              <w:rPr>
                <w:color w:val="000000"/>
                <w:sz w:val="18"/>
                <w:szCs w:val="18"/>
              </w:rPr>
            </w:pPr>
            <w:r w:rsidRPr="0099355B">
              <w:rPr>
                <w:color w:val="000000"/>
                <w:sz w:val="18"/>
                <w:szCs w:val="18"/>
              </w:rPr>
              <w:t>SE</w:t>
            </w:r>
          </w:p>
        </w:tc>
        <w:tc>
          <w:tcPr>
            <w:tcW w:w="0" w:type="auto"/>
            <w:tcBorders>
              <w:left w:val="nil"/>
              <w:bottom w:val="single" w:sz="4" w:space="0" w:color="auto"/>
              <w:right w:val="nil"/>
            </w:tcBorders>
            <w:shd w:val="clear" w:color="auto" w:fill="auto"/>
            <w:noWrap/>
            <w:vAlign w:val="center"/>
            <w:hideMark/>
          </w:tcPr>
          <w:p w14:paraId="3259D044" w14:textId="77777777" w:rsidR="00AB3852" w:rsidRPr="0099355B" w:rsidRDefault="00AB3852" w:rsidP="00AB3852">
            <w:pPr>
              <w:jc w:val="center"/>
              <w:rPr>
                <w:i/>
                <w:color w:val="000000"/>
                <w:sz w:val="18"/>
                <w:szCs w:val="18"/>
              </w:rPr>
            </w:pPr>
            <w:r w:rsidRPr="0099355B">
              <w:rPr>
                <w:i/>
                <w:color w:val="000000"/>
                <w:sz w:val="18"/>
                <w:szCs w:val="18"/>
              </w:rPr>
              <w:t>t</w:t>
            </w:r>
          </w:p>
        </w:tc>
        <w:tc>
          <w:tcPr>
            <w:tcW w:w="0" w:type="auto"/>
            <w:gridSpan w:val="2"/>
            <w:tcBorders>
              <w:left w:val="nil"/>
              <w:bottom w:val="single" w:sz="4" w:space="0" w:color="auto"/>
              <w:right w:val="nil"/>
            </w:tcBorders>
            <w:shd w:val="clear" w:color="auto" w:fill="auto"/>
            <w:noWrap/>
            <w:vAlign w:val="center"/>
            <w:hideMark/>
          </w:tcPr>
          <w:p w14:paraId="3A978B1C" w14:textId="77777777" w:rsidR="00AB3852" w:rsidRPr="0099355B" w:rsidRDefault="00AB3852" w:rsidP="00AB3852">
            <w:pPr>
              <w:jc w:val="center"/>
              <w:rPr>
                <w:color w:val="000000"/>
                <w:sz w:val="18"/>
                <w:szCs w:val="18"/>
              </w:rPr>
            </w:pPr>
            <w:r w:rsidRPr="0099355B">
              <w:rPr>
                <w:color w:val="000000"/>
                <w:sz w:val="18"/>
                <w:szCs w:val="18"/>
              </w:rPr>
              <w:t>95% CI</w:t>
            </w:r>
          </w:p>
        </w:tc>
        <w:tc>
          <w:tcPr>
            <w:tcW w:w="0" w:type="auto"/>
            <w:tcBorders>
              <w:left w:val="nil"/>
              <w:bottom w:val="single" w:sz="4" w:space="0" w:color="auto"/>
              <w:right w:val="nil"/>
            </w:tcBorders>
            <w:shd w:val="clear" w:color="auto" w:fill="auto"/>
            <w:noWrap/>
            <w:vAlign w:val="center"/>
            <w:hideMark/>
          </w:tcPr>
          <w:p w14:paraId="62C072CF" w14:textId="77777777" w:rsidR="00AB3852" w:rsidRPr="0099355B" w:rsidRDefault="00D32089" w:rsidP="00AB3852">
            <w:pPr>
              <w:jc w:val="center"/>
              <w:rPr>
                <w:color w:val="000000"/>
                <w:sz w:val="18"/>
                <w:szCs w:val="18"/>
              </w:rPr>
            </w:pPr>
            <m:oMathPara>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j</m:t>
                        </m:r>
                      </m:sub>
                    </m:sSub>
                    <m:r>
                      <w:rPr>
                        <w:rFonts w:ascii="Cambria Math" w:hAnsi="Cambria Math"/>
                        <w:sz w:val="18"/>
                        <w:szCs w:val="18"/>
                      </w:rPr>
                      <m:t xml:space="preserve"> </m:t>
                    </m:r>
                    <m:ctrlPr>
                      <w:rPr>
                        <w:rFonts w:ascii="Cambria Math" w:hAnsi="Cambria Math"/>
                        <w:i/>
                        <w:color w:val="000000"/>
                        <w:sz w:val="18"/>
                        <w:szCs w:val="18"/>
                      </w:rPr>
                    </m:ctrlPr>
                  </m:e>
                </m:acc>
              </m:oMath>
            </m:oMathPara>
          </w:p>
        </w:tc>
        <w:tc>
          <w:tcPr>
            <w:tcW w:w="0" w:type="auto"/>
            <w:tcBorders>
              <w:left w:val="nil"/>
              <w:bottom w:val="single" w:sz="4" w:space="0" w:color="auto"/>
              <w:right w:val="nil"/>
            </w:tcBorders>
            <w:shd w:val="clear" w:color="auto" w:fill="auto"/>
            <w:noWrap/>
            <w:vAlign w:val="center"/>
            <w:hideMark/>
          </w:tcPr>
          <w:p w14:paraId="0C014D8A" w14:textId="77777777" w:rsidR="00AB3852" w:rsidRPr="0099355B" w:rsidRDefault="00AB3852" w:rsidP="00AB3852">
            <w:pPr>
              <w:jc w:val="center"/>
              <w:rPr>
                <w:color w:val="000000"/>
                <w:sz w:val="18"/>
                <w:szCs w:val="18"/>
              </w:rPr>
            </w:pPr>
            <w:r w:rsidRPr="0099355B">
              <w:rPr>
                <w:color w:val="000000"/>
                <w:sz w:val="18"/>
                <w:szCs w:val="18"/>
              </w:rPr>
              <w:t>SE</w:t>
            </w:r>
          </w:p>
        </w:tc>
        <w:tc>
          <w:tcPr>
            <w:tcW w:w="0" w:type="auto"/>
            <w:tcBorders>
              <w:left w:val="nil"/>
              <w:bottom w:val="single" w:sz="4" w:space="0" w:color="auto"/>
              <w:right w:val="nil"/>
            </w:tcBorders>
            <w:shd w:val="clear" w:color="auto" w:fill="auto"/>
            <w:noWrap/>
            <w:vAlign w:val="center"/>
            <w:hideMark/>
          </w:tcPr>
          <w:p w14:paraId="29084E8C" w14:textId="77777777" w:rsidR="00AB3852" w:rsidRPr="0099355B" w:rsidRDefault="00AB3852" w:rsidP="00AB3852">
            <w:pPr>
              <w:jc w:val="center"/>
              <w:rPr>
                <w:i/>
                <w:color w:val="000000"/>
                <w:sz w:val="18"/>
                <w:szCs w:val="18"/>
              </w:rPr>
            </w:pPr>
            <w:r w:rsidRPr="0099355B">
              <w:rPr>
                <w:i/>
                <w:color w:val="000000"/>
                <w:sz w:val="18"/>
                <w:szCs w:val="18"/>
              </w:rPr>
              <w:t>t</w:t>
            </w:r>
          </w:p>
        </w:tc>
        <w:tc>
          <w:tcPr>
            <w:tcW w:w="0" w:type="auto"/>
            <w:gridSpan w:val="2"/>
            <w:tcBorders>
              <w:left w:val="nil"/>
              <w:bottom w:val="single" w:sz="4" w:space="0" w:color="auto"/>
              <w:right w:val="nil"/>
            </w:tcBorders>
            <w:shd w:val="clear" w:color="auto" w:fill="auto"/>
            <w:noWrap/>
            <w:vAlign w:val="center"/>
            <w:hideMark/>
          </w:tcPr>
          <w:p w14:paraId="3EBA192A" w14:textId="77777777" w:rsidR="00AB3852" w:rsidRPr="0099355B" w:rsidRDefault="00AB3852" w:rsidP="00AB3852">
            <w:pPr>
              <w:jc w:val="center"/>
              <w:rPr>
                <w:color w:val="000000"/>
                <w:sz w:val="18"/>
                <w:szCs w:val="18"/>
              </w:rPr>
            </w:pPr>
            <w:r w:rsidRPr="0099355B">
              <w:rPr>
                <w:color w:val="000000"/>
                <w:sz w:val="18"/>
                <w:szCs w:val="18"/>
              </w:rPr>
              <w:t>95% CI</w:t>
            </w:r>
          </w:p>
        </w:tc>
      </w:tr>
      <w:tr w:rsidR="00AB3852" w:rsidRPr="0099355B" w14:paraId="6E77B74A" w14:textId="77777777" w:rsidTr="00465181">
        <w:trPr>
          <w:trHeight w:val="288"/>
          <w:jc w:val="center"/>
        </w:trPr>
        <w:tc>
          <w:tcPr>
            <w:tcW w:w="0" w:type="auto"/>
            <w:tcBorders>
              <w:top w:val="single" w:sz="4" w:space="0" w:color="auto"/>
              <w:left w:val="nil"/>
              <w:bottom w:val="nil"/>
              <w:right w:val="nil"/>
            </w:tcBorders>
            <w:shd w:val="clear" w:color="auto" w:fill="auto"/>
            <w:noWrap/>
            <w:vAlign w:val="center"/>
            <w:hideMark/>
          </w:tcPr>
          <w:p w14:paraId="15B67001" w14:textId="77777777" w:rsidR="00AB3852" w:rsidRPr="0099355B" w:rsidRDefault="00AB3852" w:rsidP="00AB3852">
            <w:pPr>
              <w:jc w:val="center"/>
              <w:rPr>
                <w:color w:val="000000"/>
                <w:sz w:val="18"/>
                <w:szCs w:val="18"/>
              </w:rPr>
            </w:pPr>
          </w:p>
        </w:tc>
        <w:tc>
          <w:tcPr>
            <w:tcW w:w="0" w:type="auto"/>
            <w:tcBorders>
              <w:top w:val="single" w:sz="4" w:space="0" w:color="auto"/>
              <w:left w:val="nil"/>
              <w:bottom w:val="nil"/>
              <w:right w:val="nil"/>
            </w:tcBorders>
            <w:shd w:val="clear" w:color="auto" w:fill="auto"/>
            <w:noWrap/>
            <w:vAlign w:val="center"/>
            <w:hideMark/>
          </w:tcPr>
          <w:p w14:paraId="12F399A7" w14:textId="77777777" w:rsidR="00AB3852" w:rsidRPr="0099355B" w:rsidRDefault="00AB3852" w:rsidP="00AB3852">
            <w:pPr>
              <w:jc w:val="center"/>
              <w:rPr>
                <w:color w:val="000000"/>
                <w:sz w:val="18"/>
                <w:szCs w:val="18"/>
              </w:rPr>
            </w:pPr>
            <w:r w:rsidRPr="0099355B">
              <w:rPr>
                <w:color w:val="000000"/>
                <w:sz w:val="18"/>
                <w:szCs w:val="18"/>
              </w:rPr>
              <w:t>1</w:t>
            </w:r>
          </w:p>
        </w:tc>
        <w:tc>
          <w:tcPr>
            <w:tcW w:w="0" w:type="auto"/>
            <w:tcBorders>
              <w:top w:val="single" w:sz="4" w:space="0" w:color="auto"/>
              <w:left w:val="nil"/>
              <w:bottom w:val="nil"/>
              <w:right w:val="nil"/>
            </w:tcBorders>
            <w:shd w:val="clear" w:color="auto" w:fill="auto"/>
            <w:noWrap/>
            <w:vAlign w:val="center"/>
            <w:hideMark/>
          </w:tcPr>
          <w:p w14:paraId="265A537E" w14:textId="77777777" w:rsidR="00AB3852" w:rsidRPr="0099355B" w:rsidRDefault="00AB3852" w:rsidP="00AB3852">
            <w:pPr>
              <w:jc w:val="center"/>
              <w:rPr>
                <w:color w:val="000000"/>
                <w:sz w:val="18"/>
                <w:szCs w:val="18"/>
              </w:rPr>
            </w:pPr>
            <w:r w:rsidRPr="0099355B">
              <w:rPr>
                <w:color w:val="000000"/>
                <w:sz w:val="18"/>
                <w:szCs w:val="18"/>
              </w:rPr>
              <w:t>3.11</w:t>
            </w:r>
          </w:p>
        </w:tc>
        <w:tc>
          <w:tcPr>
            <w:tcW w:w="0" w:type="auto"/>
            <w:tcBorders>
              <w:top w:val="single" w:sz="4" w:space="0" w:color="auto"/>
              <w:left w:val="nil"/>
              <w:bottom w:val="nil"/>
              <w:right w:val="nil"/>
            </w:tcBorders>
            <w:shd w:val="clear" w:color="auto" w:fill="auto"/>
            <w:noWrap/>
            <w:vAlign w:val="center"/>
            <w:hideMark/>
          </w:tcPr>
          <w:p w14:paraId="7241C89C" w14:textId="77777777" w:rsidR="00AB3852" w:rsidRPr="0099355B" w:rsidRDefault="00AB3852" w:rsidP="00AB3852">
            <w:pPr>
              <w:jc w:val="center"/>
              <w:rPr>
                <w:color w:val="000000"/>
                <w:sz w:val="18"/>
                <w:szCs w:val="18"/>
              </w:rPr>
            </w:pPr>
            <w:r w:rsidRPr="0099355B">
              <w:rPr>
                <w:color w:val="000000"/>
                <w:sz w:val="18"/>
                <w:szCs w:val="18"/>
              </w:rPr>
              <w:t>0.427</w:t>
            </w:r>
          </w:p>
        </w:tc>
        <w:tc>
          <w:tcPr>
            <w:tcW w:w="0" w:type="auto"/>
            <w:tcBorders>
              <w:top w:val="single" w:sz="4" w:space="0" w:color="auto"/>
              <w:left w:val="nil"/>
              <w:bottom w:val="nil"/>
              <w:right w:val="nil"/>
            </w:tcBorders>
            <w:shd w:val="clear" w:color="auto" w:fill="auto"/>
            <w:noWrap/>
            <w:vAlign w:val="center"/>
            <w:hideMark/>
          </w:tcPr>
          <w:p w14:paraId="60B9FF95" w14:textId="77777777" w:rsidR="00AB3852" w:rsidRPr="0099355B" w:rsidRDefault="00AB3852" w:rsidP="00AB3852">
            <w:pPr>
              <w:jc w:val="center"/>
              <w:rPr>
                <w:color w:val="000000"/>
                <w:sz w:val="18"/>
                <w:szCs w:val="18"/>
              </w:rPr>
            </w:pPr>
            <w:r w:rsidRPr="0099355B">
              <w:rPr>
                <w:color w:val="000000"/>
                <w:sz w:val="18"/>
                <w:szCs w:val="18"/>
              </w:rPr>
              <w:t>7.27</w:t>
            </w:r>
          </w:p>
        </w:tc>
        <w:tc>
          <w:tcPr>
            <w:tcW w:w="0" w:type="auto"/>
            <w:tcBorders>
              <w:top w:val="single" w:sz="4" w:space="0" w:color="auto"/>
              <w:left w:val="nil"/>
              <w:bottom w:val="nil"/>
              <w:right w:val="nil"/>
            </w:tcBorders>
            <w:shd w:val="clear" w:color="auto" w:fill="auto"/>
            <w:noWrap/>
            <w:vAlign w:val="center"/>
            <w:hideMark/>
          </w:tcPr>
          <w:p w14:paraId="5A8EDB28" w14:textId="77777777" w:rsidR="00AB3852" w:rsidRPr="0099355B" w:rsidRDefault="00AB3852" w:rsidP="00AB3852">
            <w:pPr>
              <w:jc w:val="center"/>
              <w:rPr>
                <w:color w:val="000000"/>
                <w:sz w:val="18"/>
                <w:szCs w:val="18"/>
              </w:rPr>
            </w:pPr>
            <w:r w:rsidRPr="0099355B">
              <w:rPr>
                <w:color w:val="000000"/>
                <w:sz w:val="18"/>
                <w:szCs w:val="18"/>
              </w:rPr>
              <w:t>2.27</w:t>
            </w:r>
          </w:p>
        </w:tc>
        <w:tc>
          <w:tcPr>
            <w:tcW w:w="0" w:type="auto"/>
            <w:tcBorders>
              <w:top w:val="single" w:sz="4" w:space="0" w:color="auto"/>
              <w:left w:val="nil"/>
              <w:bottom w:val="nil"/>
              <w:right w:val="nil"/>
            </w:tcBorders>
            <w:shd w:val="clear" w:color="auto" w:fill="auto"/>
            <w:noWrap/>
            <w:vAlign w:val="center"/>
            <w:hideMark/>
          </w:tcPr>
          <w:p w14:paraId="357A7A2E" w14:textId="77777777" w:rsidR="00AB3852" w:rsidRPr="0099355B" w:rsidRDefault="00AB3852" w:rsidP="00AB3852">
            <w:pPr>
              <w:jc w:val="center"/>
              <w:rPr>
                <w:color w:val="000000"/>
                <w:sz w:val="18"/>
                <w:szCs w:val="18"/>
              </w:rPr>
            </w:pPr>
            <w:r w:rsidRPr="0099355B">
              <w:rPr>
                <w:color w:val="000000"/>
                <w:sz w:val="18"/>
                <w:szCs w:val="18"/>
              </w:rPr>
              <w:t>3.95</w:t>
            </w:r>
          </w:p>
        </w:tc>
        <w:tc>
          <w:tcPr>
            <w:tcW w:w="0" w:type="auto"/>
            <w:tcBorders>
              <w:top w:val="single" w:sz="4" w:space="0" w:color="auto"/>
              <w:left w:val="nil"/>
              <w:bottom w:val="nil"/>
              <w:right w:val="nil"/>
            </w:tcBorders>
            <w:shd w:val="clear" w:color="auto" w:fill="auto"/>
            <w:noWrap/>
            <w:vAlign w:val="center"/>
            <w:hideMark/>
          </w:tcPr>
          <w:p w14:paraId="36ADF8B9" w14:textId="77777777" w:rsidR="00AB3852" w:rsidRPr="0099355B" w:rsidRDefault="00AB3852" w:rsidP="00AB3852">
            <w:pPr>
              <w:jc w:val="center"/>
              <w:rPr>
                <w:color w:val="000000"/>
                <w:sz w:val="18"/>
                <w:szCs w:val="18"/>
              </w:rPr>
            </w:pPr>
            <w:r w:rsidRPr="0099355B">
              <w:rPr>
                <w:color w:val="000000"/>
                <w:sz w:val="18"/>
                <w:szCs w:val="18"/>
              </w:rPr>
              <w:t>124%</w:t>
            </w:r>
          </w:p>
        </w:tc>
        <w:tc>
          <w:tcPr>
            <w:tcW w:w="0" w:type="auto"/>
            <w:tcBorders>
              <w:top w:val="single" w:sz="4" w:space="0" w:color="auto"/>
              <w:left w:val="nil"/>
              <w:bottom w:val="nil"/>
              <w:right w:val="nil"/>
            </w:tcBorders>
            <w:shd w:val="clear" w:color="auto" w:fill="auto"/>
            <w:noWrap/>
            <w:vAlign w:val="center"/>
            <w:hideMark/>
          </w:tcPr>
          <w:p w14:paraId="4B2BAC05" w14:textId="77777777" w:rsidR="00AB3852" w:rsidRPr="0099355B" w:rsidRDefault="00AB3852" w:rsidP="00AB3852">
            <w:pPr>
              <w:jc w:val="center"/>
              <w:rPr>
                <w:color w:val="000000"/>
                <w:sz w:val="18"/>
                <w:szCs w:val="18"/>
              </w:rPr>
            </w:pPr>
            <w:r w:rsidRPr="0099355B">
              <w:rPr>
                <w:color w:val="000000"/>
                <w:sz w:val="18"/>
                <w:szCs w:val="18"/>
              </w:rPr>
              <w:t>0.026</w:t>
            </w:r>
          </w:p>
        </w:tc>
        <w:tc>
          <w:tcPr>
            <w:tcW w:w="0" w:type="auto"/>
            <w:tcBorders>
              <w:top w:val="single" w:sz="4" w:space="0" w:color="auto"/>
              <w:left w:val="nil"/>
              <w:bottom w:val="nil"/>
              <w:right w:val="nil"/>
            </w:tcBorders>
            <w:shd w:val="clear" w:color="auto" w:fill="auto"/>
            <w:noWrap/>
            <w:vAlign w:val="center"/>
            <w:hideMark/>
          </w:tcPr>
          <w:p w14:paraId="65731B59" w14:textId="77777777" w:rsidR="00AB3852" w:rsidRPr="0099355B" w:rsidRDefault="00AB3852" w:rsidP="00AB3852">
            <w:pPr>
              <w:jc w:val="center"/>
              <w:rPr>
                <w:color w:val="000000"/>
                <w:sz w:val="18"/>
                <w:szCs w:val="18"/>
              </w:rPr>
            </w:pPr>
            <w:r w:rsidRPr="0099355B">
              <w:rPr>
                <w:color w:val="000000"/>
                <w:sz w:val="18"/>
                <w:szCs w:val="18"/>
              </w:rPr>
              <w:t>8.16</w:t>
            </w:r>
          </w:p>
        </w:tc>
        <w:tc>
          <w:tcPr>
            <w:tcW w:w="0" w:type="auto"/>
            <w:tcBorders>
              <w:top w:val="single" w:sz="4" w:space="0" w:color="auto"/>
              <w:left w:val="nil"/>
              <w:bottom w:val="nil"/>
              <w:right w:val="nil"/>
            </w:tcBorders>
            <w:shd w:val="clear" w:color="auto" w:fill="auto"/>
            <w:noWrap/>
            <w:vAlign w:val="center"/>
            <w:hideMark/>
          </w:tcPr>
          <w:p w14:paraId="0BED15E1" w14:textId="77777777" w:rsidR="00AB3852" w:rsidRPr="0099355B" w:rsidRDefault="00AB3852" w:rsidP="00AB3852">
            <w:pPr>
              <w:jc w:val="center"/>
              <w:rPr>
                <w:color w:val="000000"/>
                <w:sz w:val="18"/>
                <w:szCs w:val="18"/>
              </w:rPr>
            </w:pPr>
            <w:r w:rsidRPr="0099355B">
              <w:rPr>
                <w:color w:val="000000"/>
                <w:sz w:val="18"/>
                <w:szCs w:val="18"/>
              </w:rPr>
              <w:t>118%</w:t>
            </w:r>
          </w:p>
        </w:tc>
        <w:tc>
          <w:tcPr>
            <w:tcW w:w="0" w:type="auto"/>
            <w:tcBorders>
              <w:top w:val="single" w:sz="4" w:space="0" w:color="auto"/>
              <w:left w:val="nil"/>
              <w:bottom w:val="nil"/>
              <w:right w:val="nil"/>
            </w:tcBorders>
            <w:shd w:val="clear" w:color="auto" w:fill="auto"/>
            <w:noWrap/>
            <w:vAlign w:val="center"/>
            <w:hideMark/>
          </w:tcPr>
          <w:p w14:paraId="216D0579" w14:textId="77777777" w:rsidR="00AB3852" w:rsidRPr="0099355B" w:rsidRDefault="00AB3852" w:rsidP="00AB3852">
            <w:pPr>
              <w:jc w:val="center"/>
              <w:rPr>
                <w:color w:val="000000"/>
                <w:sz w:val="18"/>
                <w:szCs w:val="18"/>
              </w:rPr>
            </w:pPr>
            <w:r w:rsidRPr="0099355B">
              <w:rPr>
                <w:color w:val="000000"/>
                <w:sz w:val="18"/>
                <w:szCs w:val="18"/>
              </w:rPr>
              <w:t>131%</w:t>
            </w:r>
          </w:p>
        </w:tc>
      </w:tr>
      <w:tr w:rsidR="00AB3852" w:rsidRPr="0099355B" w14:paraId="4FC5D04A"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01BF84E7" w14:textId="77777777" w:rsidR="00AB3852" w:rsidRPr="0099355B" w:rsidRDefault="00AB3852" w:rsidP="00AB3852">
            <w:pPr>
              <w:jc w:val="center"/>
              <w:rPr>
                <w:color w:val="000000"/>
                <w:sz w:val="18"/>
                <w:szCs w:val="18"/>
              </w:rPr>
            </w:pPr>
            <w:r w:rsidRPr="0099355B">
              <w:rPr>
                <w:color w:val="000000"/>
                <w:sz w:val="18"/>
                <w:szCs w:val="18"/>
              </w:rPr>
              <w:t>item 1</w:t>
            </w:r>
          </w:p>
        </w:tc>
        <w:tc>
          <w:tcPr>
            <w:tcW w:w="0" w:type="auto"/>
            <w:tcBorders>
              <w:top w:val="nil"/>
              <w:left w:val="nil"/>
              <w:bottom w:val="nil"/>
              <w:right w:val="nil"/>
            </w:tcBorders>
            <w:shd w:val="clear" w:color="auto" w:fill="auto"/>
            <w:noWrap/>
            <w:vAlign w:val="center"/>
            <w:hideMark/>
          </w:tcPr>
          <w:p w14:paraId="2B5A3E80" w14:textId="77777777" w:rsidR="00AB3852" w:rsidRPr="0099355B" w:rsidRDefault="00AB3852" w:rsidP="00AB3852">
            <w:pPr>
              <w:jc w:val="center"/>
              <w:rPr>
                <w:color w:val="000000"/>
                <w:sz w:val="18"/>
                <w:szCs w:val="18"/>
              </w:rPr>
            </w:pPr>
            <w:r w:rsidRPr="0099355B">
              <w:rPr>
                <w:color w:val="000000"/>
                <w:sz w:val="18"/>
                <w:szCs w:val="18"/>
              </w:rPr>
              <w:t>2</w:t>
            </w:r>
          </w:p>
        </w:tc>
        <w:tc>
          <w:tcPr>
            <w:tcW w:w="0" w:type="auto"/>
            <w:tcBorders>
              <w:top w:val="nil"/>
              <w:left w:val="nil"/>
              <w:bottom w:val="nil"/>
              <w:right w:val="nil"/>
            </w:tcBorders>
            <w:shd w:val="clear" w:color="auto" w:fill="auto"/>
            <w:noWrap/>
            <w:vAlign w:val="center"/>
            <w:hideMark/>
          </w:tcPr>
          <w:p w14:paraId="401C9144" w14:textId="77777777" w:rsidR="00AB3852" w:rsidRPr="0099355B" w:rsidRDefault="00AB3852" w:rsidP="00AB3852">
            <w:pPr>
              <w:jc w:val="center"/>
              <w:rPr>
                <w:color w:val="000000"/>
                <w:sz w:val="18"/>
                <w:szCs w:val="18"/>
              </w:rPr>
            </w:pPr>
            <w:r w:rsidRPr="0099355B">
              <w:rPr>
                <w:color w:val="000000"/>
                <w:sz w:val="18"/>
                <w:szCs w:val="18"/>
              </w:rPr>
              <w:t>6.71</w:t>
            </w:r>
          </w:p>
        </w:tc>
        <w:tc>
          <w:tcPr>
            <w:tcW w:w="0" w:type="auto"/>
            <w:tcBorders>
              <w:top w:val="nil"/>
              <w:left w:val="nil"/>
              <w:bottom w:val="nil"/>
              <w:right w:val="nil"/>
            </w:tcBorders>
            <w:shd w:val="clear" w:color="auto" w:fill="auto"/>
            <w:noWrap/>
            <w:vAlign w:val="center"/>
            <w:hideMark/>
          </w:tcPr>
          <w:p w14:paraId="22FDA33D" w14:textId="77777777" w:rsidR="00AB3852" w:rsidRPr="0099355B" w:rsidRDefault="00AB3852" w:rsidP="00AB3852">
            <w:pPr>
              <w:jc w:val="center"/>
              <w:rPr>
                <w:color w:val="000000"/>
                <w:sz w:val="18"/>
                <w:szCs w:val="18"/>
              </w:rPr>
            </w:pPr>
            <w:r w:rsidRPr="0099355B">
              <w:rPr>
                <w:color w:val="000000"/>
                <w:sz w:val="18"/>
                <w:szCs w:val="18"/>
              </w:rPr>
              <w:t>0.519</w:t>
            </w:r>
          </w:p>
        </w:tc>
        <w:tc>
          <w:tcPr>
            <w:tcW w:w="0" w:type="auto"/>
            <w:tcBorders>
              <w:top w:val="nil"/>
              <w:left w:val="nil"/>
              <w:bottom w:val="nil"/>
              <w:right w:val="nil"/>
            </w:tcBorders>
            <w:shd w:val="clear" w:color="auto" w:fill="auto"/>
            <w:noWrap/>
            <w:vAlign w:val="center"/>
            <w:hideMark/>
          </w:tcPr>
          <w:p w14:paraId="776C2436" w14:textId="77777777" w:rsidR="00AB3852" w:rsidRPr="0099355B" w:rsidRDefault="00AB3852" w:rsidP="00AB3852">
            <w:pPr>
              <w:jc w:val="center"/>
              <w:rPr>
                <w:color w:val="000000"/>
                <w:sz w:val="18"/>
                <w:szCs w:val="18"/>
              </w:rPr>
            </w:pPr>
            <w:r w:rsidRPr="0099355B">
              <w:rPr>
                <w:color w:val="000000"/>
                <w:sz w:val="18"/>
                <w:szCs w:val="18"/>
              </w:rPr>
              <w:t>12.93</w:t>
            </w:r>
          </w:p>
        </w:tc>
        <w:tc>
          <w:tcPr>
            <w:tcW w:w="0" w:type="auto"/>
            <w:tcBorders>
              <w:top w:val="nil"/>
              <w:left w:val="nil"/>
              <w:bottom w:val="nil"/>
              <w:right w:val="nil"/>
            </w:tcBorders>
            <w:shd w:val="clear" w:color="auto" w:fill="auto"/>
            <w:noWrap/>
            <w:vAlign w:val="center"/>
            <w:hideMark/>
          </w:tcPr>
          <w:p w14:paraId="0AB62FA5" w14:textId="77777777" w:rsidR="00AB3852" w:rsidRPr="0099355B" w:rsidRDefault="00AB3852" w:rsidP="00AB3852">
            <w:pPr>
              <w:jc w:val="center"/>
              <w:rPr>
                <w:color w:val="000000"/>
                <w:sz w:val="18"/>
                <w:szCs w:val="18"/>
              </w:rPr>
            </w:pPr>
            <w:r w:rsidRPr="0099355B">
              <w:rPr>
                <w:color w:val="000000"/>
                <w:sz w:val="18"/>
                <w:szCs w:val="18"/>
              </w:rPr>
              <w:t>5.69</w:t>
            </w:r>
          </w:p>
        </w:tc>
        <w:tc>
          <w:tcPr>
            <w:tcW w:w="0" w:type="auto"/>
            <w:tcBorders>
              <w:top w:val="nil"/>
              <w:left w:val="nil"/>
              <w:bottom w:val="nil"/>
              <w:right w:val="nil"/>
            </w:tcBorders>
            <w:shd w:val="clear" w:color="auto" w:fill="auto"/>
            <w:noWrap/>
            <w:vAlign w:val="center"/>
            <w:hideMark/>
          </w:tcPr>
          <w:p w14:paraId="0A4E8285" w14:textId="77777777" w:rsidR="00AB3852" w:rsidRPr="0099355B" w:rsidRDefault="00AB3852" w:rsidP="00AB3852">
            <w:pPr>
              <w:jc w:val="center"/>
              <w:rPr>
                <w:color w:val="000000"/>
                <w:sz w:val="18"/>
                <w:szCs w:val="18"/>
              </w:rPr>
            </w:pPr>
            <w:r w:rsidRPr="0099355B">
              <w:rPr>
                <w:color w:val="000000"/>
                <w:sz w:val="18"/>
                <w:szCs w:val="18"/>
              </w:rPr>
              <w:t>7.73</w:t>
            </w:r>
          </w:p>
        </w:tc>
        <w:tc>
          <w:tcPr>
            <w:tcW w:w="0" w:type="auto"/>
            <w:tcBorders>
              <w:top w:val="nil"/>
              <w:left w:val="nil"/>
              <w:bottom w:val="nil"/>
              <w:right w:val="nil"/>
            </w:tcBorders>
            <w:shd w:val="clear" w:color="auto" w:fill="auto"/>
            <w:noWrap/>
            <w:vAlign w:val="center"/>
            <w:hideMark/>
          </w:tcPr>
          <w:p w14:paraId="00F1D6ED" w14:textId="77777777" w:rsidR="00AB3852" w:rsidRPr="0099355B" w:rsidRDefault="00AB3852" w:rsidP="00AB3852">
            <w:pPr>
              <w:jc w:val="center"/>
              <w:rPr>
                <w:color w:val="000000"/>
                <w:sz w:val="18"/>
                <w:szCs w:val="18"/>
              </w:rPr>
            </w:pPr>
            <w:r w:rsidRPr="0099355B">
              <w:rPr>
                <w:color w:val="000000"/>
                <w:sz w:val="18"/>
                <w:szCs w:val="18"/>
              </w:rPr>
              <w:t>151%</w:t>
            </w:r>
          </w:p>
        </w:tc>
        <w:tc>
          <w:tcPr>
            <w:tcW w:w="0" w:type="auto"/>
            <w:tcBorders>
              <w:top w:val="nil"/>
              <w:left w:val="nil"/>
              <w:bottom w:val="nil"/>
              <w:right w:val="nil"/>
            </w:tcBorders>
            <w:shd w:val="clear" w:color="auto" w:fill="auto"/>
            <w:noWrap/>
            <w:vAlign w:val="center"/>
            <w:hideMark/>
          </w:tcPr>
          <w:p w14:paraId="58CEF4D3" w14:textId="77777777" w:rsidR="00AB3852" w:rsidRPr="0099355B" w:rsidRDefault="00AB3852" w:rsidP="00AB3852">
            <w:pPr>
              <w:jc w:val="center"/>
              <w:rPr>
                <w:color w:val="000000"/>
                <w:sz w:val="18"/>
                <w:szCs w:val="18"/>
              </w:rPr>
            </w:pPr>
            <w:r w:rsidRPr="0099355B">
              <w:rPr>
                <w:color w:val="000000"/>
                <w:sz w:val="18"/>
                <w:szCs w:val="18"/>
              </w:rPr>
              <w:t>0.032</w:t>
            </w:r>
          </w:p>
        </w:tc>
        <w:tc>
          <w:tcPr>
            <w:tcW w:w="0" w:type="auto"/>
            <w:tcBorders>
              <w:top w:val="nil"/>
              <w:left w:val="nil"/>
              <w:bottom w:val="nil"/>
              <w:right w:val="nil"/>
            </w:tcBorders>
            <w:shd w:val="clear" w:color="auto" w:fill="auto"/>
            <w:noWrap/>
            <w:vAlign w:val="center"/>
            <w:hideMark/>
          </w:tcPr>
          <w:p w14:paraId="16931B5F" w14:textId="77777777" w:rsidR="00AB3852" w:rsidRPr="0099355B" w:rsidRDefault="00AB3852" w:rsidP="00AB3852">
            <w:pPr>
              <w:jc w:val="center"/>
              <w:rPr>
                <w:color w:val="000000"/>
                <w:sz w:val="18"/>
                <w:szCs w:val="18"/>
              </w:rPr>
            </w:pPr>
            <w:r w:rsidRPr="0099355B">
              <w:rPr>
                <w:color w:val="000000"/>
                <w:sz w:val="18"/>
                <w:szCs w:val="18"/>
              </w:rPr>
              <w:t>12.86</w:t>
            </w:r>
          </w:p>
        </w:tc>
        <w:tc>
          <w:tcPr>
            <w:tcW w:w="0" w:type="auto"/>
            <w:tcBorders>
              <w:top w:val="nil"/>
              <w:left w:val="nil"/>
              <w:bottom w:val="nil"/>
              <w:right w:val="nil"/>
            </w:tcBorders>
            <w:shd w:val="clear" w:color="auto" w:fill="auto"/>
            <w:noWrap/>
            <w:vAlign w:val="center"/>
            <w:hideMark/>
          </w:tcPr>
          <w:p w14:paraId="248DCCDA" w14:textId="77777777" w:rsidR="00AB3852" w:rsidRPr="0099355B" w:rsidRDefault="00AB3852" w:rsidP="00AB3852">
            <w:pPr>
              <w:jc w:val="center"/>
              <w:rPr>
                <w:color w:val="000000"/>
                <w:sz w:val="18"/>
                <w:szCs w:val="18"/>
              </w:rPr>
            </w:pPr>
            <w:r w:rsidRPr="0099355B">
              <w:rPr>
                <w:color w:val="000000"/>
                <w:sz w:val="18"/>
                <w:szCs w:val="18"/>
              </w:rPr>
              <w:t>142%</w:t>
            </w:r>
          </w:p>
        </w:tc>
        <w:tc>
          <w:tcPr>
            <w:tcW w:w="0" w:type="auto"/>
            <w:tcBorders>
              <w:top w:val="nil"/>
              <w:left w:val="nil"/>
              <w:bottom w:val="nil"/>
              <w:right w:val="nil"/>
            </w:tcBorders>
            <w:shd w:val="clear" w:color="auto" w:fill="auto"/>
            <w:noWrap/>
            <w:vAlign w:val="center"/>
            <w:hideMark/>
          </w:tcPr>
          <w:p w14:paraId="6EF889A7" w14:textId="77777777" w:rsidR="00AB3852" w:rsidRPr="0099355B" w:rsidRDefault="00AB3852" w:rsidP="00AB3852">
            <w:pPr>
              <w:jc w:val="center"/>
              <w:rPr>
                <w:color w:val="000000"/>
                <w:sz w:val="18"/>
                <w:szCs w:val="18"/>
              </w:rPr>
            </w:pPr>
            <w:r w:rsidRPr="0099355B">
              <w:rPr>
                <w:color w:val="000000"/>
                <w:sz w:val="18"/>
                <w:szCs w:val="18"/>
              </w:rPr>
              <w:t>161%</w:t>
            </w:r>
          </w:p>
        </w:tc>
      </w:tr>
      <w:tr w:rsidR="00AB3852" w:rsidRPr="0099355B" w14:paraId="695DD29C"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72D49433"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60466941" w14:textId="77777777" w:rsidR="00AB3852" w:rsidRPr="0099355B" w:rsidRDefault="00AB3852" w:rsidP="00AB3852">
            <w:pPr>
              <w:jc w:val="center"/>
              <w:rPr>
                <w:color w:val="000000"/>
                <w:sz w:val="18"/>
                <w:szCs w:val="18"/>
              </w:rPr>
            </w:pPr>
            <w:r w:rsidRPr="0099355B">
              <w:rPr>
                <w:color w:val="000000"/>
                <w:sz w:val="18"/>
                <w:szCs w:val="18"/>
              </w:rPr>
              <w:t>3</w:t>
            </w:r>
          </w:p>
        </w:tc>
        <w:tc>
          <w:tcPr>
            <w:tcW w:w="0" w:type="auto"/>
            <w:tcBorders>
              <w:top w:val="nil"/>
              <w:left w:val="nil"/>
              <w:bottom w:val="nil"/>
              <w:right w:val="nil"/>
            </w:tcBorders>
            <w:shd w:val="clear" w:color="auto" w:fill="auto"/>
            <w:noWrap/>
            <w:vAlign w:val="center"/>
            <w:hideMark/>
          </w:tcPr>
          <w:p w14:paraId="0840BEDB" w14:textId="77777777" w:rsidR="00AB3852" w:rsidRPr="0099355B" w:rsidRDefault="00AB3852" w:rsidP="00AB3852">
            <w:pPr>
              <w:jc w:val="center"/>
              <w:rPr>
                <w:color w:val="000000"/>
                <w:sz w:val="18"/>
                <w:szCs w:val="18"/>
              </w:rPr>
            </w:pPr>
            <w:r w:rsidRPr="0099355B">
              <w:rPr>
                <w:color w:val="000000"/>
                <w:sz w:val="18"/>
                <w:szCs w:val="18"/>
              </w:rPr>
              <w:t>9.95</w:t>
            </w:r>
          </w:p>
        </w:tc>
        <w:tc>
          <w:tcPr>
            <w:tcW w:w="0" w:type="auto"/>
            <w:tcBorders>
              <w:top w:val="nil"/>
              <w:left w:val="nil"/>
              <w:bottom w:val="nil"/>
              <w:right w:val="nil"/>
            </w:tcBorders>
            <w:shd w:val="clear" w:color="auto" w:fill="auto"/>
            <w:noWrap/>
            <w:vAlign w:val="center"/>
            <w:hideMark/>
          </w:tcPr>
          <w:p w14:paraId="36E67BAD" w14:textId="77777777" w:rsidR="00AB3852" w:rsidRPr="0099355B" w:rsidRDefault="00AB3852" w:rsidP="00AB3852">
            <w:pPr>
              <w:jc w:val="center"/>
              <w:rPr>
                <w:color w:val="000000"/>
                <w:sz w:val="18"/>
                <w:szCs w:val="18"/>
              </w:rPr>
            </w:pPr>
            <w:r w:rsidRPr="0099355B">
              <w:rPr>
                <w:color w:val="000000"/>
                <w:sz w:val="18"/>
                <w:szCs w:val="18"/>
              </w:rPr>
              <w:t>0.560</w:t>
            </w:r>
          </w:p>
        </w:tc>
        <w:tc>
          <w:tcPr>
            <w:tcW w:w="0" w:type="auto"/>
            <w:tcBorders>
              <w:top w:val="nil"/>
              <w:left w:val="nil"/>
              <w:bottom w:val="nil"/>
              <w:right w:val="nil"/>
            </w:tcBorders>
            <w:shd w:val="clear" w:color="auto" w:fill="auto"/>
            <w:noWrap/>
            <w:vAlign w:val="center"/>
            <w:hideMark/>
          </w:tcPr>
          <w:p w14:paraId="43236474" w14:textId="77777777" w:rsidR="00AB3852" w:rsidRPr="0099355B" w:rsidRDefault="00AB3852" w:rsidP="00AB3852">
            <w:pPr>
              <w:jc w:val="center"/>
              <w:rPr>
                <w:color w:val="000000"/>
                <w:sz w:val="18"/>
                <w:szCs w:val="18"/>
              </w:rPr>
            </w:pPr>
            <w:r w:rsidRPr="0099355B">
              <w:rPr>
                <w:color w:val="000000"/>
                <w:sz w:val="18"/>
                <w:szCs w:val="18"/>
              </w:rPr>
              <w:t>17.76</w:t>
            </w:r>
          </w:p>
        </w:tc>
        <w:tc>
          <w:tcPr>
            <w:tcW w:w="0" w:type="auto"/>
            <w:tcBorders>
              <w:top w:val="nil"/>
              <w:left w:val="nil"/>
              <w:bottom w:val="nil"/>
              <w:right w:val="nil"/>
            </w:tcBorders>
            <w:shd w:val="clear" w:color="auto" w:fill="auto"/>
            <w:noWrap/>
            <w:vAlign w:val="center"/>
            <w:hideMark/>
          </w:tcPr>
          <w:p w14:paraId="3FD1905B" w14:textId="77777777" w:rsidR="00AB3852" w:rsidRPr="0099355B" w:rsidRDefault="00AB3852" w:rsidP="00AB3852">
            <w:pPr>
              <w:jc w:val="center"/>
              <w:rPr>
                <w:color w:val="000000"/>
                <w:sz w:val="18"/>
                <w:szCs w:val="18"/>
              </w:rPr>
            </w:pPr>
            <w:r w:rsidRPr="0099355B">
              <w:rPr>
                <w:color w:val="000000"/>
                <w:sz w:val="18"/>
                <w:szCs w:val="18"/>
              </w:rPr>
              <w:t>8.85</w:t>
            </w:r>
          </w:p>
        </w:tc>
        <w:tc>
          <w:tcPr>
            <w:tcW w:w="0" w:type="auto"/>
            <w:tcBorders>
              <w:top w:val="nil"/>
              <w:left w:val="nil"/>
              <w:bottom w:val="nil"/>
              <w:right w:val="nil"/>
            </w:tcBorders>
            <w:shd w:val="clear" w:color="auto" w:fill="auto"/>
            <w:noWrap/>
            <w:vAlign w:val="center"/>
            <w:hideMark/>
          </w:tcPr>
          <w:p w14:paraId="659BC135" w14:textId="77777777" w:rsidR="00AB3852" w:rsidRPr="0099355B" w:rsidRDefault="00AB3852" w:rsidP="00AB3852">
            <w:pPr>
              <w:jc w:val="center"/>
              <w:rPr>
                <w:color w:val="000000"/>
                <w:sz w:val="18"/>
                <w:szCs w:val="18"/>
              </w:rPr>
            </w:pPr>
            <w:r w:rsidRPr="0099355B">
              <w:rPr>
                <w:color w:val="000000"/>
                <w:sz w:val="18"/>
                <w:szCs w:val="18"/>
              </w:rPr>
              <w:t>11.05</w:t>
            </w:r>
          </w:p>
        </w:tc>
        <w:tc>
          <w:tcPr>
            <w:tcW w:w="0" w:type="auto"/>
            <w:tcBorders>
              <w:top w:val="nil"/>
              <w:left w:val="nil"/>
              <w:bottom w:val="nil"/>
              <w:right w:val="nil"/>
            </w:tcBorders>
            <w:shd w:val="clear" w:color="auto" w:fill="auto"/>
            <w:noWrap/>
            <w:vAlign w:val="center"/>
            <w:hideMark/>
          </w:tcPr>
          <w:p w14:paraId="234FF967" w14:textId="77777777" w:rsidR="00AB3852" w:rsidRPr="0099355B" w:rsidRDefault="00AB3852" w:rsidP="00AB3852">
            <w:pPr>
              <w:jc w:val="center"/>
              <w:rPr>
                <w:color w:val="000000"/>
                <w:sz w:val="18"/>
                <w:szCs w:val="18"/>
              </w:rPr>
            </w:pPr>
            <w:r w:rsidRPr="0099355B">
              <w:rPr>
                <w:color w:val="000000"/>
                <w:sz w:val="18"/>
                <w:szCs w:val="18"/>
              </w:rPr>
              <w:t>175%</w:t>
            </w:r>
          </w:p>
        </w:tc>
        <w:tc>
          <w:tcPr>
            <w:tcW w:w="0" w:type="auto"/>
            <w:tcBorders>
              <w:top w:val="nil"/>
              <w:left w:val="nil"/>
              <w:bottom w:val="nil"/>
              <w:right w:val="nil"/>
            </w:tcBorders>
            <w:shd w:val="clear" w:color="auto" w:fill="auto"/>
            <w:noWrap/>
            <w:vAlign w:val="center"/>
            <w:hideMark/>
          </w:tcPr>
          <w:p w14:paraId="4E1FB484" w14:textId="77777777" w:rsidR="00AB3852" w:rsidRPr="0099355B" w:rsidRDefault="00AB3852" w:rsidP="00AB3852">
            <w:pPr>
              <w:jc w:val="center"/>
              <w:rPr>
                <w:color w:val="000000"/>
                <w:sz w:val="18"/>
                <w:szCs w:val="18"/>
              </w:rPr>
            </w:pPr>
            <w:r w:rsidRPr="0099355B">
              <w:rPr>
                <w:color w:val="000000"/>
                <w:sz w:val="18"/>
                <w:szCs w:val="18"/>
              </w:rPr>
              <w:t>0.034</w:t>
            </w:r>
          </w:p>
        </w:tc>
        <w:tc>
          <w:tcPr>
            <w:tcW w:w="0" w:type="auto"/>
            <w:tcBorders>
              <w:top w:val="nil"/>
              <w:left w:val="nil"/>
              <w:bottom w:val="nil"/>
              <w:right w:val="nil"/>
            </w:tcBorders>
            <w:shd w:val="clear" w:color="auto" w:fill="auto"/>
            <w:noWrap/>
            <w:vAlign w:val="center"/>
            <w:hideMark/>
          </w:tcPr>
          <w:p w14:paraId="315D0C76" w14:textId="77777777" w:rsidR="00AB3852" w:rsidRPr="0099355B" w:rsidRDefault="00AB3852" w:rsidP="00AB3852">
            <w:pPr>
              <w:jc w:val="center"/>
              <w:rPr>
                <w:color w:val="000000"/>
                <w:sz w:val="18"/>
                <w:szCs w:val="18"/>
              </w:rPr>
            </w:pPr>
            <w:r w:rsidRPr="0099355B">
              <w:rPr>
                <w:color w:val="000000"/>
                <w:sz w:val="18"/>
                <w:szCs w:val="18"/>
              </w:rPr>
              <w:t>16.31</w:t>
            </w:r>
          </w:p>
        </w:tc>
        <w:tc>
          <w:tcPr>
            <w:tcW w:w="0" w:type="auto"/>
            <w:tcBorders>
              <w:top w:val="nil"/>
              <w:left w:val="nil"/>
              <w:bottom w:val="nil"/>
              <w:right w:val="nil"/>
            </w:tcBorders>
            <w:shd w:val="clear" w:color="auto" w:fill="auto"/>
            <w:noWrap/>
            <w:vAlign w:val="center"/>
            <w:hideMark/>
          </w:tcPr>
          <w:p w14:paraId="59B3E2E8" w14:textId="77777777" w:rsidR="00AB3852" w:rsidRPr="0099355B" w:rsidRDefault="00AB3852" w:rsidP="00AB3852">
            <w:pPr>
              <w:jc w:val="center"/>
              <w:rPr>
                <w:color w:val="000000"/>
                <w:sz w:val="18"/>
                <w:szCs w:val="18"/>
              </w:rPr>
            </w:pPr>
            <w:r w:rsidRPr="0099355B">
              <w:rPr>
                <w:color w:val="000000"/>
                <w:sz w:val="18"/>
                <w:szCs w:val="18"/>
              </w:rPr>
              <w:t>163%</w:t>
            </w:r>
          </w:p>
        </w:tc>
        <w:tc>
          <w:tcPr>
            <w:tcW w:w="0" w:type="auto"/>
            <w:tcBorders>
              <w:top w:val="nil"/>
              <w:left w:val="nil"/>
              <w:bottom w:val="nil"/>
              <w:right w:val="nil"/>
            </w:tcBorders>
            <w:shd w:val="clear" w:color="auto" w:fill="auto"/>
            <w:noWrap/>
            <w:vAlign w:val="center"/>
            <w:hideMark/>
          </w:tcPr>
          <w:p w14:paraId="6514C887" w14:textId="77777777" w:rsidR="00AB3852" w:rsidRPr="0099355B" w:rsidRDefault="00AB3852" w:rsidP="00AB3852">
            <w:pPr>
              <w:jc w:val="center"/>
              <w:rPr>
                <w:color w:val="000000"/>
                <w:sz w:val="18"/>
                <w:szCs w:val="18"/>
              </w:rPr>
            </w:pPr>
            <w:r w:rsidRPr="0099355B">
              <w:rPr>
                <w:color w:val="000000"/>
                <w:sz w:val="18"/>
                <w:szCs w:val="18"/>
              </w:rPr>
              <w:t>187%</w:t>
            </w:r>
          </w:p>
        </w:tc>
      </w:tr>
      <w:tr w:rsidR="00AB3852" w:rsidRPr="0099355B" w14:paraId="6A80606A"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4F659645"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0742A89E" w14:textId="77777777" w:rsidR="00AB3852" w:rsidRPr="0099355B" w:rsidRDefault="00AB3852" w:rsidP="00AB3852">
            <w:pPr>
              <w:jc w:val="center"/>
              <w:rPr>
                <w:color w:val="000000"/>
                <w:sz w:val="18"/>
                <w:szCs w:val="18"/>
              </w:rPr>
            </w:pPr>
            <w:r w:rsidRPr="0099355B">
              <w:rPr>
                <w:color w:val="000000"/>
                <w:sz w:val="18"/>
                <w:szCs w:val="18"/>
              </w:rPr>
              <w:t>1</w:t>
            </w:r>
          </w:p>
        </w:tc>
        <w:tc>
          <w:tcPr>
            <w:tcW w:w="0" w:type="auto"/>
            <w:tcBorders>
              <w:top w:val="nil"/>
              <w:left w:val="nil"/>
              <w:bottom w:val="nil"/>
              <w:right w:val="nil"/>
            </w:tcBorders>
            <w:shd w:val="clear" w:color="auto" w:fill="auto"/>
            <w:noWrap/>
            <w:vAlign w:val="center"/>
            <w:hideMark/>
          </w:tcPr>
          <w:p w14:paraId="234B56D2" w14:textId="77777777" w:rsidR="00AB3852" w:rsidRPr="0099355B" w:rsidRDefault="00AB3852" w:rsidP="00AB3852">
            <w:pPr>
              <w:jc w:val="center"/>
              <w:rPr>
                <w:color w:val="000000"/>
                <w:sz w:val="18"/>
                <w:szCs w:val="18"/>
              </w:rPr>
            </w:pPr>
            <w:r w:rsidRPr="0099355B">
              <w:rPr>
                <w:color w:val="000000"/>
                <w:sz w:val="18"/>
                <w:szCs w:val="18"/>
              </w:rPr>
              <w:t>3.44</w:t>
            </w:r>
          </w:p>
        </w:tc>
        <w:tc>
          <w:tcPr>
            <w:tcW w:w="0" w:type="auto"/>
            <w:tcBorders>
              <w:top w:val="nil"/>
              <w:left w:val="nil"/>
              <w:bottom w:val="nil"/>
              <w:right w:val="nil"/>
            </w:tcBorders>
            <w:shd w:val="clear" w:color="auto" w:fill="auto"/>
            <w:noWrap/>
            <w:vAlign w:val="center"/>
            <w:hideMark/>
          </w:tcPr>
          <w:p w14:paraId="1C4E6A38" w14:textId="77777777" w:rsidR="00AB3852" w:rsidRPr="0099355B" w:rsidRDefault="00AB3852" w:rsidP="00AB3852">
            <w:pPr>
              <w:jc w:val="center"/>
              <w:rPr>
                <w:color w:val="000000"/>
                <w:sz w:val="18"/>
                <w:szCs w:val="18"/>
              </w:rPr>
            </w:pPr>
            <w:r w:rsidRPr="0099355B">
              <w:rPr>
                <w:color w:val="000000"/>
                <w:sz w:val="18"/>
                <w:szCs w:val="18"/>
              </w:rPr>
              <w:t>0.395</w:t>
            </w:r>
          </w:p>
        </w:tc>
        <w:tc>
          <w:tcPr>
            <w:tcW w:w="0" w:type="auto"/>
            <w:tcBorders>
              <w:top w:val="nil"/>
              <w:left w:val="nil"/>
              <w:bottom w:val="nil"/>
              <w:right w:val="nil"/>
            </w:tcBorders>
            <w:shd w:val="clear" w:color="auto" w:fill="auto"/>
            <w:noWrap/>
            <w:vAlign w:val="center"/>
            <w:hideMark/>
          </w:tcPr>
          <w:p w14:paraId="074D951A" w14:textId="77777777" w:rsidR="00AB3852" w:rsidRPr="0099355B" w:rsidRDefault="00AB3852" w:rsidP="00AB3852">
            <w:pPr>
              <w:jc w:val="center"/>
              <w:rPr>
                <w:color w:val="000000"/>
                <w:sz w:val="18"/>
                <w:szCs w:val="18"/>
              </w:rPr>
            </w:pPr>
            <w:r w:rsidRPr="0099355B">
              <w:rPr>
                <w:color w:val="000000"/>
                <w:sz w:val="18"/>
                <w:szCs w:val="18"/>
              </w:rPr>
              <w:t>8.70</w:t>
            </w:r>
          </w:p>
        </w:tc>
        <w:tc>
          <w:tcPr>
            <w:tcW w:w="0" w:type="auto"/>
            <w:tcBorders>
              <w:top w:val="nil"/>
              <w:left w:val="nil"/>
              <w:bottom w:val="nil"/>
              <w:right w:val="nil"/>
            </w:tcBorders>
            <w:shd w:val="clear" w:color="auto" w:fill="auto"/>
            <w:noWrap/>
            <w:vAlign w:val="center"/>
            <w:hideMark/>
          </w:tcPr>
          <w:p w14:paraId="465DC71C" w14:textId="77777777" w:rsidR="00AB3852" w:rsidRPr="0099355B" w:rsidRDefault="00AB3852" w:rsidP="00AB3852">
            <w:pPr>
              <w:jc w:val="center"/>
              <w:rPr>
                <w:color w:val="000000"/>
                <w:sz w:val="18"/>
                <w:szCs w:val="18"/>
              </w:rPr>
            </w:pPr>
            <w:r w:rsidRPr="0099355B">
              <w:rPr>
                <w:color w:val="000000"/>
                <w:sz w:val="18"/>
                <w:szCs w:val="18"/>
              </w:rPr>
              <w:t>2.66</w:t>
            </w:r>
          </w:p>
        </w:tc>
        <w:tc>
          <w:tcPr>
            <w:tcW w:w="0" w:type="auto"/>
            <w:tcBorders>
              <w:top w:val="nil"/>
              <w:left w:val="nil"/>
              <w:bottom w:val="nil"/>
              <w:right w:val="nil"/>
            </w:tcBorders>
            <w:shd w:val="clear" w:color="auto" w:fill="auto"/>
            <w:noWrap/>
            <w:vAlign w:val="center"/>
            <w:hideMark/>
          </w:tcPr>
          <w:p w14:paraId="16AC4DA6" w14:textId="77777777" w:rsidR="00AB3852" w:rsidRPr="0099355B" w:rsidRDefault="00AB3852" w:rsidP="00AB3852">
            <w:pPr>
              <w:jc w:val="center"/>
              <w:rPr>
                <w:color w:val="000000"/>
                <w:sz w:val="18"/>
                <w:szCs w:val="18"/>
              </w:rPr>
            </w:pPr>
            <w:r w:rsidRPr="0099355B">
              <w:rPr>
                <w:color w:val="000000"/>
                <w:sz w:val="18"/>
                <w:szCs w:val="18"/>
              </w:rPr>
              <w:t>4.21</w:t>
            </w:r>
          </w:p>
        </w:tc>
        <w:tc>
          <w:tcPr>
            <w:tcW w:w="0" w:type="auto"/>
            <w:tcBorders>
              <w:top w:val="nil"/>
              <w:left w:val="nil"/>
              <w:bottom w:val="nil"/>
              <w:right w:val="nil"/>
            </w:tcBorders>
            <w:shd w:val="clear" w:color="auto" w:fill="auto"/>
            <w:noWrap/>
            <w:vAlign w:val="center"/>
            <w:hideMark/>
          </w:tcPr>
          <w:p w14:paraId="6B2B8FED" w14:textId="77777777" w:rsidR="00AB3852" w:rsidRPr="0099355B" w:rsidRDefault="00AB3852" w:rsidP="00AB3852">
            <w:pPr>
              <w:jc w:val="center"/>
              <w:rPr>
                <w:color w:val="000000"/>
                <w:sz w:val="18"/>
                <w:szCs w:val="18"/>
              </w:rPr>
            </w:pPr>
            <w:r w:rsidRPr="0099355B">
              <w:rPr>
                <w:color w:val="000000"/>
                <w:sz w:val="18"/>
                <w:szCs w:val="18"/>
              </w:rPr>
              <w:t>127%</w:t>
            </w:r>
          </w:p>
        </w:tc>
        <w:tc>
          <w:tcPr>
            <w:tcW w:w="0" w:type="auto"/>
            <w:tcBorders>
              <w:top w:val="nil"/>
              <w:left w:val="nil"/>
              <w:bottom w:val="nil"/>
              <w:right w:val="nil"/>
            </w:tcBorders>
            <w:shd w:val="clear" w:color="auto" w:fill="auto"/>
            <w:noWrap/>
            <w:vAlign w:val="center"/>
            <w:hideMark/>
          </w:tcPr>
          <w:p w14:paraId="013D60E7" w14:textId="77777777" w:rsidR="00AB3852" w:rsidRPr="0099355B" w:rsidRDefault="00AB3852" w:rsidP="00AB3852">
            <w:pPr>
              <w:jc w:val="center"/>
              <w:rPr>
                <w:color w:val="000000"/>
                <w:sz w:val="18"/>
                <w:szCs w:val="18"/>
              </w:rPr>
            </w:pPr>
            <w:r w:rsidRPr="0099355B">
              <w:rPr>
                <w:color w:val="000000"/>
                <w:sz w:val="18"/>
                <w:szCs w:val="18"/>
              </w:rPr>
              <w:t>0.025</w:t>
            </w:r>
          </w:p>
        </w:tc>
        <w:tc>
          <w:tcPr>
            <w:tcW w:w="0" w:type="auto"/>
            <w:tcBorders>
              <w:top w:val="nil"/>
              <w:left w:val="nil"/>
              <w:bottom w:val="nil"/>
              <w:right w:val="nil"/>
            </w:tcBorders>
            <w:shd w:val="clear" w:color="auto" w:fill="auto"/>
            <w:noWrap/>
            <w:vAlign w:val="center"/>
            <w:hideMark/>
          </w:tcPr>
          <w:p w14:paraId="2ABB1D51" w14:textId="77777777" w:rsidR="00AB3852" w:rsidRPr="0099355B" w:rsidRDefault="00AB3852" w:rsidP="00AB3852">
            <w:pPr>
              <w:jc w:val="center"/>
              <w:rPr>
                <w:color w:val="000000"/>
                <w:sz w:val="18"/>
                <w:szCs w:val="18"/>
              </w:rPr>
            </w:pPr>
            <w:r w:rsidRPr="0099355B">
              <w:rPr>
                <w:color w:val="000000"/>
                <w:sz w:val="18"/>
                <w:szCs w:val="18"/>
              </w:rPr>
              <w:t>9.77</w:t>
            </w:r>
          </w:p>
        </w:tc>
        <w:tc>
          <w:tcPr>
            <w:tcW w:w="0" w:type="auto"/>
            <w:tcBorders>
              <w:top w:val="nil"/>
              <w:left w:val="nil"/>
              <w:bottom w:val="nil"/>
              <w:right w:val="nil"/>
            </w:tcBorders>
            <w:shd w:val="clear" w:color="auto" w:fill="auto"/>
            <w:noWrap/>
            <w:vAlign w:val="center"/>
            <w:hideMark/>
          </w:tcPr>
          <w:p w14:paraId="67606406" w14:textId="77777777" w:rsidR="00AB3852" w:rsidRPr="0099355B" w:rsidRDefault="00AB3852" w:rsidP="00AB3852">
            <w:pPr>
              <w:jc w:val="center"/>
              <w:rPr>
                <w:color w:val="000000"/>
                <w:sz w:val="18"/>
                <w:szCs w:val="18"/>
              </w:rPr>
            </w:pPr>
            <w:r w:rsidRPr="0099355B">
              <w:rPr>
                <w:color w:val="000000"/>
                <w:sz w:val="18"/>
                <w:szCs w:val="18"/>
              </w:rPr>
              <w:t>121%</w:t>
            </w:r>
          </w:p>
        </w:tc>
        <w:tc>
          <w:tcPr>
            <w:tcW w:w="0" w:type="auto"/>
            <w:tcBorders>
              <w:top w:val="nil"/>
              <w:left w:val="nil"/>
              <w:bottom w:val="nil"/>
              <w:right w:val="nil"/>
            </w:tcBorders>
            <w:shd w:val="clear" w:color="auto" w:fill="auto"/>
            <w:noWrap/>
            <w:vAlign w:val="center"/>
            <w:hideMark/>
          </w:tcPr>
          <w:p w14:paraId="77EA16FA" w14:textId="77777777" w:rsidR="00AB3852" w:rsidRPr="0099355B" w:rsidRDefault="00AB3852" w:rsidP="00AB3852">
            <w:pPr>
              <w:jc w:val="center"/>
              <w:rPr>
                <w:color w:val="000000"/>
                <w:sz w:val="18"/>
                <w:szCs w:val="18"/>
              </w:rPr>
            </w:pPr>
            <w:r w:rsidRPr="0099355B">
              <w:rPr>
                <w:color w:val="000000"/>
                <w:sz w:val="18"/>
                <w:szCs w:val="18"/>
              </w:rPr>
              <w:t>134%</w:t>
            </w:r>
          </w:p>
        </w:tc>
      </w:tr>
      <w:tr w:rsidR="00AB3852" w:rsidRPr="0099355B" w14:paraId="021FE833"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59FFBC6A" w14:textId="77777777" w:rsidR="00AB3852" w:rsidRPr="0099355B" w:rsidRDefault="00AB3852" w:rsidP="00AB3852">
            <w:pPr>
              <w:jc w:val="center"/>
              <w:rPr>
                <w:color w:val="000000"/>
                <w:sz w:val="18"/>
                <w:szCs w:val="18"/>
              </w:rPr>
            </w:pPr>
            <w:r w:rsidRPr="0099355B">
              <w:rPr>
                <w:color w:val="000000"/>
                <w:sz w:val="18"/>
                <w:szCs w:val="18"/>
              </w:rPr>
              <w:t>item 2</w:t>
            </w:r>
          </w:p>
        </w:tc>
        <w:tc>
          <w:tcPr>
            <w:tcW w:w="0" w:type="auto"/>
            <w:tcBorders>
              <w:top w:val="nil"/>
              <w:left w:val="nil"/>
              <w:bottom w:val="nil"/>
              <w:right w:val="nil"/>
            </w:tcBorders>
            <w:shd w:val="clear" w:color="auto" w:fill="auto"/>
            <w:noWrap/>
            <w:vAlign w:val="center"/>
            <w:hideMark/>
          </w:tcPr>
          <w:p w14:paraId="42EC1CA7" w14:textId="77777777" w:rsidR="00AB3852" w:rsidRPr="0099355B" w:rsidRDefault="00AB3852" w:rsidP="00AB3852">
            <w:pPr>
              <w:jc w:val="center"/>
              <w:rPr>
                <w:color w:val="000000"/>
                <w:sz w:val="18"/>
                <w:szCs w:val="18"/>
              </w:rPr>
            </w:pPr>
            <w:r w:rsidRPr="0099355B">
              <w:rPr>
                <w:color w:val="000000"/>
                <w:sz w:val="18"/>
                <w:szCs w:val="18"/>
              </w:rPr>
              <w:t>2</w:t>
            </w:r>
          </w:p>
        </w:tc>
        <w:tc>
          <w:tcPr>
            <w:tcW w:w="0" w:type="auto"/>
            <w:tcBorders>
              <w:top w:val="nil"/>
              <w:left w:val="nil"/>
              <w:bottom w:val="nil"/>
              <w:right w:val="nil"/>
            </w:tcBorders>
            <w:shd w:val="clear" w:color="auto" w:fill="auto"/>
            <w:noWrap/>
            <w:vAlign w:val="center"/>
            <w:hideMark/>
          </w:tcPr>
          <w:p w14:paraId="77140CF4" w14:textId="77777777" w:rsidR="00AB3852" w:rsidRPr="0099355B" w:rsidRDefault="00AB3852" w:rsidP="00AB3852">
            <w:pPr>
              <w:jc w:val="center"/>
              <w:rPr>
                <w:color w:val="000000"/>
                <w:sz w:val="18"/>
                <w:szCs w:val="18"/>
              </w:rPr>
            </w:pPr>
            <w:r w:rsidRPr="0099355B">
              <w:rPr>
                <w:color w:val="000000"/>
                <w:sz w:val="18"/>
                <w:szCs w:val="18"/>
              </w:rPr>
              <w:t>8.34</w:t>
            </w:r>
          </w:p>
        </w:tc>
        <w:tc>
          <w:tcPr>
            <w:tcW w:w="0" w:type="auto"/>
            <w:tcBorders>
              <w:top w:val="nil"/>
              <w:left w:val="nil"/>
              <w:bottom w:val="nil"/>
              <w:right w:val="nil"/>
            </w:tcBorders>
            <w:shd w:val="clear" w:color="auto" w:fill="auto"/>
            <w:noWrap/>
            <w:vAlign w:val="center"/>
            <w:hideMark/>
          </w:tcPr>
          <w:p w14:paraId="5741E81F" w14:textId="77777777" w:rsidR="00AB3852" w:rsidRPr="0099355B" w:rsidRDefault="00AB3852" w:rsidP="00AB3852">
            <w:pPr>
              <w:jc w:val="center"/>
              <w:rPr>
                <w:color w:val="000000"/>
                <w:sz w:val="18"/>
                <w:szCs w:val="18"/>
              </w:rPr>
            </w:pPr>
            <w:r w:rsidRPr="0099355B">
              <w:rPr>
                <w:color w:val="000000"/>
                <w:sz w:val="18"/>
                <w:szCs w:val="18"/>
              </w:rPr>
              <w:t>0.489</w:t>
            </w:r>
          </w:p>
        </w:tc>
        <w:tc>
          <w:tcPr>
            <w:tcW w:w="0" w:type="auto"/>
            <w:tcBorders>
              <w:top w:val="nil"/>
              <w:left w:val="nil"/>
              <w:bottom w:val="nil"/>
              <w:right w:val="nil"/>
            </w:tcBorders>
            <w:shd w:val="clear" w:color="auto" w:fill="auto"/>
            <w:noWrap/>
            <w:vAlign w:val="center"/>
            <w:hideMark/>
          </w:tcPr>
          <w:p w14:paraId="1672D44A" w14:textId="77777777" w:rsidR="00AB3852" w:rsidRPr="0099355B" w:rsidRDefault="00AB3852" w:rsidP="00AB3852">
            <w:pPr>
              <w:jc w:val="center"/>
              <w:rPr>
                <w:color w:val="000000"/>
                <w:sz w:val="18"/>
                <w:szCs w:val="18"/>
              </w:rPr>
            </w:pPr>
            <w:r w:rsidRPr="0099355B">
              <w:rPr>
                <w:color w:val="000000"/>
                <w:sz w:val="18"/>
                <w:szCs w:val="18"/>
              </w:rPr>
              <w:t>17.05</w:t>
            </w:r>
          </w:p>
        </w:tc>
        <w:tc>
          <w:tcPr>
            <w:tcW w:w="0" w:type="auto"/>
            <w:tcBorders>
              <w:top w:val="nil"/>
              <w:left w:val="nil"/>
              <w:bottom w:val="nil"/>
              <w:right w:val="nil"/>
            </w:tcBorders>
            <w:shd w:val="clear" w:color="auto" w:fill="auto"/>
            <w:noWrap/>
            <w:vAlign w:val="center"/>
            <w:hideMark/>
          </w:tcPr>
          <w:p w14:paraId="4E46EB5B" w14:textId="77777777" w:rsidR="00AB3852" w:rsidRPr="0099355B" w:rsidRDefault="00AB3852" w:rsidP="00AB3852">
            <w:pPr>
              <w:jc w:val="center"/>
              <w:rPr>
                <w:color w:val="000000"/>
                <w:sz w:val="18"/>
                <w:szCs w:val="18"/>
              </w:rPr>
            </w:pPr>
            <w:r w:rsidRPr="0099355B">
              <w:rPr>
                <w:color w:val="000000"/>
                <w:sz w:val="18"/>
                <w:szCs w:val="18"/>
              </w:rPr>
              <w:t>7.38</w:t>
            </w:r>
          </w:p>
        </w:tc>
        <w:tc>
          <w:tcPr>
            <w:tcW w:w="0" w:type="auto"/>
            <w:tcBorders>
              <w:top w:val="nil"/>
              <w:left w:val="nil"/>
              <w:bottom w:val="nil"/>
              <w:right w:val="nil"/>
            </w:tcBorders>
            <w:shd w:val="clear" w:color="auto" w:fill="auto"/>
            <w:noWrap/>
            <w:vAlign w:val="center"/>
            <w:hideMark/>
          </w:tcPr>
          <w:p w14:paraId="11BFDF0C" w14:textId="77777777" w:rsidR="00AB3852" w:rsidRPr="0099355B" w:rsidRDefault="00AB3852" w:rsidP="00AB3852">
            <w:pPr>
              <w:jc w:val="center"/>
              <w:rPr>
                <w:color w:val="000000"/>
                <w:sz w:val="18"/>
                <w:szCs w:val="18"/>
              </w:rPr>
            </w:pPr>
            <w:r w:rsidRPr="0099355B">
              <w:rPr>
                <w:color w:val="000000"/>
                <w:sz w:val="18"/>
                <w:szCs w:val="18"/>
              </w:rPr>
              <w:t>9.30</w:t>
            </w:r>
          </w:p>
        </w:tc>
        <w:tc>
          <w:tcPr>
            <w:tcW w:w="0" w:type="auto"/>
            <w:tcBorders>
              <w:top w:val="nil"/>
              <w:left w:val="nil"/>
              <w:bottom w:val="nil"/>
              <w:right w:val="nil"/>
            </w:tcBorders>
            <w:shd w:val="clear" w:color="auto" w:fill="auto"/>
            <w:noWrap/>
            <w:vAlign w:val="center"/>
            <w:hideMark/>
          </w:tcPr>
          <w:p w14:paraId="08DC92CC" w14:textId="77777777" w:rsidR="00AB3852" w:rsidRPr="0099355B" w:rsidRDefault="00AB3852" w:rsidP="00AB3852">
            <w:pPr>
              <w:jc w:val="center"/>
              <w:rPr>
                <w:color w:val="000000"/>
                <w:sz w:val="18"/>
                <w:szCs w:val="18"/>
              </w:rPr>
            </w:pPr>
            <w:r w:rsidRPr="0099355B">
              <w:rPr>
                <w:color w:val="000000"/>
                <w:sz w:val="18"/>
                <w:szCs w:val="18"/>
              </w:rPr>
              <w:t>166%</w:t>
            </w:r>
          </w:p>
        </w:tc>
        <w:tc>
          <w:tcPr>
            <w:tcW w:w="0" w:type="auto"/>
            <w:tcBorders>
              <w:top w:val="nil"/>
              <w:left w:val="nil"/>
              <w:bottom w:val="nil"/>
              <w:right w:val="nil"/>
            </w:tcBorders>
            <w:shd w:val="clear" w:color="auto" w:fill="auto"/>
            <w:noWrap/>
            <w:vAlign w:val="center"/>
            <w:hideMark/>
          </w:tcPr>
          <w:p w14:paraId="10F861DF" w14:textId="77777777" w:rsidR="00AB3852" w:rsidRPr="0099355B" w:rsidRDefault="00AB3852" w:rsidP="00AB3852">
            <w:pPr>
              <w:jc w:val="center"/>
              <w:rPr>
                <w:color w:val="000000"/>
                <w:sz w:val="18"/>
                <w:szCs w:val="18"/>
              </w:rPr>
            </w:pPr>
            <w:r w:rsidRPr="0099355B">
              <w:rPr>
                <w:color w:val="000000"/>
                <w:sz w:val="18"/>
                <w:szCs w:val="18"/>
              </w:rPr>
              <w:t>0.031</w:t>
            </w:r>
          </w:p>
        </w:tc>
        <w:tc>
          <w:tcPr>
            <w:tcW w:w="0" w:type="auto"/>
            <w:tcBorders>
              <w:top w:val="nil"/>
              <w:left w:val="nil"/>
              <w:bottom w:val="nil"/>
              <w:right w:val="nil"/>
            </w:tcBorders>
            <w:shd w:val="clear" w:color="auto" w:fill="auto"/>
            <w:noWrap/>
            <w:vAlign w:val="center"/>
            <w:hideMark/>
          </w:tcPr>
          <w:p w14:paraId="23CF5F9C" w14:textId="77777777" w:rsidR="00AB3852" w:rsidRPr="0099355B" w:rsidRDefault="00AB3852" w:rsidP="00AB3852">
            <w:pPr>
              <w:jc w:val="center"/>
              <w:rPr>
                <w:color w:val="000000"/>
                <w:sz w:val="18"/>
                <w:szCs w:val="18"/>
              </w:rPr>
            </w:pPr>
            <w:r w:rsidRPr="0099355B">
              <w:rPr>
                <w:color w:val="000000"/>
                <w:sz w:val="18"/>
                <w:szCs w:val="18"/>
              </w:rPr>
              <w:t>16.57</w:t>
            </w:r>
          </w:p>
        </w:tc>
        <w:tc>
          <w:tcPr>
            <w:tcW w:w="0" w:type="auto"/>
            <w:tcBorders>
              <w:top w:val="nil"/>
              <w:left w:val="nil"/>
              <w:bottom w:val="nil"/>
              <w:right w:val="nil"/>
            </w:tcBorders>
            <w:shd w:val="clear" w:color="auto" w:fill="auto"/>
            <w:noWrap/>
            <w:vAlign w:val="center"/>
            <w:hideMark/>
          </w:tcPr>
          <w:p w14:paraId="6593B4F8" w14:textId="77777777" w:rsidR="00AB3852" w:rsidRPr="0099355B" w:rsidRDefault="00AB3852" w:rsidP="00AB3852">
            <w:pPr>
              <w:jc w:val="center"/>
              <w:rPr>
                <w:color w:val="000000"/>
                <w:sz w:val="18"/>
                <w:szCs w:val="18"/>
              </w:rPr>
            </w:pPr>
            <w:r w:rsidRPr="0099355B">
              <w:rPr>
                <w:color w:val="000000"/>
                <w:sz w:val="18"/>
                <w:szCs w:val="18"/>
              </w:rPr>
              <w:t>156%</w:t>
            </w:r>
          </w:p>
        </w:tc>
        <w:tc>
          <w:tcPr>
            <w:tcW w:w="0" w:type="auto"/>
            <w:tcBorders>
              <w:top w:val="nil"/>
              <w:left w:val="nil"/>
              <w:bottom w:val="nil"/>
              <w:right w:val="nil"/>
            </w:tcBorders>
            <w:shd w:val="clear" w:color="auto" w:fill="auto"/>
            <w:noWrap/>
            <w:vAlign w:val="center"/>
            <w:hideMark/>
          </w:tcPr>
          <w:p w14:paraId="6E926B01" w14:textId="77777777" w:rsidR="00AB3852" w:rsidRPr="0099355B" w:rsidRDefault="00AB3852" w:rsidP="00AB3852">
            <w:pPr>
              <w:jc w:val="center"/>
              <w:rPr>
                <w:color w:val="000000"/>
                <w:sz w:val="18"/>
                <w:szCs w:val="18"/>
              </w:rPr>
            </w:pPr>
            <w:r w:rsidRPr="0099355B">
              <w:rPr>
                <w:color w:val="000000"/>
                <w:sz w:val="18"/>
                <w:szCs w:val="18"/>
              </w:rPr>
              <w:t>176%</w:t>
            </w:r>
          </w:p>
        </w:tc>
      </w:tr>
      <w:tr w:rsidR="00AB3852" w:rsidRPr="0099355B" w14:paraId="6B1356FF"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1D1B901F"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4574B374" w14:textId="77777777" w:rsidR="00AB3852" w:rsidRPr="0099355B" w:rsidRDefault="00AB3852" w:rsidP="00AB3852">
            <w:pPr>
              <w:jc w:val="center"/>
              <w:rPr>
                <w:color w:val="000000"/>
                <w:sz w:val="18"/>
                <w:szCs w:val="18"/>
              </w:rPr>
            </w:pPr>
            <w:r w:rsidRPr="0099355B">
              <w:rPr>
                <w:color w:val="000000"/>
                <w:sz w:val="18"/>
                <w:szCs w:val="18"/>
              </w:rPr>
              <w:t>3</w:t>
            </w:r>
          </w:p>
        </w:tc>
        <w:tc>
          <w:tcPr>
            <w:tcW w:w="0" w:type="auto"/>
            <w:tcBorders>
              <w:top w:val="nil"/>
              <w:left w:val="nil"/>
              <w:bottom w:val="nil"/>
              <w:right w:val="nil"/>
            </w:tcBorders>
            <w:shd w:val="clear" w:color="auto" w:fill="auto"/>
            <w:noWrap/>
            <w:vAlign w:val="center"/>
            <w:hideMark/>
          </w:tcPr>
          <w:p w14:paraId="291550D8" w14:textId="77777777" w:rsidR="00AB3852" w:rsidRPr="0099355B" w:rsidRDefault="00AB3852" w:rsidP="00AB3852">
            <w:pPr>
              <w:jc w:val="center"/>
              <w:rPr>
                <w:color w:val="000000"/>
                <w:sz w:val="18"/>
                <w:szCs w:val="18"/>
              </w:rPr>
            </w:pPr>
            <w:r w:rsidRPr="0099355B">
              <w:rPr>
                <w:color w:val="000000"/>
                <w:sz w:val="18"/>
                <w:szCs w:val="18"/>
              </w:rPr>
              <w:t>11.29</w:t>
            </w:r>
          </w:p>
        </w:tc>
        <w:tc>
          <w:tcPr>
            <w:tcW w:w="0" w:type="auto"/>
            <w:tcBorders>
              <w:top w:val="nil"/>
              <w:left w:val="nil"/>
              <w:bottom w:val="nil"/>
              <w:right w:val="nil"/>
            </w:tcBorders>
            <w:shd w:val="clear" w:color="auto" w:fill="auto"/>
            <w:noWrap/>
            <w:vAlign w:val="center"/>
            <w:hideMark/>
          </w:tcPr>
          <w:p w14:paraId="31CB30EE" w14:textId="77777777" w:rsidR="00AB3852" w:rsidRPr="0099355B" w:rsidRDefault="00AB3852" w:rsidP="00AB3852">
            <w:pPr>
              <w:jc w:val="center"/>
              <w:rPr>
                <w:color w:val="000000"/>
                <w:sz w:val="18"/>
                <w:szCs w:val="18"/>
              </w:rPr>
            </w:pPr>
            <w:r w:rsidRPr="0099355B">
              <w:rPr>
                <w:color w:val="000000"/>
                <w:sz w:val="18"/>
                <w:szCs w:val="18"/>
              </w:rPr>
              <w:t>0.533</w:t>
            </w:r>
          </w:p>
        </w:tc>
        <w:tc>
          <w:tcPr>
            <w:tcW w:w="0" w:type="auto"/>
            <w:tcBorders>
              <w:top w:val="nil"/>
              <w:left w:val="nil"/>
              <w:bottom w:val="nil"/>
              <w:right w:val="nil"/>
            </w:tcBorders>
            <w:shd w:val="clear" w:color="auto" w:fill="auto"/>
            <w:noWrap/>
            <w:vAlign w:val="center"/>
            <w:hideMark/>
          </w:tcPr>
          <w:p w14:paraId="5B20F8B8" w14:textId="77777777" w:rsidR="00AB3852" w:rsidRPr="0099355B" w:rsidRDefault="00AB3852" w:rsidP="00AB3852">
            <w:pPr>
              <w:jc w:val="center"/>
              <w:rPr>
                <w:color w:val="000000"/>
                <w:sz w:val="18"/>
                <w:szCs w:val="18"/>
              </w:rPr>
            </w:pPr>
            <w:r w:rsidRPr="0099355B">
              <w:rPr>
                <w:color w:val="000000"/>
                <w:sz w:val="18"/>
                <w:szCs w:val="18"/>
              </w:rPr>
              <w:t>21.16</w:t>
            </w:r>
          </w:p>
        </w:tc>
        <w:tc>
          <w:tcPr>
            <w:tcW w:w="0" w:type="auto"/>
            <w:tcBorders>
              <w:top w:val="nil"/>
              <w:left w:val="nil"/>
              <w:bottom w:val="nil"/>
              <w:right w:val="nil"/>
            </w:tcBorders>
            <w:shd w:val="clear" w:color="auto" w:fill="auto"/>
            <w:noWrap/>
            <w:vAlign w:val="center"/>
            <w:hideMark/>
          </w:tcPr>
          <w:p w14:paraId="1AF29804" w14:textId="77777777" w:rsidR="00AB3852" w:rsidRPr="0099355B" w:rsidRDefault="00AB3852" w:rsidP="00AB3852">
            <w:pPr>
              <w:jc w:val="center"/>
              <w:rPr>
                <w:color w:val="000000"/>
                <w:sz w:val="18"/>
                <w:szCs w:val="18"/>
              </w:rPr>
            </w:pPr>
            <w:r w:rsidRPr="0099355B">
              <w:rPr>
                <w:color w:val="000000"/>
                <w:sz w:val="18"/>
                <w:szCs w:val="18"/>
              </w:rPr>
              <w:t>10.24</w:t>
            </w:r>
          </w:p>
        </w:tc>
        <w:tc>
          <w:tcPr>
            <w:tcW w:w="0" w:type="auto"/>
            <w:tcBorders>
              <w:top w:val="nil"/>
              <w:left w:val="nil"/>
              <w:bottom w:val="nil"/>
              <w:right w:val="nil"/>
            </w:tcBorders>
            <w:shd w:val="clear" w:color="auto" w:fill="auto"/>
            <w:noWrap/>
            <w:vAlign w:val="center"/>
            <w:hideMark/>
          </w:tcPr>
          <w:p w14:paraId="67BE9DE1" w14:textId="77777777" w:rsidR="00AB3852" w:rsidRPr="0099355B" w:rsidRDefault="00AB3852" w:rsidP="00AB3852">
            <w:pPr>
              <w:jc w:val="center"/>
              <w:rPr>
                <w:color w:val="000000"/>
                <w:sz w:val="18"/>
                <w:szCs w:val="18"/>
              </w:rPr>
            </w:pPr>
            <w:r w:rsidRPr="0099355B">
              <w:rPr>
                <w:color w:val="000000"/>
                <w:sz w:val="18"/>
                <w:szCs w:val="18"/>
              </w:rPr>
              <w:t>12.34</w:t>
            </w:r>
          </w:p>
        </w:tc>
        <w:tc>
          <w:tcPr>
            <w:tcW w:w="0" w:type="auto"/>
            <w:tcBorders>
              <w:top w:val="nil"/>
              <w:left w:val="nil"/>
              <w:bottom w:val="nil"/>
              <w:right w:val="nil"/>
            </w:tcBorders>
            <w:shd w:val="clear" w:color="auto" w:fill="auto"/>
            <w:noWrap/>
            <w:vAlign w:val="center"/>
            <w:hideMark/>
          </w:tcPr>
          <w:p w14:paraId="16BBA512" w14:textId="77777777" w:rsidR="00AB3852" w:rsidRPr="0099355B" w:rsidRDefault="00AB3852" w:rsidP="00AB3852">
            <w:pPr>
              <w:jc w:val="center"/>
              <w:rPr>
                <w:color w:val="000000"/>
                <w:sz w:val="18"/>
                <w:szCs w:val="18"/>
              </w:rPr>
            </w:pPr>
            <w:r w:rsidRPr="0099355B">
              <w:rPr>
                <w:color w:val="000000"/>
                <w:sz w:val="18"/>
                <w:szCs w:val="18"/>
              </w:rPr>
              <w:t>188%</w:t>
            </w:r>
          </w:p>
        </w:tc>
        <w:tc>
          <w:tcPr>
            <w:tcW w:w="0" w:type="auto"/>
            <w:tcBorders>
              <w:top w:val="nil"/>
              <w:left w:val="nil"/>
              <w:bottom w:val="nil"/>
              <w:right w:val="nil"/>
            </w:tcBorders>
            <w:shd w:val="clear" w:color="auto" w:fill="auto"/>
            <w:noWrap/>
            <w:vAlign w:val="center"/>
            <w:hideMark/>
          </w:tcPr>
          <w:p w14:paraId="37B85F55" w14:textId="77777777" w:rsidR="00AB3852" w:rsidRPr="0099355B" w:rsidRDefault="00AB3852" w:rsidP="00AB3852">
            <w:pPr>
              <w:jc w:val="center"/>
              <w:rPr>
                <w:color w:val="000000"/>
                <w:sz w:val="18"/>
                <w:szCs w:val="18"/>
              </w:rPr>
            </w:pPr>
            <w:r w:rsidRPr="0099355B">
              <w:rPr>
                <w:color w:val="000000"/>
                <w:sz w:val="18"/>
                <w:szCs w:val="18"/>
              </w:rPr>
              <w:t>0.033</w:t>
            </w:r>
          </w:p>
        </w:tc>
        <w:tc>
          <w:tcPr>
            <w:tcW w:w="0" w:type="auto"/>
            <w:tcBorders>
              <w:top w:val="nil"/>
              <w:left w:val="nil"/>
              <w:bottom w:val="nil"/>
              <w:right w:val="nil"/>
            </w:tcBorders>
            <w:shd w:val="clear" w:color="auto" w:fill="auto"/>
            <w:noWrap/>
            <w:vAlign w:val="center"/>
            <w:hideMark/>
          </w:tcPr>
          <w:p w14:paraId="372E17C5" w14:textId="77777777" w:rsidR="00AB3852" w:rsidRPr="0099355B" w:rsidRDefault="00AB3852" w:rsidP="00AB3852">
            <w:pPr>
              <w:jc w:val="center"/>
              <w:rPr>
                <w:color w:val="000000"/>
                <w:sz w:val="18"/>
                <w:szCs w:val="18"/>
              </w:rPr>
            </w:pPr>
            <w:r w:rsidRPr="0099355B">
              <w:rPr>
                <w:color w:val="000000"/>
                <w:sz w:val="18"/>
                <w:szCs w:val="18"/>
              </w:rPr>
              <w:t>19.34</w:t>
            </w:r>
          </w:p>
        </w:tc>
        <w:tc>
          <w:tcPr>
            <w:tcW w:w="0" w:type="auto"/>
            <w:tcBorders>
              <w:top w:val="nil"/>
              <w:left w:val="nil"/>
              <w:bottom w:val="nil"/>
              <w:right w:val="nil"/>
            </w:tcBorders>
            <w:shd w:val="clear" w:color="auto" w:fill="auto"/>
            <w:noWrap/>
            <w:vAlign w:val="center"/>
            <w:hideMark/>
          </w:tcPr>
          <w:p w14:paraId="7E52BCE0" w14:textId="77777777" w:rsidR="00AB3852" w:rsidRPr="0099355B" w:rsidRDefault="00AB3852" w:rsidP="00AB3852">
            <w:pPr>
              <w:jc w:val="center"/>
              <w:rPr>
                <w:color w:val="000000"/>
                <w:sz w:val="18"/>
                <w:szCs w:val="18"/>
              </w:rPr>
            </w:pPr>
            <w:r w:rsidRPr="0099355B">
              <w:rPr>
                <w:color w:val="000000"/>
                <w:sz w:val="18"/>
                <w:szCs w:val="18"/>
              </w:rPr>
              <w:t>176%</w:t>
            </w:r>
          </w:p>
        </w:tc>
        <w:tc>
          <w:tcPr>
            <w:tcW w:w="0" w:type="auto"/>
            <w:tcBorders>
              <w:top w:val="nil"/>
              <w:left w:val="nil"/>
              <w:bottom w:val="nil"/>
              <w:right w:val="nil"/>
            </w:tcBorders>
            <w:shd w:val="clear" w:color="auto" w:fill="auto"/>
            <w:noWrap/>
            <w:vAlign w:val="center"/>
            <w:hideMark/>
          </w:tcPr>
          <w:p w14:paraId="4724D52F" w14:textId="77777777" w:rsidR="00AB3852" w:rsidRPr="0099355B" w:rsidRDefault="00AB3852" w:rsidP="00AB3852">
            <w:pPr>
              <w:jc w:val="center"/>
              <w:rPr>
                <w:color w:val="000000"/>
                <w:sz w:val="18"/>
                <w:szCs w:val="18"/>
              </w:rPr>
            </w:pPr>
            <w:r w:rsidRPr="0099355B">
              <w:rPr>
                <w:color w:val="000000"/>
                <w:sz w:val="18"/>
                <w:szCs w:val="18"/>
              </w:rPr>
              <w:t>201%</w:t>
            </w:r>
          </w:p>
        </w:tc>
      </w:tr>
      <w:tr w:rsidR="00AB3852" w:rsidRPr="0099355B" w14:paraId="0176EA98"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5FFD5631"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14E082D3" w14:textId="77777777" w:rsidR="00AB3852" w:rsidRPr="0099355B" w:rsidRDefault="00AB3852" w:rsidP="00AB3852">
            <w:pPr>
              <w:jc w:val="center"/>
              <w:rPr>
                <w:color w:val="000000"/>
                <w:sz w:val="18"/>
                <w:szCs w:val="18"/>
              </w:rPr>
            </w:pPr>
            <w:r w:rsidRPr="0099355B">
              <w:rPr>
                <w:color w:val="000000"/>
                <w:sz w:val="18"/>
                <w:szCs w:val="18"/>
              </w:rPr>
              <w:t>1</w:t>
            </w:r>
          </w:p>
        </w:tc>
        <w:tc>
          <w:tcPr>
            <w:tcW w:w="0" w:type="auto"/>
            <w:tcBorders>
              <w:top w:val="nil"/>
              <w:left w:val="nil"/>
              <w:bottom w:val="nil"/>
              <w:right w:val="nil"/>
            </w:tcBorders>
            <w:shd w:val="clear" w:color="auto" w:fill="auto"/>
            <w:noWrap/>
            <w:vAlign w:val="center"/>
            <w:hideMark/>
          </w:tcPr>
          <w:p w14:paraId="04079726" w14:textId="77777777" w:rsidR="00AB3852" w:rsidRPr="0099355B" w:rsidRDefault="00AB3852" w:rsidP="00AB3852">
            <w:pPr>
              <w:jc w:val="center"/>
              <w:rPr>
                <w:color w:val="000000"/>
                <w:sz w:val="18"/>
                <w:szCs w:val="18"/>
              </w:rPr>
            </w:pPr>
            <w:r w:rsidRPr="0099355B">
              <w:rPr>
                <w:color w:val="000000"/>
                <w:sz w:val="18"/>
                <w:szCs w:val="18"/>
              </w:rPr>
              <w:t>3.44</w:t>
            </w:r>
          </w:p>
        </w:tc>
        <w:tc>
          <w:tcPr>
            <w:tcW w:w="0" w:type="auto"/>
            <w:tcBorders>
              <w:top w:val="nil"/>
              <w:left w:val="nil"/>
              <w:bottom w:val="nil"/>
              <w:right w:val="nil"/>
            </w:tcBorders>
            <w:shd w:val="clear" w:color="auto" w:fill="auto"/>
            <w:noWrap/>
            <w:vAlign w:val="center"/>
            <w:hideMark/>
          </w:tcPr>
          <w:p w14:paraId="323E2CA6" w14:textId="77777777" w:rsidR="00AB3852" w:rsidRPr="0099355B" w:rsidRDefault="00AB3852" w:rsidP="00AB3852">
            <w:pPr>
              <w:jc w:val="center"/>
              <w:rPr>
                <w:color w:val="000000"/>
                <w:sz w:val="18"/>
                <w:szCs w:val="18"/>
              </w:rPr>
            </w:pPr>
            <w:r w:rsidRPr="0099355B">
              <w:rPr>
                <w:color w:val="000000"/>
                <w:sz w:val="18"/>
                <w:szCs w:val="18"/>
              </w:rPr>
              <w:t>0.395</w:t>
            </w:r>
          </w:p>
        </w:tc>
        <w:tc>
          <w:tcPr>
            <w:tcW w:w="0" w:type="auto"/>
            <w:tcBorders>
              <w:top w:val="nil"/>
              <w:left w:val="nil"/>
              <w:bottom w:val="nil"/>
              <w:right w:val="nil"/>
            </w:tcBorders>
            <w:shd w:val="clear" w:color="auto" w:fill="auto"/>
            <w:noWrap/>
            <w:vAlign w:val="center"/>
            <w:hideMark/>
          </w:tcPr>
          <w:p w14:paraId="1643BDB7" w14:textId="77777777" w:rsidR="00AB3852" w:rsidRPr="0099355B" w:rsidRDefault="00AB3852" w:rsidP="00AB3852">
            <w:pPr>
              <w:jc w:val="center"/>
              <w:rPr>
                <w:color w:val="000000"/>
                <w:sz w:val="18"/>
                <w:szCs w:val="18"/>
              </w:rPr>
            </w:pPr>
            <w:r w:rsidRPr="0099355B">
              <w:rPr>
                <w:color w:val="000000"/>
                <w:sz w:val="18"/>
                <w:szCs w:val="18"/>
              </w:rPr>
              <w:t>8.70</w:t>
            </w:r>
          </w:p>
        </w:tc>
        <w:tc>
          <w:tcPr>
            <w:tcW w:w="0" w:type="auto"/>
            <w:tcBorders>
              <w:top w:val="nil"/>
              <w:left w:val="nil"/>
              <w:bottom w:val="nil"/>
              <w:right w:val="nil"/>
            </w:tcBorders>
            <w:shd w:val="clear" w:color="auto" w:fill="auto"/>
            <w:noWrap/>
            <w:vAlign w:val="center"/>
            <w:hideMark/>
          </w:tcPr>
          <w:p w14:paraId="3FD1CE0D" w14:textId="77777777" w:rsidR="00AB3852" w:rsidRPr="0099355B" w:rsidRDefault="00AB3852" w:rsidP="00AB3852">
            <w:pPr>
              <w:jc w:val="center"/>
              <w:rPr>
                <w:color w:val="000000"/>
                <w:sz w:val="18"/>
                <w:szCs w:val="18"/>
              </w:rPr>
            </w:pPr>
            <w:r w:rsidRPr="0099355B">
              <w:rPr>
                <w:color w:val="000000"/>
                <w:sz w:val="18"/>
                <w:szCs w:val="18"/>
              </w:rPr>
              <w:t>2.66</w:t>
            </w:r>
          </w:p>
        </w:tc>
        <w:tc>
          <w:tcPr>
            <w:tcW w:w="0" w:type="auto"/>
            <w:tcBorders>
              <w:top w:val="nil"/>
              <w:left w:val="nil"/>
              <w:bottom w:val="nil"/>
              <w:right w:val="nil"/>
            </w:tcBorders>
            <w:shd w:val="clear" w:color="auto" w:fill="auto"/>
            <w:noWrap/>
            <w:vAlign w:val="center"/>
            <w:hideMark/>
          </w:tcPr>
          <w:p w14:paraId="6EDAA7E1" w14:textId="77777777" w:rsidR="00AB3852" w:rsidRPr="0099355B" w:rsidRDefault="00AB3852" w:rsidP="00AB3852">
            <w:pPr>
              <w:jc w:val="center"/>
              <w:rPr>
                <w:color w:val="000000"/>
                <w:sz w:val="18"/>
                <w:szCs w:val="18"/>
              </w:rPr>
            </w:pPr>
            <w:r w:rsidRPr="0099355B">
              <w:rPr>
                <w:color w:val="000000"/>
                <w:sz w:val="18"/>
                <w:szCs w:val="18"/>
              </w:rPr>
              <w:t>4.21</w:t>
            </w:r>
          </w:p>
        </w:tc>
        <w:tc>
          <w:tcPr>
            <w:tcW w:w="0" w:type="auto"/>
            <w:tcBorders>
              <w:top w:val="nil"/>
              <w:left w:val="nil"/>
              <w:bottom w:val="nil"/>
              <w:right w:val="nil"/>
            </w:tcBorders>
            <w:shd w:val="clear" w:color="auto" w:fill="auto"/>
            <w:noWrap/>
            <w:vAlign w:val="center"/>
            <w:hideMark/>
          </w:tcPr>
          <w:p w14:paraId="556756CD" w14:textId="77777777" w:rsidR="00AB3852" w:rsidRPr="0099355B" w:rsidRDefault="00AB3852" w:rsidP="00AB3852">
            <w:pPr>
              <w:jc w:val="center"/>
              <w:rPr>
                <w:color w:val="000000"/>
                <w:sz w:val="18"/>
                <w:szCs w:val="18"/>
              </w:rPr>
            </w:pPr>
            <w:r w:rsidRPr="0099355B">
              <w:rPr>
                <w:color w:val="000000"/>
                <w:sz w:val="18"/>
                <w:szCs w:val="18"/>
              </w:rPr>
              <w:t>127%</w:t>
            </w:r>
          </w:p>
        </w:tc>
        <w:tc>
          <w:tcPr>
            <w:tcW w:w="0" w:type="auto"/>
            <w:tcBorders>
              <w:top w:val="nil"/>
              <w:left w:val="nil"/>
              <w:bottom w:val="nil"/>
              <w:right w:val="nil"/>
            </w:tcBorders>
            <w:shd w:val="clear" w:color="auto" w:fill="auto"/>
            <w:noWrap/>
            <w:vAlign w:val="center"/>
            <w:hideMark/>
          </w:tcPr>
          <w:p w14:paraId="7879DE3F" w14:textId="77777777" w:rsidR="00AB3852" w:rsidRPr="0099355B" w:rsidRDefault="00AB3852" w:rsidP="00AB3852">
            <w:pPr>
              <w:jc w:val="center"/>
              <w:rPr>
                <w:color w:val="000000"/>
                <w:sz w:val="18"/>
                <w:szCs w:val="18"/>
              </w:rPr>
            </w:pPr>
            <w:r w:rsidRPr="0099355B">
              <w:rPr>
                <w:color w:val="000000"/>
                <w:sz w:val="18"/>
                <w:szCs w:val="18"/>
              </w:rPr>
              <w:t>0.025</w:t>
            </w:r>
          </w:p>
        </w:tc>
        <w:tc>
          <w:tcPr>
            <w:tcW w:w="0" w:type="auto"/>
            <w:tcBorders>
              <w:top w:val="nil"/>
              <w:left w:val="nil"/>
              <w:bottom w:val="nil"/>
              <w:right w:val="nil"/>
            </w:tcBorders>
            <w:shd w:val="clear" w:color="auto" w:fill="auto"/>
            <w:noWrap/>
            <w:vAlign w:val="center"/>
            <w:hideMark/>
          </w:tcPr>
          <w:p w14:paraId="765006AD" w14:textId="77777777" w:rsidR="00AB3852" w:rsidRPr="0099355B" w:rsidRDefault="00AB3852" w:rsidP="00AB3852">
            <w:pPr>
              <w:jc w:val="center"/>
              <w:rPr>
                <w:color w:val="000000"/>
                <w:sz w:val="18"/>
                <w:szCs w:val="18"/>
              </w:rPr>
            </w:pPr>
            <w:r w:rsidRPr="0099355B">
              <w:rPr>
                <w:color w:val="000000"/>
                <w:sz w:val="18"/>
                <w:szCs w:val="18"/>
              </w:rPr>
              <w:t>9.77</w:t>
            </w:r>
          </w:p>
        </w:tc>
        <w:tc>
          <w:tcPr>
            <w:tcW w:w="0" w:type="auto"/>
            <w:tcBorders>
              <w:top w:val="nil"/>
              <w:left w:val="nil"/>
              <w:bottom w:val="nil"/>
              <w:right w:val="nil"/>
            </w:tcBorders>
            <w:shd w:val="clear" w:color="auto" w:fill="auto"/>
            <w:noWrap/>
            <w:vAlign w:val="center"/>
            <w:hideMark/>
          </w:tcPr>
          <w:p w14:paraId="771D1B59" w14:textId="77777777" w:rsidR="00AB3852" w:rsidRPr="0099355B" w:rsidRDefault="00AB3852" w:rsidP="00AB3852">
            <w:pPr>
              <w:jc w:val="center"/>
              <w:rPr>
                <w:color w:val="000000"/>
                <w:sz w:val="18"/>
                <w:szCs w:val="18"/>
              </w:rPr>
            </w:pPr>
            <w:r w:rsidRPr="0099355B">
              <w:rPr>
                <w:color w:val="000000"/>
                <w:sz w:val="18"/>
                <w:szCs w:val="18"/>
              </w:rPr>
              <w:t>121%</w:t>
            </w:r>
          </w:p>
        </w:tc>
        <w:tc>
          <w:tcPr>
            <w:tcW w:w="0" w:type="auto"/>
            <w:tcBorders>
              <w:top w:val="nil"/>
              <w:left w:val="nil"/>
              <w:bottom w:val="nil"/>
              <w:right w:val="nil"/>
            </w:tcBorders>
            <w:shd w:val="clear" w:color="auto" w:fill="auto"/>
            <w:noWrap/>
            <w:vAlign w:val="center"/>
            <w:hideMark/>
          </w:tcPr>
          <w:p w14:paraId="32AF12F4" w14:textId="77777777" w:rsidR="00AB3852" w:rsidRPr="0099355B" w:rsidRDefault="00AB3852" w:rsidP="00AB3852">
            <w:pPr>
              <w:jc w:val="center"/>
              <w:rPr>
                <w:color w:val="000000"/>
                <w:sz w:val="18"/>
                <w:szCs w:val="18"/>
              </w:rPr>
            </w:pPr>
            <w:r w:rsidRPr="0099355B">
              <w:rPr>
                <w:color w:val="000000"/>
                <w:sz w:val="18"/>
                <w:szCs w:val="18"/>
              </w:rPr>
              <w:t>134%</w:t>
            </w:r>
          </w:p>
        </w:tc>
      </w:tr>
      <w:tr w:rsidR="00AB3852" w:rsidRPr="0099355B" w14:paraId="5E905E38"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4A12756D" w14:textId="77777777" w:rsidR="00AB3852" w:rsidRPr="0099355B" w:rsidRDefault="00AB3852" w:rsidP="00AB3852">
            <w:pPr>
              <w:jc w:val="center"/>
              <w:rPr>
                <w:color w:val="000000"/>
                <w:sz w:val="18"/>
                <w:szCs w:val="18"/>
              </w:rPr>
            </w:pPr>
            <w:r w:rsidRPr="0099355B">
              <w:rPr>
                <w:color w:val="000000"/>
                <w:sz w:val="18"/>
                <w:szCs w:val="18"/>
              </w:rPr>
              <w:t>item 3</w:t>
            </w:r>
          </w:p>
        </w:tc>
        <w:tc>
          <w:tcPr>
            <w:tcW w:w="0" w:type="auto"/>
            <w:tcBorders>
              <w:top w:val="nil"/>
              <w:left w:val="nil"/>
              <w:bottom w:val="nil"/>
              <w:right w:val="nil"/>
            </w:tcBorders>
            <w:shd w:val="clear" w:color="auto" w:fill="auto"/>
            <w:noWrap/>
            <w:vAlign w:val="center"/>
            <w:hideMark/>
          </w:tcPr>
          <w:p w14:paraId="412FB6E2" w14:textId="77777777" w:rsidR="00AB3852" w:rsidRPr="0099355B" w:rsidRDefault="00AB3852" w:rsidP="00AB3852">
            <w:pPr>
              <w:jc w:val="center"/>
              <w:rPr>
                <w:color w:val="000000"/>
                <w:sz w:val="18"/>
                <w:szCs w:val="18"/>
              </w:rPr>
            </w:pPr>
            <w:r w:rsidRPr="0099355B">
              <w:rPr>
                <w:color w:val="000000"/>
                <w:sz w:val="18"/>
                <w:szCs w:val="18"/>
              </w:rPr>
              <w:t>2</w:t>
            </w:r>
          </w:p>
        </w:tc>
        <w:tc>
          <w:tcPr>
            <w:tcW w:w="0" w:type="auto"/>
            <w:tcBorders>
              <w:top w:val="nil"/>
              <w:left w:val="nil"/>
              <w:bottom w:val="nil"/>
              <w:right w:val="nil"/>
            </w:tcBorders>
            <w:shd w:val="clear" w:color="auto" w:fill="auto"/>
            <w:noWrap/>
            <w:vAlign w:val="center"/>
            <w:hideMark/>
          </w:tcPr>
          <w:p w14:paraId="5E87CAB3" w14:textId="77777777" w:rsidR="00AB3852" w:rsidRPr="0099355B" w:rsidRDefault="00AB3852" w:rsidP="00AB3852">
            <w:pPr>
              <w:jc w:val="center"/>
              <w:rPr>
                <w:color w:val="000000"/>
                <w:sz w:val="18"/>
                <w:szCs w:val="18"/>
              </w:rPr>
            </w:pPr>
            <w:r w:rsidRPr="0099355B">
              <w:rPr>
                <w:color w:val="000000"/>
                <w:sz w:val="18"/>
                <w:szCs w:val="18"/>
              </w:rPr>
              <w:t>8.34</w:t>
            </w:r>
          </w:p>
        </w:tc>
        <w:tc>
          <w:tcPr>
            <w:tcW w:w="0" w:type="auto"/>
            <w:tcBorders>
              <w:top w:val="nil"/>
              <w:left w:val="nil"/>
              <w:bottom w:val="nil"/>
              <w:right w:val="nil"/>
            </w:tcBorders>
            <w:shd w:val="clear" w:color="auto" w:fill="auto"/>
            <w:noWrap/>
            <w:vAlign w:val="center"/>
            <w:hideMark/>
          </w:tcPr>
          <w:p w14:paraId="1A7823A0" w14:textId="77777777" w:rsidR="00AB3852" w:rsidRPr="0099355B" w:rsidRDefault="00AB3852" w:rsidP="00AB3852">
            <w:pPr>
              <w:jc w:val="center"/>
              <w:rPr>
                <w:color w:val="000000"/>
                <w:sz w:val="18"/>
                <w:szCs w:val="18"/>
              </w:rPr>
            </w:pPr>
            <w:r w:rsidRPr="0099355B">
              <w:rPr>
                <w:color w:val="000000"/>
                <w:sz w:val="18"/>
                <w:szCs w:val="18"/>
              </w:rPr>
              <w:t>0.489</w:t>
            </w:r>
          </w:p>
        </w:tc>
        <w:tc>
          <w:tcPr>
            <w:tcW w:w="0" w:type="auto"/>
            <w:tcBorders>
              <w:top w:val="nil"/>
              <w:left w:val="nil"/>
              <w:bottom w:val="nil"/>
              <w:right w:val="nil"/>
            </w:tcBorders>
            <w:shd w:val="clear" w:color="auto" w:fill="auto"/>
            <w:noWrap/>
            <w:vAlign w:val="center"/>
            <w:hideMark/>
          </w:tcPr>
          <w:p w14:paraId="0DFB6880" w14:textId="77777777" w:rsidR="00AB3852" w:rsidRPr="0099355B" w:rsidRDefault="00AB3852" w:rsidP="00AB3852">
            <w:pPr>
              <w:jc w:val="center"/>
              <w:rPr>
                <w:color w:val="000000"/>
                <w:sz w:val="18"/>
                <w:szCs w:val="18"/>
              </w:rPr>
            </w:pPr>
            <w:r w:rsidRPr="0099355B">
              <w:rPr>
                <w:color w:val="000000"/>
                <w:sz w:val="18"/>
                <w:szCs w:val="18"/>
              </w:rPr>
              <w:t>17.05</w:t>
            </w:r>
          </w:p>
        </w:tc>
        <w:tc>
          <w:tcPr>
            <w:tcW w:w="0" w:type="auto"/>
            <w:tcBorders>
              <w:top w:val="nil"/>
              <w:left w:val="nil"/>
              <w:bottom w:val="nil"/>
              <w:right w:val="nil"/>
            </w:tcBorders>
            <w:shd w:val="clear" w:color="auto" w:fill="auto"/>
            <w:noWrap/>
            <w:vAlign w:val="center"/>
            <w:hideMark/>
          </w:tcPr>
          <w:p w14:paraId="00E4B2E5" w14:textId="77777777" w:rsidR="00AB3852" w:rsidRPr="0099355B" w:rsidRDefault="00AB3852" w:rsidP="00AB3852">
            <w:pPr>
              <w:jc w:val="center"/>
              <w:rPr>
                <w:color w:val="000000"/>
                <w:sz w:val="18"/>
                <w:szCs w:val="18"/>
              </w:rPr>
            </w:pPr>
            <w:r w:rsidRPr="0099355B">
              <w:rPr>
                <w:color w:val="000000"/>
                <w:sz w:val="18"/>
                <w:szCs w:val="18"/>
              </w:rPr>
              <w:t>7.38</w:t>
            </w:r>
          </w:p>
        </w:tc>
        <w:tc>
          <w:tcPr>
            <w:tcW w:w="0" w:type="auto"/>
            <w:tcBorders>
              <w:top w:val="nil"/>
              <w:left w:val="nil"/>
              <w:bottom w:val="nil"/>
              <w:right w:val="nil"/>
            </w:tcBorders>
            <w:shd w:val="clear" w:color="auto" w:fill="auto"/>
            <w:noWrap/>
            <w:vAlign w:val="center"/>
            <w:hideMark/>
          </w:tcPr>
          <w:p w14:paraId="60AFBE1A" w14:textId="77777777" w:rsidR="00AB3852" w:rsidRPr="0099355B" w:rsidRDefault="00AB3852" w:rsidP="00AB3852">
            <w:pPr>
              <w:jc w:val="center"/>
              <w:rPr>
                <w:color w:val="000000"/>
                <w:sz w:val="18"/>
                <w:szCs w:val="18"/>
              </w:rPr>
            </w:pPr>
            <w:r w:rsidRPr="0099355B">
              <w:rPr>
                <w:color w:val="000000"/>
                <w:sz w:val="18"/>
                <w:szCs w:val="18"/>
              </w:rPr>
              <w:t>9.30</w:t>
            </w:r>
          </w:p>
        </w:tc>
        <w:tc>
          <w:tcPr>
            <w:tcW w:w="0" w:type="auto"/>
            <w:tcBorders>
              <w:top w:val="nil"/>
              <w:left w:val="nil"/>
              <w:bottom w:val="nil"/>
              <w:right w:val="nil"/>
            </w:tcBorders>
            <w:shd w:val="clear" w:color="auto" w:fill="auto"/>
            <w:noWrap/>
            <w:vAlign w:val="center"/>
            <w:hideMark/>
          </w:tcPr>
          <w:p w14:paraId="511CCD27" w14:textId="77777777" w:rsidR="00AB3852" w:rsidRPr="0099355B" w:rsidRDefault="00AB3852" w:rsidP="00AB3852">
            <w:pPr>
              <w:jc w:val="center"/>
              <w:rPr>
                <w:color w:val="000000"/>
                <w:sz w:val="18"/>
                <w:szCs w:val="18"/>
              </w:rPr>
            </w:pPr>
            <w:r w:rsidRPr="0099355B">
              <w:rPr>
                <w:color w:val="000000"/>
                <w:sz w:val="18"/>
                <w:szCs w:val="18"/>
              </w:rPr>
              <w:t>166%</w:t>
            </w:r>
          </w:p>
        </w:tc>
        <w:tc>
          <w:tcPr>
            <w:tcW w:w="0" w:type="auto"/>
            <w:tcBorders>
              <w:top w:val="nil"/>
              <w:left w:val="nil"/>
              <w:bottom w:val="nil"/>
              <w:right w:val="nil"/>
            </w:tcBorders>
            <w:shd w:val="clear" w:color="auto" w:fill="auto"/>
            <w:noWrap/>
            <w:vAlign w:val="center"/>
            <w:hideMark/>
          </w:tcPr>
          <w:p w14:paraId="58F73113" w14:textId="77777777" w:rsidR="00AB3852" w:rsidRPr="0099355B" w:rsidRDefault="00AB3852" w:rsidP="00AB3852">
            <w:pPr>
              <w:jc w:val="center"/>
              <w:rPr>
                <w:color w:val="000000"/>
                <w:sz w:val="18"/>
                <w:szCs w:val="18"/>
              </w:rPr>
            </w:pPr>
            <w:r w:rsidRPr="0099355B">
              <w:rPr>
                <w:color w:val="000000"/>
                <w:sz w:val="18"/>
                <w:szCs w:val="18"/>
              </w:rPr>
              <w:t>0.031</w:t>
            </w:r>
          </w:p>
        </w:tc>
        <w:tc>
          <w:tcPr>
            <w:tcW w:w="0" w:type="auto"/>
            <w:tcBorders>
              <w:top w:val="nil"/>
              <w:left w:val="nil"/>
              <w:bottom w:val="nil"/>
              <w:right w:val="nil"/>
            </w:tcBorders>
            <w:shd w:val="clear" w:color="auto" w:fill="auto"/>
            <w:noWrap/>
            <w:vAlign w:val="center"/>
            <w:hideMark/>
          </w:tcPr>
          <w:p w14:paraId="1E2292ED" w14:textId="77777777" w:rsidR="00AB3852" w:rsidRPr="0099355B" w:rsidRDefault="00AB3852" w:rsidP="00AB3852">
            <w:pPr>
              <w:jc w:val="center"/>
              <w:rPr>
                <w:color w:val="000000"/>
                <w:sz w:val="18"/>
                <w:szCs w:val="18"/>
              </w:rPr>
            </w:pPr>
            <w:r w:rsidRPr="0099355B">
              <w:rPr>
                <w:color w:val="000000"/>
                <w:sz w:val="18"/>
                <w:szCs w:val="18"/>
              </w:rPr>
              <w:t>16.57</w:t>
            </w:r>
          </w:p>
        </w:tc>
        <w:tc>
          <w:tcPr>
            <w:tcW w:w="0" w:type="auto"/>
            <w:tcBorders>
              <w:top w:val="nil"/>
              <w:left w:val="nil"/>
              <w:bottom w:val="nil"/>
              <w:right w:val="nil"/>
            </w:tcBorders>
            <w:shd w:val="clear" w:color="auto" w:fill="auto"/>
            <w:noWrap/>
            <w:vAlign w:val="center"/>
            <w:hideMark/>
          </w:tcPr>
          <w:p w14:paraId="2F6B4C97" w14:textId="77777777" w:rsidR="00AB3852" w:rsidRPr="0099355B" w:rsidRDefault="00AB3852" w:rsidP="00AB3852">
            <w:pPr>
              <w:jc w:val="center"/>
              <w:rPr>
                <w:color w:val="000000"/>
                <w:sz w:val="18"/>
                <w:szCs w:val="18"/>
              </w:rPr>
            </w:pPr>
            <w:r w:rsidRPr="0099355B">
              <w:rPr>
                <w:color w:val="000000"/>
                <w:sz w:val="18"/>
                <w:szCs w:val="18"/>
              </w:rPr>
              <w:t>156%</w:t>
            </w:r>
          </w:p>
        </w:tc>
        <w:tc>
          <w:tcPr>
            <w:tcW w:w="0" w:type="auto"/>
            <w:tcBorders>
              <w:top w:val="nil"/>
              <w:left w:val="nil"/>
              <w:bottom w:val="nil"/>
              <w:right w:val="nil"/>
            </w:tcBorders>
            <w:shd w:val="clear" w:color="auto" w:fill="auto"/>
            <w:noWrap/>
            <w:vAlign w:val="center"/>
            <w:hideMark/>
          </w:tcPr>
          <w:p w14:paraId="42660310" w14:textId="77777777" w:rsidR="00AB3852" w:rsidRPr="0099355B" w:rsidRDefault="00AB3852" w:rsidP="00AB3852">
            <w:pPr>
              <w:jc w:val="center"/>
              <w:rPr>
                <w:color w:val="000000"/>
                <w:sz w:val="18"/>
                <w:szCs w:val="18"/>
              </w:rPr>
            </w:pPr>
            <w:r w:rsidRPr="0099355B">
              <w:rPr>
                <w:color w:val="000000"/>
                <w:sz w:val="18"/>
                <w:szCs w:val="18"/>
              </w:rPr>
              <w:t>176%</w:t>
            </w:r>
          </w:p>
        </w:tc>
      </w:tr>
      <w:tr w:rsidR="00AB3852" w:rsidRPr="0099355B" w14:paraId="4C5E6829"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637B6947"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1082A7F5" w14:textId="77777777" w:rsidR="00AB3852" w:rsidRPr="0099355B" w:rsidRDefault="00AB3852" w:rsidP="00AB3852">
            <w:pPr>
              <w:jc w:val="center"/>
              <w:rPr>
                <w:color w:val="000000"/>
                <w:sz w:val="18"/>
                <w:szCs w:val="18"/>
              </w:rPr>
            </w:pPr>
            <w:r w:rsidRPr="0099355B">
              <w:rPr>
                <w:color w:val="000000"/>
                <w:sz w:val="18"/>
                <w:szCs w:val="18"/>
              </w:rPr>
              <w:t>3</w:t>
            </w:r>
          </w:p>
        </w:tc>
        <w:tc>
          <w:tcPr>
            <w:tcW w:w="0" w:type="auto"/>
            <w:tcBorders>
              <w:top w:val="nil"/>
              <w:left w:val="nil"/>
              <w:bottom w:val="nil"/>
              <w:right w:val="nil"/>
            </w:tcBorders>
            <w:shd w:val="clear" w:color="auto" w:fill="auto"/>
            <w:noWrap/>
            <w:vAlign w:val="center"/>
            <w:hideMark/>
          </w:tcPr>
          <w:p w14:paraId="7F720956" w14:textId="77777777" w:rsidR="00AB3852" w:rsidRPr="0099355B" w:rsidRDefault="00AB3852" w:rsidP="00AB3852">
            <w:pPr>
              <w:jc w:val="center"/>
              <w:rPr>
                <w:color w:val="000000"/>
                <w:sz w:val="18"/>
                <w:szCs w:val="18"/>
              </w:rPr>
            </w:pPr>
            <w:r w:rsidRPr="0099355B">
              <w:rPr>
                <w:color w:val="000000"/>
                <w:sz w:val="18"/>
                <w:szCs w:val="18"/>
              </w:rPr>
              <w:t>11.29</w:t>
            </w:r>
          </w:p>
        </w:tc>
        <w:tc>
          <w:tcPr>
            <w:tcW w:w="0" w:type="auto"/>
            <w:tcBorders>
              <w:top w:val="nil"/>
              <w:left w:val="nil"/>
              <w:bottom w:val="nil"/>
              <w:right w:val="nil"/>
            </w:tcBorders>
            <w:shd w:val="clear" w:color="auto" w:fill="auto"/>
            <w:noWrap/>
            <w:vAlign w:val="center"/>
            <w:hideMark/>
          </w:tcPr>
          <w:p w14:paraId="54DD364E" w14:textId="77777777" w:rsidR="00AB3852" w:rsidRPr="0099355B" w:rsidRDefault="00AB3852" w:rsidP="00AB3852">
            <w:pPr>
              <w:jc w:val="center"/>
              <w:rPr>
                <w:color w:val="000000"/>
                <w:sz w:val="18"/>
                <w:szCs w:val="18"/>
              </w:rPr>
            </w:pPr>
            <w:r w:rsidRPr="0099355B">
              <w:rPr>
                <w:color w:val="000000"/>
                <w:sz w:val="18"/>
                <w:szCs w:val="18"/>
              </w:rPr>
              <w:t>0.533</w:t>
            </w:r>
          </w:p>
        </w:tc>
        <w:tc>
          <w:tcPr>
            <w:tcW w:w="0" w:type="auto"/>
            <w:tcBorders>
              <w:top w:val="nil"/>
              <w:left w:val="nil"/>
              <w:bottom w:val="nil"/>
              <w:right w:val="nil"/>
            </w:tcBorders>
            <w:shd w:val="clear" w:color="auto" w:fill="auto"/>
            <w:noWrap/>
            <w:vAlign w:val="center"/>
            <w:hideMark/>
          </w:tcPr>
          <w:p w14:paraId="45793729" w14:textId="77777777" w:rsidR="00AB3852" w:rsidRPr="0099355B" w:rsidRDefault="00AB3852" w:rsidP="00AB3852">
            <w:pPr>
              <w:jc w:val="center"/>
              <w:rPr>
                <w:color w:val="000000"/>
                <w:sz w:val="18"/>
                <w:szCs w:val="18"/>
              </w:rPr>
            </w:pPr>
            <w:r w:rsidRPr="0099355B">
              <w:rPr>
                <w:color w:val="000000"/>
                <w:sz w:val="18"/>
                <w:szCs w:val="18"/>
              </w:rPr>
              <w:t>21.16</w:t>
            </w:r>
          </w:p>
        </w:tc>
        <w:tc>
          <w:tcPr>
            <w:tcW w:w="0" w:type="auto"/>
            <w:tcBorders>
              <w:top w:val="nil"/>
              <w:left w:val="nil"/>
              <w:bottom w:val="nil"/>
              <w:right w:val="nil"/>
            </w:tcBorders>
            <w:shd w:val="clear" w:color="auto" w:fill="auto"/>
            <w:noWrap/>
            <w:vAlign w:val="center"/>
            <w:hideMark/>
          </w:tcPr>
          <w:p w14:paraId="5645FE27" w14:textId="77777777" w:rsidR="00AB3852" w:rsidRPr="0099355B" w:rsidRDefault="00AB3852" w:rsidP="00AB3852">
            <w:pPr>
              <w:jc w:val="center"/>
              <w:rPr>
                <w:color w:val="000000"/>
                <w:sz w:val="18"/>
                <w:szCs w:val="18"/>
              </w:rPr>
            </w:pPr>
            <w:r w:rsidRPr="0099355B">
              <w:rPr>
                <w:color w:val="000000"/>
                <w:sz w:val="18"/>
                <w:szCs w:val="18"/>
              </w:rPr>
              <w:t>10.24</w:t>
            </w:r>
          </w:p>
        </w:tc>
        <w:tc>
          <w:tcPr>
            <w:tcW w:w="0" w:type="auto"/>
            <w:tcBorders>
              <w:top w:val="nil"/>
              <w:left w:val="nil"/>
              <w:bottom w:val="nil"/>
              <w:right w:val="nil"/>
            </w:tcBorders>
            <w:shd w:val="clear" w:color="auto" w:fill="auto"/>
            <w:noWrap/>
            <w:vAlign w:val="center"/>
            <w:hideMark/>
          </w:tcPr>
          <w:p w14:paraId="56340B56" w14:textId="77777777" w:rsidR="00AB3852" w:rsidRPr="0099355B" w:rsidRDefault="00AB3852" w:rsidP="00AB3852">
            <w:pPr>
              <w:jc w:val="center"/>
              <w:rPr>
                <w:color w:val="000000"/>
                <w:sz w:val="18"/>
                <w:szCs w:val="18"/>
              </w:rPr>
            </w:pPr>
            <w:r w:rsidRPr="0099355B">
              <w:rPr>
                <w:color w:val="000000"/>
                <w:sz w:val="18"/>
                <w:szCs w:val="18"/>
              </w:rPr>
              <w:t>12.34</w:t>
            </w:r>
          </w:p>
        </w:tc>
        <w:tc>
          <w:tcPr>
            <w:tcW w:w="0" w:type="auto"/>
            <w:tcBorders>
              <w:top w:val="nil"/>
              <w:left w:val="nil"/>
              <w:bottom w:val="nil"/>
              <w:right w:val="nil"/>
            </w:tcBorders>
            <w:shd w:val="clear" w:color="auto" w:fill="auto"/>
            <w:noWrap/>
            <w:vAlign w:val="center"/>
            <w:hideMark/>
          </w:tcPr>
          <w:p w14:paraId="25A3D509" w14:textId="77777777" w:rsidR="00AB3852" w:rsidRPr="0099355B" w:rsidRDefault="00AB3852" w:rsidP="00AB3852">
            <w:pPr>
              <w:jc w:val="center"/>
              <w:rPr>
                <w:color w:val="000000"/>
                <w:sz w:val="18"/>
                <w:szCs w:val="18"/>
              </w:rPr>
            </w:pPr>
            <w:r w:rsidRPr="0099355B">
              <w:rPr>
                <w:color w:val="000000"/>
                <w:sz w:val="18"/>
                <w:szCs w:val="18"/>
              </w:rPr>
              <w:t>188%</w:t>
            </w:r>
          </w:p>
        </w:tc>
        <w:tc>
          <w:tcPr>
            <w:tcW w:w="0" w:type="auto"/>
            <w:tcBorders>
              <w:top w:val="nil"/>
              <w:left w:val="nil"/>
              <w:bottom w:val="nil"/>
              <w:right w:val="nil"/>
            </w:tcBorders>
            <w:shd w:val="clear" w:color="auto" w:fill="auto"/>
            <w:noWrap/>
            <w:vAlign w:val="center"/>
            <w:hideMark/>
          </w:tcPr>
          <w:p w14:paraId="1930783D" w14:textId="77777777" w:rsidR="00AB3852" w:rsidRPr="0099355B" w:rsidRDefault="00AB3852" w:rsidP="00AB3852">
            <w:pPr>
              <w:jc w:val="center"/>
              <w:rPr>
                <w:color w:val="000000"/>
                <w:sz w:val="18"/>
                <w:szCs w:val="18"/>
              </w:rPr>
            </w:pPr>
            <w:r w:rsidRPr="0099355B">
              <w:rPr>
                <w:color w:val="000000"/>
                <w:sz w:val="18"/>
                <w:szCs w:val="18"/>
              </w:rPr>
              <w:t>0.033</w:t>
            </w:r>
          </w:p>
        </w:tc>
        <w:tc>
          <w:tcPr>
            <w:tcW w:w="0" w:type="auto"/>
            <w:tcBorders>
              <w:top w:val="nil"/>
              <w:left w:val="nil"/>
              <w:bottom w:val="nil"/>
              <w:right w:val="nil"/>
            </w:tcBorders>
            <w:shd w:val="clear" w:color="auto" w:fill="auto"/>
            <w:noWrap/>
            <w:vAlign w:val="center"/>
            <w:hideMark/>
          </w:tcPr>
          <w:p w14:paraId="738177F3" w14:textId="77777777" w:rsidR="00AB3852" w:rsidRPr="0099355B" w:rsidRDefault="00AB3852" w:rsidP="00AB3852">
            <w:pPr>
              <w:jc w:val="center"/>
              <w:rPr>
                <w:color w:val="000000"/>
                <w:sz w:val="18"/>
                <w:szCs w:val="18"/>
              </w:rPr>
            </w:pPr>
            <w:r w:rsidRPr="0099355B">
              <w:rPr>
                <w:color w:val="000000"/>
                <w:sz w:val="18"/>
                <w:szCs w:val="18"/>
              </w:rPr>
              <w:t>19.34</w:t>
            </w:r>
          </w:p>
        </w:tc>
        <w:tc>
          <w:tcPr>
            <w:tcW w:w="0" w:type="auto"/>
            <w:tcBorders>
              <w:top w:val="nil"/>
              <w:left w:val="nil"/>
              <w:bottom w:val="nil"/>
              <w:right w:val="nil"/>
            </w:tcBorders>
            <w:shd w:val="clear" w:color="auto" w:fill="auto"/>
            <w:noWrap/>
            <w:vAlign w:val="center"/>
            <w:hideMark/>
          </w:tcPr>
          <w:p w14:paraId="48E3A388" w14:textId="77777777" w:rsidR="00AB3852" w:rsidRPr="0099355B" w:rsidRDefault="00AB3852" w:rsidP="00AB3852">
            <w:pPr>
              <w:jc w:val="center"/>
              <w:rPr>
                <w:color w:val="000000"/>
                <w:sz w:val="18"/>
                <w:szCs w:val="18"/>
              </w:rPr>
            </w:pPr>
            <w:r w:rsidRPr="0099355B">
              <w:rPr>
                <w:color w:val="000000"/>
                <w:sz w:val="18"/>
                <w:szCs w:val="18"/>
              </w:rPr>
              <w:t>176%</w:t>
            </w:r>
          </w:p>
        </w:tc>
        <w:tc>
          <w:tcPr>
            <w:tcW w:w="0" w:type="auto"/>
            <w:tcBorders>
              <w:top w:val="nil"/>
              <w:left w:val="nil"/>
              <w:bottom w:val="nil"/>
              <w:right w:val="nil"/>
            </w:tcBorders>
            <w:shd w:val="clear" w:color="auto" w:fill="auto"/>
            <w:noWrap/>
            <w:vAlign w:val="center"/>
            <w:hideMark/>
          </w:tcPr>
          <w:p w14:paraId="600574CB" w14:textId="77777777" w:rsidR="00AB3852" w:rsidRPr="0099355B" w:rsidRDefault="00AB3852" w:rsidP="00AB3852">
            <w:pPr>
              <w:jc w:val="center"/>
              <w:rPr>
                <w:color w:val="000000"/>
                <w:sz w:val="18"/>
                <w:szCs w:val="18"/>
              </w:rPr>
            </w:pPr>
            <w:r w:rsidRPr="0099355B">
              <w:rPr>
                <w:color w:val="000000"/>
                <w:sz w:val="18"/>
                <w:szCs w:val="18"/>
              </w:rPr>
              <w:t>201%</w:t>
            </w:r>
          </w:p>
        </w:tc>
      </w:tr>
      <w:tr w:rsidR="00AB3852" w:rsidRPr="0099355B" w14:paraId="173E334D"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5CCED39F"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059955BB" w14:textId="77777777" w:rsidR="00AB3852" w:rsidRPr="0099355B" w:rsidRDefault="00AB3852" w:rsidP="00AB3852">
            <w:pPr>
              <w:jc w:val="center"/>
              <w:rPr>
                <w:color w:val="000000"/>
                <w:sz w:val="18"/>
                <w:szCs w:val="18"/>
              </w:rPr>
            </w:pPr>
            <w:r w:rsidRPr="0099355B">
              <w:rPr>
                <w:color w:val="000000"/>
                <w:sz w:val="18"/>
                <w:szCs w:val="18"/>
              </w:rPr>
              <w:t>1</w:t>
            </w:r>
          </w:p>
        </w:tc>
        <w:tc>
          <w:tcPr>
            <w:tcW w:w="0" w:type="auto"/>
            <w:tcBorders>
              <w:top w:val="nil"/>
              <w:left w:val="nil"/>
              <w:bottom w:val="nil"/>
              <w:right w:val="nil"/>
            </w:tcBorders>
            <w:shd w:val="clear" w:color="auto" w:fill="auto"/>
            <w:noWrap/>
            <w:vAlign w:val="center"/>
            <w:hideMark/>
          </w:tcPr>
          <w:p w14:paraId="667A87AD" w14:textId="77777777" w:rsidR="00AB3852" w:rsidRPr="0099355B" w:rsidRDefault="00AB3852" w:rsidP="00AB3852">
            <w:pPr>
              <w:jc w:val="center"/>
              <w:rPr>
                <w:color w:val="000000"/>
                <w:sz w:val="18"/>
                <w:szCs w:val="18"/>
              </w:rPr>
            </w:pPr>
            <w:r w:rsidRPr="0099355B">
              <w:rPr>
                <w:color w:val="000000"/>
                <w:sz w:val="18"/>
                <w:szCs w:val="18"/>
              </w:rPr>
              <w:t>2.39</w:t>
            </w:r>
          </w:p>
        </w:tc>
        <w:tc>
          <w:tcPr>
            <w:tcW w:w="0" w:type="auto"/>
            <w:tcBorders>
              <w:top w:val="nil"/>
              <w:left w:val="nil"/>
              <w:bottom w:val="nil"/>
              <w:right w:val="nil"/>
            </w:tcBorders>
            <w:shd w:val="clear" w:color="auto" w:fill="auto"/>
            <w:noWrap/>
            <w:vAlign w:val="center"/>
            <w:hideMark/>
          </w:tcPr>
          <w:p w14:paraId="05B3E027" w14:textId="77777777" w:rsidR="00AB3852" w:rsidRPr="0099355B" w:rsidRDefault="00AB3852" w:rsidP="00AB3852">
            <w:pPr>
              <w:jc w:val="center"/>
              <w:rPr>
                <w:color w:val="000000"/>
                <w:sz w:val="18"/>
                <w:szCs w:val="18"/>
              </w:rPr>
            </w:pPr>
            <w:r w:rsidRPr="0099355B">
              <w:rPr>
                <w:color w:val="000000"/>
                <w:sz w:val="18"/>
                <w:szCs w:val="18"/>
              </w:rPr>
              <w:t>0.480</w:t>
            </w:r>
          </w:p>
        </w:tc>
        <w:tc>
          <w:tcPr>
            <w:tcW w:w="0" w:type="auto"/>
            <w:tcBorders>
              <w:top w:val="nil"/>
              <w:left w:val="nil"/>
              <w:bottom w:val="nil"/>
              <w:right w:val="nil"/>
            </w:tcBorders>
            <w:shd w:val="clear" w:color="auto" w:fill="auto"/>
            <w:noWrap/>
            <w:vAlign w:val="center"/>
            <w:hideMark/>
          </w:tcPr>
          <w:p w14:paraId="60AAE5A6" w14:textId="77777777" w:rsidR="00AB3852" w:rsidRPr="0099355B" w:rsidRDefault="00AB3852" w:rsidP="00AB3852">
            <w:pPr>
              <w:jc w:val="center"/>
              <w:rPr>
                <w:color w:val="000000"/>
                <w:sz w:val="18"/>
                <w:szCs w:val="18"/>
              </w:rPr>
            </w:pPr>
            <w:r w:rsidRPr="0099355B">
              <w:rPr>
                <w:color w:val="000000"/>
                <w:sz w:val="18"/>
                <w:szCs w:val="18"/>
              </w:rPr>
              <w:t>4.99</w:t>
            </w:r>
          </w:p>
        </w:tc>
        <w:tc>
          <w:tcPr>
            <w:tcW w:w="0" w:type="auto"/>
            <w:tcBorders>
              <w:top w:val="nil"/>
              <w:left w:val="nil"/>
              <w:bottom w:val="nil"/>
              <w:right w:val="nil"/>
            </w:tcBorders>
            <w:shd w:val="clear" w:color="auto" w:fill="auto"/>
            <w:noWrap/>
            <w:vAlign w:val="center"/>
            <w:hideMark/>
          </w:tcPr>
          <w:p w14:paraId="1738F4F6" w14:textId="77777777" w:rsidR="00AB3852" w:rsidRPr="0099355B" w:rsidRDefault="00AB3852" w:rsidP="00AB3852">
            <w:pPr>
              <w:jc w:val="center"/>
              <w:rPr>
                <w:color w:val="000000"/>
                <w:sz w:val="18"/>
                <w:szCs w:val="18"/>
              </w:rPr>
            </w:pPr>
            <w:r w:rsidRPr="0099355B">
              <w:rPr>
                <w:color w:val="000000"/>
                <w:sz w:val="18"/>
                <w:szCs w:val="18"/>
              </w:rPr>
              <w:t>1.45</w:t>
            </w:r>
          </w:p>
        </w:tc>
        <w:tc>
          <w:tcPr>
            <w:tcW w:w="0" w:type="auto"/>
            <w:tcBorders>
              <w:top w:val="nil"/>
              <w:left w:val="nil"/>
              <w:bottom w:val="nil"/>
              <w:right w:val="nil"/>
            </w:tcBorders>
            <w:shd w:val="clear" w:color="auto" w:fill="auto"/>
            <w:noWrap/>
            <w:vAlign w:val="center"/>
            <w:hideMark/>
          </w:tcPr>
          <w:p w14:paraId="7F1A4B2B" w14:textId="77777777" w:rsidR="00AB3852" w:rsidRPr="0099355B" w:rsidRDefault="00AB3852" w:rsidP="00AB3852">
            <w:pPr>
              <w:jc w:val="center"/>
              <w:rPr>
                <w:color w:val="000000"/>
                <w:sz w:val="18"/>
                <w:szCs w:val="18"/>
              </w:rPr>
            </w:pPr>
            <w:r w:rsidRPr="0099355B">
              <w:rPr>
                <w:color w:val="000000"/>
                <w:sz w:val="18"/>
                <w:szCs w:val="18"/>
              </w:rPr>
              <w:t>3.34</w:t>
            </w:r>
          </w:p>
        </w:tc>
        <w:tc>
          <w:tcPr>
            <w:tcW w:w="0" w:type="auto"/>
            <w:tcBorders>
              <w:top w:val="nil"/>
              <w:left w:val="nil"/>
              <w:bottom w:val="nil"/>
              <w:right w:val="nil"/>
            </w:tcBorders>
            <w:shd w:val="clear" w:color="auto" w:fill="auto"/>
            <w:noWrap/>
            <w:vAlign w:val="center"/>
            <w:hideMark/>
          </w:tcPr>
          <w:p w14:paraId="2EC2AD9A" w14:textId="77777777" w:rsidR="00AB3852" w:rsidRPr="0099355B" w:rsidRDefault="00AB3852" w:rsidP="00AB3852">
            <w:pPr>
              <w:jc w:val="center"/>
              <w:rPr>
                <w:color w:val="000000"/>
                <w:sz w:val="18"/>
                <w:szCs w:val="18"/>
              </w:rPr>
            </w:pPr>
            <w:r w:rsidRPr="0099355B">
              <w:rPr>
                <w:color w:val="000000"/>
                <w:sz w:val="18"/>
                <w:szCs w:val="18"/>
              </w:rPr>
              <w:t>123%</w:t>
            </w:r>
          </w:p>
        </w:tc>
        <w:tc>
          <w:tcPr>
            <w:tcW w:w="0" w:type="auto"/>
            <w:tcBorders>
              <w:top w:val="nil"/>
              <w:left w:val="nil"/>
              <w:bottom w:val="nil"/>
              <w:right w:val="nil"/>
            </w:tcBorders>
            <w:shd w:val="clear" w:color="auto" w:fill="auto"/>
            <w:noWrap/>
            <w:vAlign w:val="center"/>
            <w:hideMark/>
          </w:tcPr>
          <w:p w14:paraId="7D8AC5E2" w14:textId="77777777" w:rsidR="00AB3852" w:rsidRPr="0099355B" w:rsidRDefault="00AB3852" w:rsidP="00AB3852">
            <w:pPr>
              <w:jc w:val="center"/>
              <w:rPr>
                <w:color w:val="000000"/>
                <w:sz w:val="18"/>
                <w:szCs w:val="18"/>
              </w:rPr>
            </w:pPr>
            <w:r w:rsidRPr="0099355B">
              <w:rPr>
                <w:color w:val="000000"/>
                <w:sz w:val="18"/>
                <w:szCs w:val="18"/>
              </w:rPr>
              <w:t>0.028</w:t>
            </w:r>
          </w:p>
        </w:tc>
        <w:tc>
          <w:tcPr>
            <w:tcW w:w="0" w:type="auto"/>
            <w:tcBorders>
              <w:top w:val="nil"/>
              <w:left w:val="nil"/>
              <w:bottom w:val="nil"/>
              <w:right w:val="nil"/>
            </w:tcBorders>
            <w:shd w:val="clear" w:color="auto" w:fill="auto"/>
            <w:noWrap/>
            <w:vAlign w:val="center"/>
            <w:hideMark/>
          </w:tcPr>
          <w:p w14:paraId="4FD6603E" w14:textId="77777777" w:rsidR="00AB3852" w:rsidRPr="0099355B" w:rsidRDefault="00AB3852" w:rsidP="00AB3852">
            <w:pPr>
              <w:jc w:val="center"/>
              <w:rPr>
                <w:color w:val="000000"/>
                <w:sz w:val="18"/>
                <w:szCs w:val="18"/>
              </w:rPr>
            </w:pPr>
            <w:r w:rsidRPr="0099355B">
              <w:rPr>
                <w:color w:val="000000"/>
                <w:sz w:val="18"/>
                <w:szCs w:val="18"/>
              </w:rPr>
              <w:t>7.27</w:t>
            </w:r>
          </w:p>
        </w:tc>
        <w:tc>
          <w:tcPr>
            <w:tcW w:w="0" w:type="auto"/>
            <w:tcBorders>
              <w:top w:val="nil"/>
              <w:left w:val="nil"/>
              <w:bottom w:val="nil"/>
              <w:right w:val="nil"/>
            </w:tcBorders>
            <w:shd w:val="clear" w:color="auto" w:fill="auto"/>
            <w:noWrap/>
            <w:vAlign w:val="center"/>
            <w:hideMark/>
          </w:tcPr>
          <w:p w14:paraId="6E370F26" w14:textId="77777777" w:rsidR="00AB3852" w:rsidRPr="0099355B" w:rsidRDefault="00AB3852" w:rsidP="00AB3852">
            <w:pPr>
              <w:jc w:val="center"/>
              <w:rPr>
                <w:color w:val="000000"/>
                <w:sz w:val="18"/>
                <w:szCs w:val="18"/>
              </w:rPr>
            </w:pPr>
            <w:r w:rsidRPr="0099355B">
              <w:rPr>
                <w:color w:val="000000"/>
                <w:sz w:val="18"/>
                <w:szCs w:val="18"/>
              </w:rPr>
              <w:t>116%</w:t>
            </w:r>
          </w:p>
        </w:tc>
        <w:tc>
          <w:tcPr>
            <w:tcW w:w="0" w:type="auto"/>
            <w:tcBorders>
              <w:top w:val="nil"/>
              <w:left w:val="nil"/>
              <w:bottom w:val="nil"/>
              <w:right w:val="nil"/>
            </w:tcBorders>
            <w:shd w:val="clear" w:color="auto" w:fill="auto"/>
            <w:noWrap/>
            <w:vAlign w:val="center"/>
            <w:hideMark/>
          </w:tcPr>
          <w:p w14:paraId="514D22D5" w14:textId="77777777" w:rsidR="00AB3852" w:rsidRPr="0099355B" w:rsidRDefault="00AB3852" w:rsidP="00AB3852">
            <w:pPr>
              <w:jc w:val="center"/>
              <w:rPr>
                <w:color w:val="000000"/>
                <w:sz w:val="18"/>
                <w:szCs w:val="18"/>
              </w:rPr>
            </w:pPr>
            <w:r w:rsidRPr="0099355B">
              <w:rPr>
                <w:color w:val="000000"/>
                <w:sz w:val="18"/>
                <w:szCs w:val="18"/>
              </w:rPr>
              <w:t>130%</w:t>
            </w:r>
          </w:p>
        </w:tc>
      </w:tr>
      <w:tr w:rsidR="00AB3852" w:rsidRPr="0099355B" w14:paraId="52E5EEF4"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4842D65B" w14:textId="77777777" w:rsidR="00AB3852" w:rsidRPr="0099355B" w:rsidRDefault="00AB3852" w:rsidP="00AB3852">
            <w:pPr>
              <w:jc w:val="center"/>
              <w:rPr>
                <w:color w:val="000000"/>
                <w:sz w:val="18"/>
                <w:szCs w:val="18"/>
              </w:rPr>
            </w:pPr>
            <w:r w:rsidRPr="0099355B">
              <w:rPr>
                <w:color w:val="000000"/>
                <w:sz w:val="18"/>
                <w:szCs w:val="18"/>
              </w:rPr>
              <w:t>item 4</w:t>
            </w:r>
          </w:p>
        </w:tc>
        <w:tc>
          <w:tcPr>
            <w:tcW w:w="0" w:type="auto"/>
            <w:tcBorders>
              <w:top w:val="nil"/>
              <w:left w:val="nil"/>
              <w:bottom w:val="nil"/>
              <w:right w:val="nil"/>
            </w:tcBorders>
            <w:shd w:val="clear" w:color="auto" w:fill="auto"/>
            <w:noWrap/>
            <w:vAlign w:val="center"/>
            <w:hideMark/>
          </w:tcPr>
          <w:p w14:paraId="4726428A" w14:textId="77777777" w:rsidR="00AB3852" w:rsidRPr="0099355B" w:rsidRDefault="00AB3852" w:rsidP="00AB3852">
            <w:pPr>
              <w:jc w:val="center"/>
              <w:rPr>
                <w:color w:val="000000"/>
                <w:sz w:val="18"/>
                <w:szCs w:val="18"/>
              </w:rPr>
            </w:pPr>
            <w:r w:rsidRPr="0099355B">
              <w:rPr>
                <w:color w:val="000000"/>
                <w:sz w:val="18"/>
                <w:szCs w:val="18"/>
              </w:rPr>
              <w:t>2</w:t>
            </w:r>
          </w:p>
        </w:tc>
        <w:tc>
          <w:tcPr>
            <w:tcW w:w="0" w:type="auto"/>
            <w:tcBorders>
              <w:top w:val="nil"/>
              <w:left w:val="nil"/>
              <w:bottom w:val="nil"/>
              <w:right w:val="nil"/>
            </w:tcBorders>
            <w:shd w:val="clear" w:color="auto" w:fill="auto"/>
            <w:noWrap/>
            <w:vAlign w:val="center"/>
            <w:hideMark/>
          </w:tcPr>
          <w:p w14:paraId="21D38E0A" w14:textId="77777777" w:rsidR="00AB3852" w:rsidRPr="0099355B" w:rsidRDefault="00AB3852" w:rsidP="00AB3852">
            <w:pPr>
              <w:jc w:val="center"/>
              <w:rPr>
                <w:color w:val="000000"/>
                <w:sz w:val="18"/>
                <w:szCs w:val="18"/>
              </w:rPr>
            </w:pPr>
            <w:r w:rsidRPr="0099355B">
              <w:rPr>
                <w:color w:val="000000"/>
                <w:sz w:val="18"/>
                <w:szCs w:val="18"/>
              </w:rPr>
              <w:t>6.57</w:t>
            </w:r>
          </w:p>
        </w:tc>
        <w:tc>
          <w:tcPr>
            <w:tcW w:w="0" w:type="auto"/>
            <w:tcBorders>
              <w:top w:val="nil"/>
              <w:left w:val="nil"/>
              <w:bottom w:val="nil"/>
              <w:right w:val="nil"/>
            </w:tcBorders>
            <w:shd w:val="clear" w:color="auto" w:fill="auto"/>
            <w:noWrap/>
            <w:vAlign w:val="center"/>
            <w:hideMark/>
          </w:tcPr>
          <w:p w14:paraId="4BFCCA4F" w14:textId="77777777" w:rsidR="00AB3852" w:rsidRPr="0099355B" w:rsidRDefault="00AB3852" w:rsidP="00AB3852">
            <w:pPr>
              <w:jc w:val="center"/>
              <w:rPr>
                <w:color w:val="000000"/>
                <w:sz w:val="18"/>
                <w:szCs w:val="18"/>
              </w:rPr>
            </w:pPr>
            <w:r w:rsidRPr="0099355B">
              <w:rPr>
                <w:color w:val="000000"/>
                <w:sz w:val="18"/>
                <w:szCs w:val="18"/>
              </w:rPr>
              <w:t>0.549</w:t>
            </w:r>
          </w:p>
        </w:tc>
        <w:tc>
          <w:tcPr>
            <w:tcW w:w="0" w:type="auto"/>
            <w:tcBorders>
              <w:top w:val="nil"/>
              <w:left w:val="nil"/>
              <w:bottom w:val="nil"/>
              <w:right w:val="nil"/>
            </w:tcBorders>
            <w:shd w:val="clear" w:color="auto" w:fill="auto"/>
            <w:noWrap/>
            <w:vAlign w:val="center"/>
            <w:hideMark/>
          </w:tcPr>
          <w:p w14:paraId="3BEA06C6" w14:textId="77777777" w:rsidR="00AB3852" w:rsidRPr="0099355B" w:rsidRDefault="00AB3852" w:rsidP="00AB3852">
            <w:pPr>
              <w:jc w:val="center"/>
              <w:rPr>
                <w:color w:val="000000"/>
                <w:sz w:val="18"/>
                <w:szCs w:val="18"/>
              </w:rPr>
            </w:pPr>
            <w:r w:rsidRPr="0099355B">
              <w:rPr>
                <w:color w:val="000000"/>
                <w:sz w:val="18"/>
                <w:szCs w:val="18"/>
              </w:rPr>
              <w:t>11.97</w:t>
            </w:r>
          </w:p>
        </w:tc>
        <w:tc>
          <w:tcPr>
            <w:tcW w:w="0" w:type="auto"/>
            <w:tcBorders>
              <w:top w:val="nil"/>
              <w:left w:val="nil"/>
              <w:bottom w:val="nil"/>
              <w:right w:val="nil"/>
            </w:tcBorders>
            <w:shd w:val="clear" w:color="auto" w:fill="auto"/>
            <w:noWrap/>
            <w:vAlign w:val="center"/>
            <w:hideMark/>
          </w:tcPr>
          <w:p w14:paraId="1C12BE1D" w14:textId="77777777" w:rsidR="00AB3852" w:rsidRPr="0099355B" w:rsidRDefault="00AB3852" w:rsidP="00AB3852">
            <w:pPr>
              <w:jc w:val="center"/>
              <w:rPr>
                <w:color w:val="000000"/>
                <w:sz w:val="18"/>
                <w:szCs w:val="18"/>
              </w:rPr>
            </w:pPr>
            <w:r w:rsidRPr="0099355B">
              <w:rPr>
                <w:color w:val="000000"/>
                <w:sz w:val="18"/>
                <w:szCs w:val="18"/>
              </w:rPr>
              <w:t>5.49</w:t>
            </w:r>
          </w:p>
        </w:tc>
        <w:tc>
          <w:tcPr>
            <w:tcW w:w="0" w:type="auto"/>
            <w:tcBorders>
              <w:top w:val="nil"/>
              <w:left w:val="nil"/>
              <w:bottom w:val="nil"/>
              <w:right w:val="nil"/>
            </w:tcBorders>
            <w:shd w:val="clear" w:color="auto" w:fill="auto"/>
            <w:noWrap/>
            <w:vAlign w:val="center"/>
            <w:hideMark/>
          </w:tcPr>
          <w:p w14:paraId="16140C65" w14:textId="77777777" w:rsidR="00AB3852" w:rsidRPr="0099355B" w:rsidRDefault="00AB3852" w:rsidP="00AB3852">
            <w:pPr>
              <w:jc w:val="center"/>
              <w:rPr>
                <w:color w:val="000000"/>
                <w:sz w:val="18"/>
                <w:szCs w:val="18"/>
              </w:rPr>
            </w:pPr>
            <w:r w:rsidRPr="0099355B">
              <w:rPr>
                <w:color w:val="000000"/>
                <w:sz w:val="18"/>
                <w:szCs w:val="18"/>
              </w:rPr>
              <w:t>7.65</w:t>
            </w:r>
          </w:p>
        </w:tc>
        <w:tc>
          <w:tcPr>
            <w:tcW w:w="0" w:type="auto"/>
            <w:tcBorders>
              <w:top w:val="nil"/>
              <w:left w:val="nil"/>
              <w:bottom w:val="nil"/>
              <w:right w:val="nil"/>
            </w:tcBorders>
            <w:shd w:val="clear" w:color="auto" w:fill="auto"/>
            <w:noWrap/>
            <w:vAlign w:val="center"/>
            <w:hideMark/>
          </w:tcPr>
          <w:p w14:paraId="1A2C3877" w14:textId="77777777" w:rsidR="00AB3852" w:rsidRPr="0099355B" w:rsidRDefault="00AB3852" w:rsidP="00AB3852">
            <w:pPr>
              <w:jc w:val="center"/>
              <w:rPr>
                <w:color w:val="000000"/>
                <w:sz w:val="18"/>
                <w:szCs w:val="18"/>
              </w:rPr>
            </w:pPr>
            <w:r w:rsidRPr="0099355B">
              <w:rPr>
                <w:color w:val="000000"/>
                <w:sz w:val="18"/>
                <w:szCs w:val="18"/>
              </w:rPr>
              <w:t>158%</w:t>
            </w:r>
          </w:p>
        </w:tc>
        <w:tc>
          <w:tcPr>
            <w:tcW w:w="0" w:type="auto"/>
            <w:tcBorders>
              <w:top w:val="nil"/>
              <w:left w:val="nil"/>
              <w:bottom w:val="nil"/>
              <w:right w:val="nil"/>
            </w:tcBorders>
            <w:shd w:val="clear" w:color="auto" w:fill="auto"/>
            <w:noWrap/>
            <w:vAlign w:val="center"/>
            <w:hideMark/>
          </w:tcPr>
          <w:p w14:paraId="2D7EE26E" w14:textId="77777777" w:rsidR="00AB3852" w:rsidRPr="0099355B" w:rsidRDefault="00AB3852" w:rsidP="00AB3852">
            <w:pPr>
              <w:jc w:val="center"/>
              <w:rPr>
                <w:color w:val="000000"/>
                <w:sz w:val="18"/>
                <w:szCs w:val="18"/>
              </w:rPr>
            </w:pPr>
            <w:r w:rsidRPr="0099355B">
              <w:rPr>
                <w:color w:val="000000"/>
                <w:sz w:val="18"/>
                <w:szCs w:val="18"/>
              </w:rPr>
              <w:t>0.033</w:t>
            </w:r>
          </w:p>
        </w:tc>
        <w:tc>
          <w:tcPr>
            <w:tcW w:w="0" w:type="auto"/>
            <w:tcBorders>
              <w:top w:val="nil"/>
              <w:left w:val="nil"/>
              <w:bottom w:val="nil"/>
              <w:right w:val="nil"/>
            </w:tcBorders>
            <w:shd w:val="clear" w:color="auto" w:fill="auto"/>
            <w:noWrap/>
            <w:vAlign w:val="center"/>
            <w:hideMark/>
          </w:tcPr>
          <w:p w14:paraId="77C16E73" w14:textId="77777777" w:rsidR="00AB3852" w:rsidRPr="0099355B" w:rsidRDefault="00AB3852" w:rsidP="00AB3852">
            <w:pPr>
              <w:jc w:val="center"/>
              <w:rPr>
                <w:color w:val="000000"/>
                <w:sz w:val="18"/>
                <w:szCs w:val="18"/>
              </w:rPr>
            </w:pPr>
            <w:r w:rsidRPr="0099355B">
              <w:rPr>
                <w:color w:val="000000"/>
                <w:sz w:val="18"/>
                <w:szCs w:val="18"/>
              </w:rPr>
              <w:t>13.86</w:t>
            </w:r>
          </w:p>
        </w:tc>
        <w:tc>
          <w:tcPr>
            <w:tcW w:w="0" w:type="auto"/>
            <w:tcBorders>
              <w:top w:val="nil"/>
              <w:left w:val="nil"/>
              <w:bottom w:val="nil"/>
              <w:right w:val="nil"/>
            </w:tcBorders>
            <w:shd w:val="clear" w:color="auto" w:fill="auto"/>
            <w:noWrap/>
            <w:vAlign w:val="center"/>
            <w:hideMark/>
          </w:tcPr>
          <w:p w14:paraId="52B71F79" w14:textId="77777777" w:rsidR="00AB3852" w:rsidRPr="0099355B" w:rsidRDefault="00AB3852" w:rsidP="00AB3852">
            <w:pPr>
              <w:jc w:val="center"/>
              <w:rPr>
                <w:color w:val="000000"/>
                <w:sz w:val="18"/>
                <w:szCs w:val="18"/>
              </w:rPr>
            </w:pPr>
            <w:r w:rsidRPr="0099355B">
              <w:rPr>
                <w:color w:val="000000"/>
                <w:sz w:val="18"/>
                <w:szCs w:val="18"/>
              </w:rPr>
              <w:t>148%</w:t>
            </w:r>
          </w:p>
        </w:tc>
        <w:tc>
          <w:tcPr>
            <w:tcW w:w="0" w:type="auto"/>
            <w:tcBorders>
              <w:top w:val="nil"/>
              <w:left w:val="nil"/>
              <w:bottom w:val="nil"/>
              <w:right w:val="nil"/>
            </w:tcBorders>
            <w:shd w:val="clear" w:color="auto" w:fill="auto"/>
            <w:noWrap/>
            <w:vAlign w:val="center"/>
            <w:hideMark/>
          </w:tcPr>
          <w:p w14:paraId="563F3BCC" w14:textId="77777777" w:rsidR="00AB3852" w:rsidRPr="0099355B" w:rsidRDefault="00AB3852" w:rsidP="00AB3852">
            <w:pPr>
              <w:jc w:val="center"/>
              <w:rPr>
                <w:color w:val="000000"/>
                <w:sz w:val="18"/>
                <w:szCs w:val="18"/>
              </w:rPr>
            </w:pPr>
            <w:r w:rsidRPr="0099355B">
              <w:rPr>
                <w:color w:val="000000"/>
                <w:sz w:val="18"/>
                <w:szCs w:val="18"/>
              </w:rPr>
              <w:t>168%</w:t>
            </w:r>
          </w:p>
        </w:tc>
      </w:tr>
      <w:tr w:rsidR="00AB3852" w:rsidRPr="0099355B" w14:paraId="0173E3AC"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5A0CEB6B"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3CB04D79" w14:textId="77777777" w:rsidR="00AB3852" w:rsidRPr="0099355B" w:rsidRDefault="00AB3852" w:rsidP="00AB3852">
            <w:pPr>
              <w:jc w:val="center"/>
              <w:rPr>
                <w:color w:val="000000"/>
                <w:sz w:val="18"/>
                <w:szCs w:val="18"/>
              </w:rPr>
            </w:pPr>
            <w:r w:rsidRPr="0099355B">
              <w:rPr>
                <w:color w:val="000000"/>
                <w:sz w:val="18"/>
                <w:szCs w:val="18"/>
              </w:rPr>
              <w:t>3</w:t>
            </w:r>
          </w:p>
        </w:tc>
        <w:tc>
          <w:tcPr>
            <w:tcW w:w="0" w:type="auto"/>
            <w:tcBorders>
              <w:top w:val="nil"/>
              <w:left w:val="nil"/>
              <w:bottom w:val="nil"/>
              <w:right w:val="nil"/>
            </w:tcBorders>
            <w:shd w:val="clear" w:color="auto" w:fill="auto"/>
            <w:noWrap/>
            <w:vAlign w:val="center"/>
            <w:hideMark/>
          </w:tcPr>
          <w:p w14:paraId="5299007C" w14:textId="77777777" w:rsidR="00AB3852" w:rsidRPr="0099355B" w:rsidRDefault="00AB3852" w:rsidP="00AB3852">
            <w:pPr>
              <w:jc w:val="center"/>
              <w:rPr>
                <w:color w:val="000000"/>
                <w:sz w:val="18"/>
                <w:szCs w:val="18"/>
              </w:rPr>
            </w:pPr>
            <w:r w:rsidRPr="0099355B">
              <w:rPr>
                <w:color w:val="000000"/>
                <w:sz w:val="18"/>
                <w:szCs w:val="18"/>
              </w:rPr>
              <w:t>9.79</w:t>
            </w:r>
          </w:p>
        </w:tc>
        <w:tc>
          <w:tcPr>
            <w:tcW w:w="0" w:type="auto"/>
            <w:tcBorders>
              <w:top w:val="nil"/>
              <w:left w:val="nil"/>
              <w:bottom w:val="nil"/>
              <w:right w:val="nil"/>
            </w:tcBorders>
            <w:shd w:val="clear" w:color="auto" w:fill="auto"/>
            <w:noWrap/>
            <w:vAlign w:val="center"/>
            <w:hideMark/>
          </w:tcPr>
          <w:p w14:paraId="52B4739B" w14:textId="77777777" w:rsidR="00AB3852" w:rsidRPr="0099355B" w:rsidRDefault="00AB3852" w:rsidP="00AB3852">
            <w:pPr>
              <w:jc w:val="center"/>
              <w:rPr>
                <w:color w:val="000000"/>
                <w:sz w:val="18"/>
                <w:szCs w:val="18"/>
              </w:rPr>
            </w:pPr>
            <w:r w:rsidRPr="0099355B">
              <w:rPr>
                <w:color w:val="000000"/>
                <w:sz w:val="18"/>
                <w:szCs w:val="18"/>
              </w:rPr>
              <w:t>0.538</w:t>
            </w:r>
          </w:p>
        </w:tc>
        <w:tc>
          <w:tcPr>
            <w:tcW w:w="0" w:type="auto"/>
            <w:tcBorders>
              <w:top w:val="nil"/>
              <w:left w:val="nil"/>
              <w:bottom w:val="nil"/>
              <w:right w:val="nil"/>
            </w:tcBorders>
            <w:shd w:val="clear" w:color="auto" w:fill="auto"/>
            <w:noWrap/>
            <w:vAlign w:val="center"/>
            <w:hideMark/>
          </w:tcPr>
          <w:p w14:paraId="6FC3E3FD" w14:textId="77777777" w:rsidR="00AB3852" w:rsidRPr="0099355B" w:rsidRDefault="00AB3852" w:rsidP="00AB3852">
            <w:pPr>
              <w:jc w:val="center"/>
              <w:rPr>
                <w:color w:val="000000"/>
                <w:sz w:val="18"/>
                <w:szCs w:val="18"/>
              </w:rPr>
            </w:pPr>
            <w:r w:rsidRPr="0099355B">
              <w:rPr>
                <w:color w:val="000000"/>
                <w:sz w:val="18"/>
                <w:szCs w:val="18"/>
              </w:rPr>
              <w:t>18.19</w:t>
            </w:r>
          </w:p>
        </w:tc>
        <w:tc>
          <w:tcPr>
            <w:tcW w:w="0" w:type="auto"/>
            <w:tcBorders>
              <w:top w:val="nil"/>
              <w:left w:val="nil"/>
              <w:bottom w:val="nil"/>
              <w:right w:val="nil"/>
            </w:tcBorders>
            <w:shd w:val="clear" w:color="auto" w:fill="auto"/>
            <w:noWrap/>
            <w:vAlign w:val="center"/>
            <w:hideMark/>
          </w:tcPr>
          <w:p w14:paraId="490E4337" w14:textId="77777777" w:rsidR="00AB3852" w:rsidRPr="0099355B" w:rsidRDefault="00AB3852" w:rsidP="00AB3852">
            <w:pPr>
              <w:jc w:val="center"/>
              <w:rPr>
                <w:color w:val="000000"/>
                <w:sz w:val="18"/>
                <w:szCs w:val="18"/>
              </w:rPr>
            </w:pPr>
            <w:r w:rsidRPr="0099355B">
              <w:rPr>
                <w:color w:val="000000"/>
                <w:sz w:val="18"/>
                <w:szCs w:val="18"/>
              </w:rPr>
              <w:t>8.73</w:t>
            </w:r>
          </w:p>
        </w:tc>
        <w:tc>
          <w:tcPr>
            <w:tcW w:w="0" w:type="auto"/>
            <w:tcBorders>
              <w:top w:val="nil"/>
              <w:left w:val="nil"/>
              <w:bottom w:val="nil"/>
              <w:right w:val="nil"/>
            </w:tcBorders>
            <w:shd w:val="clear" w:color="auto" w:fill="auto"/>
            <w:noWrap/>
            <w:vAlign w:val="center"/>
            <w:hideMark/>
          </w:tcPr>
          <w:p w14:paraId="43357ACF" w14:textId="77777777" w:rsidR="00AB3852" w:rsidRPr="0099355B" w:rsidRDefault="00AB3852" w:rsidP="00AB3852">
            <w:pPr>
              <w:jc w:val="center"/>
              <w:rPr>
                <w:color w:val="000000"/>
                <w:sz w:val="18"/>
                <w:szCs w:val="18"/>
              </w:rPr>
            </w:pPr>
            <w:r w:rsidRPr="0099355B">
              <w:rPr>
                <w:color w:val="000000"/>
                <w:sz w:val="18"/>
                <w:szCs w:val="18"/>
              </w:rPr>
              <w:t>10.85</w:t>
            </w:r>
          </w:p>
        </w:tc>
        <w:tc>
          <w:tcPr>
            <w:tcW w:w="0" w:type="auto"/>
            <w:tcBorders>
              <w:top w:val="nil"/>
              <w:left w:val="nil"/>
              <w:bottom w:val="nil"/>
              <w:right w:val="nil"/>
            </w:tcBorders>
            <w:shd w:val="clear" w:color="auto" w:fill="auto"/>
            <w:noWrap/>
            <w:vAlign w:val="center"/>
            <w:hideMark/>
          </w:tcPr>
          <w:p w14:paraId="75B52B44" w14:textId="77777777" w:rsidR="00AB3852" w:rsidRPr="0099355B" w:rsidRDefault="00AB3852" w:rsidP="00AB3852">
            <w:pPr>
              <w:jc w:val="center"/>
              <w:rPr>
                <w:color w:val="000000"/>
                <w:sz w:val="18"/>
                <w:szCs w:val="18"/>
              </w:rPr>
            </w:pPr>
            <w:r w:rsidRPr="0099355B">
              <w:rPr>
                <w:color w:val="000000"/>
                <w:sz w:val="18"/>
                <w:szCs w:val="18"/>
              </w:rPr>
              <w:t>185%</w:t>
            </w:r>
          </w:p>
        </w:tc>
        <w:tc>
          <w:tcPr>
            <w:tcW w:w="0" w:type="auto"/>
            <w:tcBorders>
              <w:top w:val="nil"/>
              <w:left w:val="nil"/>
              <w:bottom w:val="nil"/>
              <w:right w:val="nil"/>
            </w:tcBorders>
            <w:shd w:val="clear" w:color="auto" w:fill="auto"/>
            <w:noWrap/>
            <w:vAlign w:val="center"/>
            <w:hideMark/>
          </w:tcPr>
          <w:p w14:paraId="4249C843" w14:textId="77777777" w:rsidR="00AB3852" w:rsidRPr="0099355B" w:rsidRDefault="00AB3852" w:rsidP="00AB3852">
            <w:pPr>
              <w:jc w:val="center"/>
              <w:rPr>
                <w:color w:val="000000"/>
                <w:sz w:val="18"/>
                <w:szCs w:val="18"/>
              </w:rPr>
            </w:pPr>
            <w:r w:rsidRPr="0099355B">
              <w:rPr>
                <w:color w:val="000000"/>
                <w:sz w:val="18"/>
                <w:szCs w:val="18"/>
              </w:rPr>
              <w:t>0.032</w:t>
            </w:r>
          </w:p>
        </w:tc>
        <w:tc>
          <w:tcPr>
            <w:tcW w:w="0" w:type="auto"/>
            <w:tcBorders>
              <w:top w:val="nil"/>
              <w:left w:val="nil"/>
              <w:bottom w:val="nil"/>
              <w:right w:val="nil"/>
            </w:tcBorders>
            <w:shd w:val="clear" w:color="auto" w:fill="auto"/>
            <w:noWrap/>
            <w:vAlign w:val="center"/>
            <w:hideMark/>
          </w:tcPr>
          <w:p w14:paraId="23949639" w14:textId="77777777" w:rsidR="00AB3852" w:rsidRPr="0099355B" w:rsidRDefault="00AB3852" w:rsidP="00AB3852">
            <w:pPr>
              <w:jc w:val="center"/>
              <w:rPr>
                <w:color w:val="000000"/>
                <w:sz w:val="18"/>
                <w:szCs w:val="18"/>
              </w:rPr>
            </w:pPr>
            <w:r w:rsidRPr="0099355B">
              <w:rPr>
                <w:color w:val="000000"/>
                <w:sz w:val="18"/>
                <w:szCs w:val="18"/>
              </w:rPr>
              <w:t>18.93</w:t>
            </w:r>
          </w:p>
        </w:tc>
        <w:tc>
          <w:tcPr>
            <w:tcW w:w="0" w:type="auto"/>
            <w:tcBorders>
              <w:top w:val="nil"/>
              <w:left w:val="nil"/>
              <w:bottom w:val="nil"/>
              <w:right w:val="nil"/>
            </w:tcBorders>
            <w:shd w:val="clear" w:color="auto" w:fill="auto"/>
            <w:noWrap/>
            <w:vAlign w:val="center"/>
            <w:hideMark/>
          </w:tcPr>
          <w:p w14:paraId="1653C10E" w14:textId="77777777" w:rsidR="00AB3852" w:rsidRPr="0099355B" w:rsidRDefault="00AB3852" w:rsidP="00AB3852">
            <w:pPr>
              <w:jc w:val="center"/>
              <w:rPr>
                <w:color w:val="000000"/>
                <w:sz w:val="18"/>
                <w:szCs w:val="18"/>
              </w:rPr>
            </w:pPr>
            <w:r w:rsidRPr="0099355B">
              <w:rPr>
                <w:color w:val="000000"/>
                <w:sz w:val="18"/>
                <w:szCs w:val="18"/>
              </w:rPr>
              <w:t>173%</w:t>
            </w:r>
          </w:p>
        </w:tc>
        <w:tc>
          <w:tcPr>
            <w:tcW w:w="0" w:type="auto"/>
            <w:tcBorders>
              <w:top w:val="nil"/>
              <w:left w:val="nil"/>
              <w:bottom w:val="nil"/>
              <w:right w:val="nil"/>
            </w:tcBorders>
            <w:shd w:val="clear" w:color="auto" w:fill="auto"/>
            <w:noWrap/>
            <w:vAlign w:val="center"/>
            <w:hideMark/>
          </w:tcPr>
          <w:p w14:paraId="26220057" w14:textId="77777777" w:rsidR="00AB3852" w:rsidRPr="0099355B" w:rsidRDefault="00AB3852" w:rsidP="00AB3852">
            <w:pPr>
              <w:jc w:val="center"/>
              <w:rPr>
                <w:color w:val="000000"/>
                <w:sz w:val="18"/>
                <w:szCs w:val="18"/>
              </w:rPr>
            </w:pPr>
            <w:r w:rsidRPr="0099355B">
              <w:rPr>
                <w:color w:val="000000"/>
                <w:sz w:val="18"/>
                <w:szCs w:val="18"/>
              </w:rPr>
              <w:t>197%</w:t>
            </w:r>
          </w:p>
        </w:tc>
      </w:tr>
      <w:tr w:rsidR="00AB3852" w:rsidRPr="0099355B" w14:paraId="097AA105"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55F1FDB2"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3F9E890E" w14:textId="77777777" w:rsidR="00AB3852" w:rsidRPr="0099355B" w:rsidRDefault="00AB3852" w:rsidP="00AB3852">
            <w:pPr>
              <w:jc w:val="center"/>
              <w:rPr>
                <w:color w:val="000000"/>
                <w:sz w:val="18"/>
                <w:szCs w:val="18"/>
              </w:rPr>
            </w:pPr>
            <w:r w:rsidRPr="0099355B">
              <w:rPr>
                <w:color w:val="000000"/>
                <w:sz w:val="18"/>
                <w:szCs w:val="18"/>
              </w:rPr>
              <w:t>1</w:t>
            </w:r>
          </w:p>
        </w:tc>
        <w:tc>
          <w:tcPr>
            <w:tcW w:w="0" w:type="auto"/>
            <w:tcBorders>
              <w:top w:val="nil"/>
              <w:left w:val="nil"/>
              <w:bottom w:val="nil"/>
              <w:right w:val="nil"/>
            </w:tcBorders>
            <w:shd w:val="clear" w:color="auto" w:fill="auto"/>
            <w:noWrap/>
            <w:vAlign w:val="center"/>
            <w:hideMark/>
          </w:tcPr>
          <w:p w14:paraId="3FFCB8E6" w14:textId="77777777" w:rsidR="00AB3852" w:rsidRPr="0099355B" w:rsidRDefault="00AB3852" w:rsidP="00AB3852">
            <w:pPr>
              <w:jc w:val="center"/>
              <w:rPr>
                <w:color w:val="000000"/>
                <w:sz w:val="18"/>
                <w:szCs w:val="18"/>
              </w:rPr>
            </w:pPr>
            <w:r w:rsidRPr="0099355B">
              <w:rPr>
                <w:color w:val="000000"/>
                <w:sz w:val="18"/>
                <w:szCs w:val="18"/>
              </w:rPr>
              <w:t>1.73</w:t>
            </w:r>
          </w:p>
        </w:tc>
        <w:tc>
          <w:tcPr>
            <w:tcW w:w="0" w:type="auto"/>
            <w:tcBorders>
              <w:top w:val="nil"/>
              <w:left w:val="nil"/>
              <w:bottom w:val="nil"/>
              <w:right w:val="nil"/>
            </w:tcBorders>
            <w:shd w:val="clear" w:color="auto" w:fill="auto"/>
            <w:noWrap/>
            <w:vAlign w:val="center"/>
            <w:hideMark/>
          </w:tcPr>
          <w:p w14:paraId="5D4E2F16" w14:textId="77777777" w:rsidR="00AB3852" w:rsidRPr="0099355B" w:rsidRDefault="00AB3852" w:rsidP="00AB3852">
            <w:pPr>
              <w:jc w:val="center"/>
              <w:rPr>
                <w:color w:val="000000"/>
                <w:sz w:val="18"/>
                <w:szCs w:val="18"/>
              </w:rPr>
            </w:pPr>
            <w:r w:rsidRPr="0099355B">
              <w:rPr>
                <w:color w:val="000000"/>
                <w:sz w:val="18"/>
                <w:szCs w:val="18"/>
              </w:rPr>
              <w:t>0.454</w:t>
            </w:r>
          </w:p>
        </w:tc>
        <w:tc>
          <w:tcPr>
            <w:tcW w:w="0" w:type="auto"/>
            <w:tcBorders>
              <w:top w:val="nil"/>
              <w:left w:val="nil"/>
              <w:bottom w:val="nil"/>
              <w:right w:val="nil"/>
            </w:tcBorders>
            <w:shd w:val="clear" w:color="auto" w:fill="auto"/>
            <w:noWrap/>
            <w:vAlign w:val="center"/>
            <w:hideMark/>
          </w:tcPr>
          <w:p w14:paraId="1B714F89" w14:textId="77777777" w:rsidR="00AB3852" w:rsidRPr="0099355B" w:rsidRDefault="00AB3852" w:rsidP="00AB3852">
            <w:pPr>
              <w:jc w:val="center"/>
              <w:rPr>
                <w:color w:val="000000"/>
                <w:sz w:val="18"/>
                <w:szCs w:val="18"/>
              </w:rPr>
            </w:pPr>
            <w:r w:rsidRPr="0099355B">
              <w:rPr>
                <w:color w:val="000000"/>
                <w:sz w:val="18"/>
                <w:szCs w:val="18"/>
              </w:rPr>
              <w:t>3.80</w:t>
            </w:r>
          </w:p>
        </w:tc>
        <w:tc>
          <w:tcPr>
            <w:tcW w:w="0" w:type="auto"/>
            <w:tcBorders>
              <w:top w:val="nil"/>
              <w:left w:val="nil"/>
              <w:bottom w:val="nil"/>
              <w:right w:val="nil"/>
            </w:tcBorders>
            <w:shd w:val="clear" w:color="auto" w:fill="auto"/>
            <w:noWrap/>
            <w:vAlign w:val="center"/>
            <w:hideMark/>
          </w:tcPr>
          <w:p w14:paraId="65050DDD" w14:textId="77777777" w:rsidR="00AB3852" w:rsidRPr="0099355B" w:rsidRDefault="00AB3852" w:rsidP="00AB3852">
            <w:pPr>
              <w:jc w:val="center"/>
              <w:rPr>
                <w:color w:val="000000"/>
                <w:sz w:val="18"/>
                <w:szCs w:val="18"/>
              </w:rPr>
            </w:pPr>
            <w:r w:rsidRPr="0099355B">
              <w:rPr>
                <w:color w:val="000000"/>
                <w:sz w:val="18"/>
                <w:szCs w:val="18"/>
              </w:rPr>
              <w:t>0.83</w:t>
            </w:r>
          </w:p>
        </w:tc>
        <w:tc>
          <w:tcPr>
            <w:tcW w:w="0" w:type="auto"/>
            <w:tcBorders>
              <w:top w:val="nil"/>
              <w:left w:val="nil"/>
              <w:bottom w:val="nil"/>
              <w:right w:val="nil"/>
            </w:tcBorders>
            <w:shd w:val="clear" w:color="auto" w:fill="auto"/>
            <w:noWrap/>
            <w:vAlign w:val="center"/>
            <w:hideMark/>
          </w:tcPr>
          <w:p w14:paraId="0DF1C1FD" w14:textId="77777777" w:rsidR="00AB3852" w:rsidRPr="0099355B" w:rsidRDefault="00AB3852" w:rsidP="00AB3852">
            <w:pPr>
              <w:jc w:val="center"/>
              <w:rPr>
                <w:color w:val="000000"/>
                <w:sz w:val="18"/>
                <w:szCs w:val="18"/>
              </w:rPr>
            </w:pPr>
            <w:r w:rsidRPr="0099355B">
              <w:rPr>
                <w:color w:val="000000"/>
                <w:sz w:val="18"/>
                <w:szCs w:val="18"/>
              </w:rPr>
              <w:t>2.62</w:t>
            </w:r>
          </w:p>
        </w:tc>
        <w:tc>
          <w:tcPr>
            <w:tcW w:w="0" w:type="auto"/>
            <w:tcBorders>
              <w:top w:val="nil"/>
              <w:left w:val="nil"/>
              <w:bottom w:val="nil"/>
              <w:right w:val="nil"/>
            </w:tcBorders>
            <w:shd w:val="clear" w:color="auto" w:fill="auto"/>
            <w:noWrap/>
            <w:vAlign w:val="center"/>
            <w:hideMark/>
          </w:tcPr>
          <w:p w14:paraId="0EABAD34" w14:textId="77777777" w:rsidR="00AB3852" w:rsidRPr="0099355B" w:rsidRDefault="00AB3852" w:rsidP="00AB3852">
            <w:pPr>
              <w:jc w:val="center"/>
              <w:rPr>
                <w:color w:val="000000"/>
                <w:sz w:val="18"/>
                <w:szCs w:val="18"/>
              </w:rPr>
            </w:pPr>
            <w:r w:rsidRPr="0099355B">
              <w:rPr>
                <w:color w:val="000000"/>
                <w:sz w:val="18"/>
                <w:szCs w:val="18"/>
              </w:rPr>
              <w:t>112%</w:t>
            </w:r>
          </w:p>
        </w:tc>
        <w:tc>
          <w:tcPr>
            <w:tcW w:w="0" w:type="auto"/>
            <w:tcBorders>
              <w:top w:val="nil"/>
              <w:left w:val="nil"/>
              <w:bottom w:val="nil"/>
              <w:right w:val="nil"/>
            </w:tcBorders>
            <w:shd w:val="clear" w:color="auto" w:fill="auto"/>
            <w:noWrap/>
            <w:vAlign w:val="center"/>
            <w:hideMark/>
          </w:tcPr>
          <w:p w14:paraId="6B205065" w14:textId="77777777" w:rsidR="00AB3852" w:rsidRPr="0099355B" w:rsidRDefault="00AB3852" w:rsidP="00AB3852">
            <w:pPr>
              <w:jc w:val="center"/>
              <w:rPr>
                <w:color w:val="000000"/>
                <w:sz w:val="18"/>
                <w:szCs w:val="18"/>
              </w:rPr>
            </w:pPr>
            <w:r w:rsidRPr="0099355B">
              <w:rPr>
                <w:color w:val="000000"/>
                <w:sz w:val="18"/>
                <w:szCs w:val="18"/>
              </w:rPr>
              <w:t>0.026</w:t>
            </w:r>
          </w:p>
        </w:tc>
        <w:tc>
          <w:tcPr>
            <w:tcW w:w="0" w:type="auto"/>
            <w:tcBorders>
              <w:top w:val="nil"/>
              <w:left w:val="nil"/>
              <w:bottom w:val="nil"/>
              <w:right w:val="nil"/>
            </w:tcBorders>
            <w:shd w:val="clear" w:color="auto" w:fill="auto"/>
            <w:noWrap/>
            <w:vAlign w:val="center"/>
            <w:hideMark/>
          </w:tcPr>
          <w:p w14:paraId="51B92ED9" w14:textId="77777777" w:rsidR="00AB3852" w:rsidRPr="0099355B" w:rsidRDefault="00AB3852" w:rsidP="00AB3852">
            <w:pPr>
              <w:jc w:val="center"/>
              <w:rPr>
                <w:color w:val="000000"/>
                <w:sz w:val="18"/>
                <w:szCs w:val="18"/>
              </w:rPr>
            </w:pPr>
            <w:r w:rsidRPr="0099355B">
              <w:rPr>
                <w:color w:val="000000"/>
                <w:sz w:val="18"/>
                <w:szCs w:val="18"/>
              </w:rPr>
              <w:t>4.24</w:t>
            </w:r>
          </w:p>
        </w:tc>
        <w:tc>
          <w:tcPr>
            <w:tcW w:w="0" w:type="auto"/>
            <w:tcBorders>
              <w:top w:val="nil"/>
              <w:left w:val="nil"/>
              <w:bottom w:val="nil"/>
              <w:right w:val="nil"/>
            </w:tcBorders>
            <w:shd w:val="clear" w:color="auto" w:fill="auto"/>
            <w:noWrap/>
            <w:vAlign w:val="center"/>
            <w:hideMark/>
          </w:tcPr>
          <w:p w14:paraId="484713EC" w14:textId="77777777" w:rsidR="00AB3852" w:rsidRPr="0099355B" w:rsidRDefault="00AB3852" w:rsidP="00AB3852">
            <w:pPr>
              <w:jc w:val="center"/>
              <w:rPr>
                <w:color w:val="000000"/>
                <w:sz w:val="18"/>
                <w:szCs w:val="18"/>
              </w:rPr>
            </w:pPr>
            <w:r w:rsidRPr="0099355B">
              <w:rPr>
                <w:color w:val="000000"/>
                <w:sz w:val="18"/>
                <w:szCs w:val="18"/>
              </w:rPr>
              <w:t>106%</w:t>
            </w:r>
          </w:p>
        </w:tc>
        <w:tc>
          <w:tcPr>
            <w:tcW w:w="0" w:type="auto"/>
            <w:tcBorders>
              <w:top w:val="nil"/>
              <w:left w:val="nil"/>
              <w:bottom w:val="nil"/>
              <w:right w:val="nil"/>
            </w:tcBorders>
            <w:shd w:val="clear" w:color="auto" w:fill="auto"/>
            <w:noWrap/>
            <w:vAlign w:val="center"/>
            <w:hideMark/>
          </w:tcPr>
          <w:p w14:paraId="69D41D72" w14:textId="77777777" w:rsidR="00AB3852" w:rsidRPr="0099355B" w:rsidRDefault="00AB3852" w:rsidP="00AB3852">
            <w:pPr>
              <w:jc w:val="center"/>
              <w:rPr>
                <w:color w:val="000000"/>
                <w:sz w:val="18"/>
                <w:szCs w:val="18"/>
              </w:rPr>
            </w:pPr>
            <w:r w:rsidRPr="0099355B">
              <w:rPr>
                <w:color w:val="000000"/>
                <w:sz w:val="18"/>
                <w:szCs w:val="18"/>
              </w:rPr>
              <w:t>118%</w:t>
            </w:r>
          </w:p>
        </w:tc>
      </w:tr>
      <w:tr w:rsidR="00AB3852" w:rsidRPr="0099355B" w14:paraId="486583FA"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407FE0EF" w14:textId="77777777" w:rsidR="00AB3852" w:rsidRPr="0099355B" w:rsidRDefault="00AB3852" w:rsidP="00AB3852">
            <w:pPr>
              <w:jc w:val="center"/>
              <w:rPr>
                <w:color w:val="000000"/>
                <w:sz w:val="18"/>
                <w:szCs w:val="18"/>
              </w:rPr>
            </w:pPr>
            <w:r w:rsidRPr="0099355B">
              <w:rPr>
                <w:color w:val="000000"/>
                <w:sz w:val="18"/>
                <w:szCs w:val="18"/>
              </w:rPr>
              <w:t>item 5</w:t>
            </w:r>
          </w:p>
        </w:tc>
        <w:tc>
          <w:tcPr>
            <w:tcW w:w="0" w:type="auto"/>
            <w:tcBorders>
              <w:top w:val="nil"/>
              <w:left w:val="nil"/>
              <w:bottom w:val="nil"/>
              <w:right w:val="nil"/>
            </w:tcBorders>
            <w:shd w:val="clear" w:color="auto" w:fill="auto"/>
            <w:noWrap/>
            <w:vAlign w:val="center"/>
            <w:hideMark/>
          </w:tcPr>
          <w:p w14:paraId="04E4F96F" w14:textId="77777777" w:rsidR="00AB3852" w:rsidRPr="0099355B" w:rsidRDefault="00AB3852" w:rsidP="00AB3852">
            <w:pPr>
              <w:jc w:val="center"/>
              <w:rPr>
                <w:color w:val="000000"/>
                <w:sz w:val="18"/>
                <w:szCs w:val="18"/>
              </w:rPr>
            </w:pPr>
            <w:r w:rsidRPr="0099355B">
              <w:rPr>
                <w:color w:val="000000"/>
                <w:sz w:val="18"/>
                <w:szCs w:val="18"/>
              </w:rPr>
              <w:t>2</w:t>
            </w:r>
          </w:p>
        </w:tc>
        <w:tc>
          <w:tcPr>
            <w:tcW w:w="0" w:type="auto"/>
            <w:tcBorders>
              <w:top w:val="nil"/>
              <w:left w:val="nil"/>
              <w:bottom w:val="nil"/>
              <w:right w:val="nil"/>
            </w:tcBorders>
            <w:shd w:val="clear" w:color="auto" w:fill="auto"/>
            <w:noWrap/>
            <w:vAlign w:val="center"/>
            <w:hideMark/>
          </w:tcPr>
          <w:p w14:paraId="5F41CB2C" w14:textId="77777777" w:rsidR="00AB3852" w:rsidRPr="0099355B" w:rsidRDefault="00AB3852" w:rsidP="00AB3852">
            <w:pPr>
              <w:jc w:val="center"/>
              <w:rPr>
                <w:color w:val="000000"/>
                <w:sz w:val="18"/>
                <w:szCs w:val="18"/>
              </w:rPr>
            </w:pPr>
            <w:r w:rsidRPr="0099355B">
              <w:rPr>
                <w:color w:val="000000"/>
                <w:sz w:val="18"/>
                <w:szCs w:val="18"/>
              </w:rPr>
              <w:t>4.13</w:t>
            </w:r>
          </w:p>
        </w:tc>
        <w:tc>
          <w:tcPr>
            <w:tcW w:w="0" w:type="auto"/>
            <w:tcBorders>
              <w:top w:val="nil"/>
              <w:left w:val="nil"/>
              <w:bottom w:val="nil"/>
              <w:right w:val="nil"/>
            </w:tcBorders>
            <w:shd w:val="clear" w:color="auto" w:fill="auto"/>
            <w:noWrap/>
            <w:vAlign w:val="center"/>
            <w:hideMark/>
          </w:tcPr>
          <w:p w14:paraId="7A1C4B7F" w14:textId="77777777" w:rsidR="00AB3852" w:rsidRPr="0099355B" w:rsidRDefault="00AB3852" w:rsidP="00AB3852">
            <w:pPr>
              <w:jc w:val="center"/>
              <w:rPr>
                <w:color w:val="000000"/>
                <w:sz w:val="18"/>
                <w:szCs w:val="18"/>
              </w:rPr>
            </w:pPr>
            <w:r w:rsidRPr="0099355B">
              <w:rPr>
                <w:color w:val="000000"/>
                <w:sz w:val="18"/>
                <w:szCs w:val="18"/>
              </w:rPr>
              <w:t>0.498</w:t>
            </w:r>
          </w:p>
        </w:tc>
        <w:tc>
          <w:tcPr>
            <w:tcW w:w="0" w:type="auto"/>
            <w:tcBorders>
              <w:top w:val="nil"/>
              <w:left w:val="nil"/>
              <w:bottom w:val="nil"/>
              <w:right w:val="nil"/>
            </w:tcBorders>
            <w:shd w:val="clear" w:color="auto" w:fill="auto"/>
            <w:noWrap/>
            <w:vAlign w:val="center"/>
            <w:hideMark/>
          </w:tcPr>
          <w:p w14:paraId="2A893249" w14:textId="77777777" w:rsidR="00AB3852" w:rsidRPr="0099355B" w:rsidRDefault="00AB3852" w:rsidP="00AB3852">
            <w:pPr>
              <w:jc w:val="center"/>
              <w:rPr>
                <w:color w:val="000000"/>
                <w:sz w:val="18"/>
                <w:szCs w:val="18"/>
              </w:rPr>
            </w:pPr>
            <w:r w:rsidRPr="0099355B">
              <w:rPr>
                <w:color w:val="000000"/>
                <w:sz w:val="18"/>
                <w:szCs w:val="18"/>
              </w:rPr>
              <w:t>8.31</w:t>
            </w:r>
          </w:p>
        </w:tc>
        <w:tc>
          <w:tcPr>
            <w:tcW w:w="0" w:type="auto"/>
            <w:tcBorders>
              <w:top w:val="nil"/>
              <w:left w:val="nil"/>
              <w:bottom w:val="nil"/>
              <w:right w:val="nil"/>
            </w:tcBorders>
            <w:shd w:val="clear" w:color="auto" w:fill="auto"/>
            <w:noWrap/>
            <w:vAlign w:val="center"/>
            <w:hideMark/>
          </w:tcPr>
          <w:p w14:paraId="6C5AEAC4" w14:textId="77777777" w:rsidR="00AB3852" w:rsidRPr="0099355B" w:rsidRDefault="00AB3852" w:rsidP="00AB3852">
            <w:pPr>
              <w:jc w:val="center"/>
              <w:rPr>
                <w:color w:val="000000"/>
                <w:sz w:val="18"/>
                <w:szCs w:val="18"/>
              </w:rPr>
            </w:pPr>
            <w:r w:rsidRPr="0099355B">
              <w:rPr>
                <w:color w:val="000000"/>
                <w:sz w:val="18"/>
                <w:szCs w:val="18"/>
              </w:rPr>
              <w:t>3.15</w:t>
            </w:r>
          </w:p>
        </w:tc>
        <w:tc>
          <w:tcPr>
            <w:tcW w:w="0" w:type="auto"/>
            <w:tcBorders>
              <w:top w:val="nil"/>
              <w:left w:val="nil"/>
              <w:bottom w:val="nil"/>
              <w:right w:val="nil"/>
            </w:tcBorders>
            <w:shd w:val="clear" w:color="auto" w:fill="auto"/>
            <w:noWrap/>
            <w:vAlign w:val="center"/>
            <w:hideMark/>
          </w:tcPr>
          <w:p w14:paraId="76ED4FA5" w14:textId="77777777" w:rsidR="00AB3852" w:rsidRPr="0099355B" w:rsidRDefault="00AB3852" w:rsidP="00AB3852">
            <w:pPr>
              <w:jc w:val="center"/>
              <w:rPr>
                <w:color w:val="000000"/>
                <w:sz w:val="18"/>
                <w:szCs w:val="18"/>
              </w:rPr>
            </w:pPr>
            <w:r w:rsidRPr="0099355B">
              <w:rPr>
                <w:color w:val="000000"/>
                <w:sz w:val="18"/>
                <w:szCs w:val="18"/>
              </w:rPr>
              <w:t>5.11</w:t>
            </w:r>
          </w:p>
        </w:tc>
        <w:tc>
          <w:tcPr>
            <w:tcW w:w="0" w:type="auto"/>
            <w:tcBorders>
              <w:top w:val="nil"/>
              <w:left w:val="nil"/>
              <w:bottom w:val="nil"/>
              <w:right w:val="nil"/>
            </w:tcBorders>
            <w:shd w:val="clear" w:color="auto" w:fill="auto"/>
            <w:noWrap/>
            <w:vAlign w:val="center"/>
            <w:hideMark/>
          </w:tcPr>
          <w:p w14:paraId="09156342" w14:textId="77777777" w:rsidR="00AB3852" w:rsidRPr="0099355B" w:rsidRDefault="00AB3852" w:rsidP="00AB3852">
            <w:pPr>
              <w:jc w:val="center"/>
              <w:rPr>
                <w:color w:val="000000"/>
                <w:sz w:val="18"/>
                <w:szCs w:val="18"/>
              </w:rPr>
            </w:pPr>
            <w:r w:rsidRPr="0099355B">
              <w:rPr>
                <w:color w:val="000000"/>
                <w:sz w:val="18"/>
                <w:szCs w:val="18"/>
              </w:rPr>
              <w:t>126%</w:t>
            </w:r>
          </w:p>
        </w:tc>
        <w:tc>
          <w:tcPr>
            <w:tcW w:w="0" w:type="auto"/>
            <w:tcBorders>
              <w:top w:val="nil"/>
              <w:left w:val="nil"/>
              <w:bottom w:val="nil"/>
              <w:right w:val="nil"/>
            </w:tcBorders>
            <w:shd w:val="clear" w:color="auto" w:fill="auto"/>
            <w:noWrap/>
            <w:vAlign w:val="center"/>
            <w:hideMark/>
          </w:tcPr>
          <w:p w14:paraId="148D8743" w14:textId="77777777" w:rsidR="00AB3852" w:rsidRPr="0099355B" w:rsidRDefault="00AB3852" w:rsidP="00AB3852">
            <w:pPr>
              <w:jc w:val="center"/>
              <w:rPr>
                <w:color w:val="000000"/>
                <w:sz w:val="18"/>
                <w:szCs w:val="18"/>
              </w:rPr>
            </w:pPr>
            <w:r w:rsidRPr="0099355B">
              <w:rPr>
                <w:color w:val="000000"/>
                <w:sz w:val="18"/>
                <w:szCs w:val="18"/>
              </w:rPr>
              <w:t>0.029</w:t>
            </w:r>
          </w:p>
        </w:tc>
        <w:tc>
          <w:tcPr>
            <w:tcW w:w="0" w:type="auto"/>
            <w:tcBorders>
              <w:top w:val="nil"/>
              <w:left w:val="nil"/>
              <w:bottom w:val="nil"/>
              <w:right w:val="nil"/>
            </w:tcBorders>
            <w:shd w:val="clear" w:color="auto" w:fill="auto"/>
            <w:noWrap/>
            <w:vAlign w:val="center"/>
            <w:hideMark/>
          </w:tcPr>
          <w:p w14:paraId="148AD63B" w14:textId="77777777" w:rsidR="00AB3852" w:rsidRPr="0099355B" w:rsidRDefault="00AB3852" w:rsidP="00AB3852">
            <w:pPr>
              <w:jc w:val="center"/>
              <w:rPr>
                <w:color w:val="000000"/>
                <w:sz w:val="18"/>
                <w:szCs w:val="18"/>
              </w:rPr>
            </w:pPr>
            <w:r w:rsidRPr="0099355B">
              <w:rPr>
                <w:color w:val="000000"/>
                <w:sz w:val="18"/>
                <w:szCs w:val="18"/>
              </w:rPr>
              <w:t>7.86</w:t>
            </w:r>
          </w:p>
        </w:tc>
        <w:tc>
          <w:tcPr>
            <w:tcW w:w="0" w:type="auto"/>
            <w:tcBorders>
              <w:top w:val="nil"/>
              <w:left w:val="nil"/>
              <w:bottom w:val="nil"/>
              <w:right w:val="nil"/>
            </w:tcBorders>
            <w:shd w:val="clear" w:color="auto" w:fill="auto"/>
            <w:noWrap/>
            <w:vAlign w:val="center"/>
            <w:hideMark/>
          </w:tcPr>
          <w:p w14:paraId="2D495473" w14:textId="77777777" w:rsidR="00AB3852" w:rsidRPr="0099355B" w:rsidRDefault="00AB3852" w:rsidP="00AB3852">
            <w:pPr>
              <w:jc w:val="center"/>
              <w:rPr>
                <w:color w:val="000000"/>
                <w:sz w:val="18"/>
                <w:szCs w:val="18"/>
              </w:rPr>
            </w:pPr>
            <w:r w:rsidRPr="0099355B">
              <w:rPr>
                <w:color w:val="000000"/>
                <w:sz w:val="18"/>
                <w:szCs w:val="18"/>
              </w:rPr>
              <w:t>119%</w:t>
            </w:r>
          </w:p>
        </w:tc>
        <w:tc>
          <w:tcPr>
            <w:tcW w:w="0" w:type="auto"/>
            <w:tcBorders>
              <w:top w:val="nil"/>
              <w:left w:val="nil"/>
              <w:bottom w:val="nil"/>
              <w:right w:val="nil"/>
            </w:tcBorders>
            <w:shd w:val="clear" w:color="auto" w:fill="auto"/>
            <w:noWrap/>
            <w:vAlign w:val="center"/>
            <w:hideMark/>
          </w:tcPr>
          <w:p w14:paraId="71399066" w14:textId="77777777" w:rsidR="00AB3852" w:rsidRPr="0099355B" w:rsidRDefault="00AB3852" w:rsidP="00AB3852">
            <w:pPr>
              <w:jc w:val="center"/>
              <w:rPr>
                <w:color w:val="000000"/>
                <w:sz w:val="18"/>
                <w:szCs w:val="18"/>
              </w:rPr>
            </w:pPr>
            <w:r w:rsidRPr="0099355B">
              <w:rPr>
                <w:color w:val="000000"/>
                <w:sz w:val="18"/>
                <w:szCs w:val="18"/>
              </w:rPr>
              <w:t>133%</w:t>
            </w:r>
          </w:p>
        </w:tc>
      </w:tr>
      <w:tr w:rsidR="00AB3852" w:rsidRPr="0099355B" w14:paraId="0F8783ED"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7984EF73"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7BE3029D" w14:textId="77777777" w:rsidR="00AB3852" w:rsidRPr="0099355B" w:rsidRDefault="00AB3852" w:rsidP="00AB3852">
            <w:pPr>
              <w:jc w:val="center"/>
              <w:rPr>
                <w:color w:val="000000"/>
                <w:sz w:val="18"/>
                <w:szCs w:val="18"/>
              </w:rPr>
            </w:pPr>
            <w:r w:rsidRPr="0099355B">
              <w:rPr>
                <w:color w:val="000000"/>
                <w:sz w:val="18"/>
                <w:szCs w:val="18"/>
              </w:rPr>
              <w:t>3</w:t>
            </w:r>
          </w:p>
        </w:tc>
        <w:tc>
          <w:tcPr>
            <w:tcW w:w="0" w:type="auto"/>
            <w:tcBorders>
              <w:top w:val="nil"/>
              <w:left w:val="nil"/>
              <w:bottom w:val="nil"/>
              <w:right w:val="nil"/>
            </w:tcBorders>
            <w:shd w:val="clear" w:color="auto" w:fill="auto"/>
            <w:noWrap/>
            <w:vAlign w:val="center"/>
            <w:hideMark/>
          </w:tcPr>
          <w:p w14:paraId="4EE83A58" w14:textId="77777777" w:rsidR="00AB3852" w:rsidRPr="0099355B" w:rsidRDefault="00AB3852" w:rsidP="00AB3852">
            <w:pPr>
              <w:jc w:val="center"/>
              <w:rPr>
                <w:color w:val="000000"/>
                <w:sz w:val="18"/>
                <w:szCs w:val="18"/>
              </w:rPr>
            </w:pPr>
            <w:r w:rsidRPr="0099355B">
              <w:rPr>
                <w:color w:val="000000"/>
                <w:sz w:val="18"/>
                <w:szCs w:val="18"/>
              </w:rPr>
              <w:t>6.65</w:t>
            </w:r>
          </w:p>
        </w:tc>
        <w:tc>
          <w:tcPr>
            <w:tcW w:w="0" w:type="auto"/>
            <w:tcBorders>
              <w:top w:val="nil"/>
              <w:left w:val="nil"/>
              <w:bottom w:val="nil"/>
              <w:right w:val="nil"/>
            </w:tcBorders>
            <w:shd w:val="clear" w:color="auto" w:fill="auto"/>
            <w:noWrap/>
            <w:vAlign w:val="center"/>
            <w:hideMark/>
          </w:tcPr>
          <w:p w14:paraId="3E131ECE" w14:textId="77777777" w:rsidR="00AB3852" w:rsidRPr="0099355B" w:rsidRDefault="00AB3852" w:rsidP="00AB3852">
            <w:pPr>
              <w:jc w:val="center"/>
              <w:rPr>
                <w:color w:val="000000"/>
                <w:sz w:val="18"/>
                <w:szCs w:val="18"/>
              </w:rPr>
            </w:pPr>
            <w:r w:rsidRPr="0099355B">
              <w:rPr>
                <w:color w:val="000000"/>
                <w:sz w:val="18"/>
                <w:szCs w:val="18"/>
              </w:rPr>
              <w:t>0.568</w:t>
            </w:r>
          </w:p>
        </w:tc>
        <w:tc>
          <w:tcPr>
            <w:tcW w:w="0" w:type="auto"/>
            <w:tcBorders>
              <w:top w:val="nil"/>
              <w:left w:val="nil"/>
              <w:bottom w:val="nil"/>
              <w:right w:val="nil"/>
            </w:tcBorders>
            <w:shd w:val="clear" w:color="auto" w:fill="auto"/>
            <w:noWrap/>
            <w:vAlign w:val="center"/>
            <w:hideMark/>
          </w:tcPr>
          <w:p w14:paraId="7E91A0B2" w14:textId="77777777" w:rsidR="00AB3852" w:rsidRPr="0099355B" w:rsidRDefault="00AB3852" w:rsidP="00AB3852">
            <w:pPr>
              <w:jc w:val="center"/>
              <w:rPr>
                <w:color w:val="000000"/>
                <w:sz w:val="18"/>
                <w:szCs w:val="18"/>
              </w:rPr>
            </w:pPr>
            <w:r w:rsidRPr="0099355B">
              <w:rPr>
                <w:color w:val="000000"/>
                <w:sz w:val="18"/>
                <w:szCs w:val="18"/>
              </w:rPr>
              <w:t>11.71</w:t>
            </w:r>
          </w:p>
        </w:tc>
        <w:tc>
          <w:tcPr>
            <w:tcW w:w="0" w:type="auto"/>
            <w:tcBorders>
              <w:top w:val="nil"/>
              <w:left w:val="nil"/>
              <w:bottom w:val="nil"/>
              <w:right w:val="nil"/>
            </w:tcBorders>
            <w:shd w:val="clear" w:color="auto" w:fill="auto"/>
            <w:noWrap/>
            <w:vAlign w:val="center"/>
            <w:hideMark/>
          </w:tcPr>
          <w:p w14:paraId="33CEC107" w14:textId="77777777" w:rsidR="00AB3852" w:rsidRPr="0099355B" w:rsidRDefault="00AB3852" w:rsidP="00AB3852">
            <w:pPr>
              <w:jc w:val="center"/>
              <w:rPr>
                <w:color w:val="000000"/>
                <w:sz w:val="18"/>
                <w:szCs w:val="18"/>
              </w:rPr>
            </w:pPr>
            <w:r w:rsidRPr="0099355B">
              <w:rPr>
                <w:color w:val="000000"/>
                <w:sz w:val="18"/>
                <w:szCs w:val="18"/>
              </w:rPr>
              <w:t>5.53</w:t>
            </w:r>
          </w:p>
        </w:tc>
        <w:tc>
          <w:tcPr>
            <w:tcW w:w="0" w:type="auto"/>
            <w:tcBorders>
              <w:top w:val="nil"/>
              <w:left w:val="nil"/>
              <w:bottom w:val="nil"/>
              <w:right w:val="nil"/>
            </w:tcBorders>
            <w:shd w:val="clear" w:color="auto" w:fill="auto"/>
            <w:noWrap/>
            <w:vAlign w:val="center"/>
            <w:hideMark/>
          </w:tcPr>
          <w:p w14:paraId="1DD006D5" w14:textId="77777777" w:rsidR="00AB3852" w:rsidRPr="0099355B" w:rsidRDefault="00AB3852" w:rsidP="00AB3852">
            <w:pPr>
              <w:jc w:val="center"/>
              <w:rPr>
                <w:color w:val="000000"/>
                <w:sz w:val="18"/>
                <w:szCs w:val="18"/>
              </w:rPr>
            </w:pPr>
            <w:r w:rsidRPr="0099355B">
              <w:rPr>
                <w:color w:val="000000"/>
                <w:sz w:val="18"/>
                <w:szCs w:val="18"/>
              </w:rPr>
              <w:t>7.77</w:t>
            </w:r>
          </w:p>
        </w:tc>
        <w:tc>
          <w:tcPr>
            <w:tcW w:w="0" w:type="auto"/>
            <w:tcBorders>
              <w:top w:val="nil"/>
              <w:left w:val="nil"/>
              <w:bottom w:val="nil"/>
              <w:right w:val="nil"/>
            </w:tcBorders>
            <w:shd w:val="clear" w:color="auto" w:fill="auto"/>
            <w:noWrap/>
            <w:vAlign w:val="center"/>
            <w:hideMark/>
          </w:tcPr>
          <w:p w14:paraId="50A2D253" w14:textId="77777777" w:rsidR="00AB3852" w:rsidRPr="0099355B" w:rsidRDefault="00AB3852" w:rsidP="00AB3852">
            <w:pPr>
              <w:jc w:val="center"/>
              <w:rPr>
                <w:color w:val="000000"/>
                <w:sz w:val="18"/>
                <w:szCs w:val="18"/>
              </w:rPr>
            </w:pPr>
            <w:r w:rsidRPr="0099355B">
              <w:rPr>
                <w:color w:val="000000"/>
                <w:sz w:val="18"/>
                <w:szCs w:val="18"/>
              </w:rPr>
              <w:t>140%</w:t>
            </w:r>
          </w:p>
        </w:tc>
        <w:tc>
          <w:tcPr>
            <w:tcW w:w="0" w:type="auto"/>
            <w:tcBorders>
              <w:top w:val="nil"/>
              <w:left w:val="nil"/>
              <w:bottom w:val="nil"/>
              <w:right w:val="nil"/>
            </w:tcBorders>
            <w:shd w:val="clear" w:color="auto" w:fill="auto"/>
            <w:noWrap/>
            <w:vAlign w:val="center"/>
            <w:hideMark/>
          </w:tcPr>
          <w:p w14:paraId="116B95CB" w14:textId="77777777" w:rsidR="00AB3852" w:rsidRPr="0099355B" w:rsidRDefault="00AB3852" w:rsidP="00AB3852">
            <w:pPr>
              <w:jc w:val="center"/>
              <w:rPr>
                <w:color w:val="000000"/>
                <w:sz w:val="18"/>
                <w:szCs w:val="18"/>
              </w:rPr>
            </w:pPr>
            <w:r w:rsidRPr="0099355B">
              <w:rPr>
                <w:color w:val="000000"/>
                <w:sz w:val="18"/>
                <w:szCs w:val="18"/>
              </w:rPr>
              <w:t>0.033</w:t>
            </w:r>
          </w:p>
        </w:tc>
        <w:tc>
          <w:tcPr>
            <w:tcW w:w="0" w:type="auto"/>
            <w:tcBorders>
              <w:top w:val="nil"/>
              <w:left w:val="nil"/>
              <w:bottom w:val="nil"/>
              <w:right w:val="nil"/>
            </w:tcBorders>
            <w:shd w:val="clear" w:color="auto" w:fill="auto"/>
            <w:noWrap/>
            <w:vAlign w:val="center"/>
            <w:hideMark/>
          </w:tcPr>
          <w:p w14:paraId="675E45D7" w14:textId="77777777" w:rsidR="00AB3852" w:rsidRPr="0099355B" w:rsidRDefault="00AB3852" w:rsidP="00AB3852">
            <w:pPr>
              <w:jc w:val="center"/>
              <w:rPr>
                <w:color w:val="000000"/>
                <w:sz w:val="18"/>
                <w:szCs w:val="18"/>
              </w:rPr>
            </w:pPr>
            <w:r w:rsidRPr="0099355B">
              <w:rPr>
                <w:color w:val="000000"/>
                <w:sz w:val="18"/>
                <w:szCs w:val="18"/>
              </w:rPr>
              <w:t>10.20</w:t>
            </w:r>
          </w:p>
        </w:tc>
        <w:tc>
          <w:tcPr>
            <w:tcW w:w="0" w:type="auto"/>
            <w:tcBorders>
              <w:top w:val="nil"/>
              <w:left w:val="nil"/>
              <w:bottom w:val="nil"/>
              <w:right w:val="nil"/>
            </w:tcBorders>
            <w:shd w:val="clear" w:color="auto" w:fill="auto"/>
            <w:noWrap/>
            <w:vAlign w:val="center"/>
            <w:hideMark/>
          </w:tcPr>
          <w:p w14:paraId="26AA32AE" w14:textId="77777777" w:rsidR="00AB3852" w:rsidRPr="0099355B" w:rsidRDefault="00AB3852" w:rsidP="00AB3852">
            <w:pPr>
              <w:jc w:val="center"/>
              <w:rPr>
                <w:color w:val="000000"/>
                <w:sz w:val="18"/>
                <w:szCs w:val="18"/>
              </w:rPr>
            </w:pPr>
            <w:r w:rsidRPr="0099355B">
              <w:rPr>
                <w:color w:val="000000"/>
                <w:sz w:val="18"/>
                <w:szCs w:val="18"/>
              </w:rPr>
              <w:t>131%</w:t>
            </w:r>
          </w:p>
        </w:tc>
        <w:tc>
          <w:tcPr>
            <w:tcW w:w="0" w:type="auto"/>
            <w:tcBorders>
              <w:top w:val="nil"/>
              <w:left w:val="nil"/>
              <w:bottom w:val="nil"/>
              <w:right w:val="nil"/>
            </w:tcBorders>
            <w:shd w:val="clear" w:color="auto" w:fill="auto"/>
            <w:noWrap/>
            <w:vAlign w:val="center"/>
            <w:hideMark/>
          </w:tcPr>
          <w:p w14:paraId="6A67146D" w14:textId="77777777" w:rsidR="00AB3852" w:rsidRPr="0099355B" w:rsidRDefault="00AB3852" w:rsidP="00AB3852">
            <w:pPr>
              <w:jc w:val="center"/>
              <w:rPr>
                <w:color w:val="000000"/>
                <w:sz w:val="18"/>
                <w:szCs w:val="18"/>
              </w:rPr>
            </w:pPr>
            <w:r w:rsidRPr="0099355B">
              <w:rPr>
                <w:color w:val="000000"/>
                <w:sz w:val="18"/>
                <w:szCs w:val="18"/>
              </w:rPr>
              <w:t>150%</w:t>
            </w:r>
          </w:p>
        </w:tc>
      </w:tr>
      <w:tr w:rsidR="00AB3852" w:rsidRPr="0099355B" w14:paraId="750B4876"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5CDCC4E8"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1C7ADFC2" w14:textId="77777777" w:rsidR="00AB3852" w:rsidRPr="0099355B" w:rsidRDefault="00AB3852" w:rsidP="00AB3852">
            <w:pPr>
              <w:jc w:val="center"/>
              <w:rPr>
                <w:color w:val="000000"/>
                <w:sz w:val="18"/>
                <w:szCs w:val="18"/>
              </w:rPr>
            </w:pPr>
            <w:r w:rsidRPr="0099355B">
              <w:rPr>
                <w:color w:val="000000"/>
                <w:sz w:val="18"/>
                <w:szCs w:val="18"/>
              </w:rPr>
              <w:t>1</w:t>
            </w:r>
          </w:p>
        </w:tc>
        <w:tc>
          <w:tcPr>
            <w:tcW w:w="0" w:type="auto"/>
            <w:tcBorders>
              <w:top w:val="nil"/>
              <w:left w:val="nil"/>
              <w:bottom w:val="nil"/>
              <w:right w:val="nil"/>
            </w:tcBorders>
            <w:shd w:val="clear" w:color="auto" w:fill="auto"/>
            <w:noWrap/>
            <w:vAlign w:val="center"/>
            <w:hideMark/>
          </w:tcPr>
          <w:p w14:paraId="30E6E966" w14:textId="77777777" w:rsidR="00AB3852" w:rsidRPr="0099355B" w:rsidRDefault="00AB3852" w:rsidP="00AB3852">
            <w:pPr>
              <w:jc w:val="center"/>
              <w:rPr>
                <w:color w:val="000000"/>
                <w:sz w:val="18"/>
                <w:szCs w:val="18"/>
              </w:rPr>
            </w:pPr>
            <w:r w:rsidRPr="0099355B">
              <w:rPr>
                <w:color w:val="000000"/>
                <w:sz w:val="18"/>
                <w:szCs w:val="18"/>
              </w:rPr>
              <w:t>2.77</w:t>
            </w:r>
          </w:p>
        </w:tc>
        <w:tc>
          <w:tcPr>
            <w:tcW w:w="0" w:type="auto"/>
            <w:tcBorders>
              <w:top w:val="nil"/>
              <w:left w:val="nil"/>
              <w:bottom w:val="nil"/>
              <w:right w:val="nil"/>
            </w:tcBorders>
            <w:shd w:val="clear" w:color="auto" w:fill="auto"/>
            <w:noWrap/>
            <w:vAlign w:val="center"/>
            <w:hideMark/>
          </w:tcPr>
          <w:p w14:paraId="2594B251" w14:textId="77777777" w:rsidR="00AB3852" w:rsidRPr="0099355B" w:rsidRDefault="00AB3852" w:rsidP="00AB3852">
            <w:pPr>
              <w:jc w:val="center"/>
              <w:rPr>
                <w:color w:val="000000"/>
                <w:sz w:val="18"/>
                <w:szCs w:val="18"/>
              </w:rPr>
            </w:pPr>
            <w:r w:rsidRPr="0099355B">
              <w:rPr>
                <w:color w:val="000000"/>
                <w:sz w:val="18"/>
                <w:szCs w:val="18"/>
              </w:rPr>
              <w:t>0.379</w:t>
            </w:r>
          </w:p>
        </w:tc>
        <w:tc>
          <w:tcPr>
            <w:tcW w:w="0" w:type="auto"/>
            <w:tcBorders>
              <w:top w:val="nil"/>
              <w:left w:val="nil"/>
              <w:bottom w:val="nil"/>
              <w:right w:val="nil"/>
            </w:tcBorders>
            <w:shd w:val="clear" w:color="auto" w:fill="auto"/>
            <w:noWrap/>
            <w:vAlign w:val="center"/>
            <w:hideMark/>
          </w:tcPr>
          <w:p w14:paraId="5489931C" w14:textId="77777777" w:rsidR="00AB3852" w:rsidRPr="0099355B" w:rsidRDefault="00AB3852" w:rsidP="00AB3852">
            <w:pPr>
              <w:jc w:val="center"/>
              <w:rPr>
                <w:color w:val="000000"/>
                <w:sz w:val="18"/>
                <w:szCs w:val="18"/>
              </w:rPr>
            </w:pPr>
            <w:r w:rsidRPr="0099355B">
              <w:rPr>
                <w:color w:val="000000"/>
                <w:sz w:val="18"/>
                <w:szCs w:val="18"/>
              </w:rPr>
              <w:t>7.30</w:t>
            </w:r>
          </w:p>
        </w:tc>
        <w:tc>
          <w:tcPr>
            <w:tcW w:w="0" w:type="auto"/>
            <w:tcBorders>
              <w:top w:val="nil"/>
              <w:left w:val="nil"/>
              <w:bottom w:val="nil"/>
              <w:right w:val="nil"/>
            </w:tcBorders>
            <w:shd w:val="clear" w:color="auto" w:fill="auto"/>
            <w:noWrap/>
            <w:vAlign w:val="center"/>
            <w:hideMark/>
          </w:tcPr>
          <w:p w14:paraId="3CDD702A" w14:textId="77777777" w:rsidR="00AB3852" w:rsidRPr="0099355B" w:rsidRDefault="00AB3852" w:rsidP="00AB3852">
            <w:pPr>
              <w:jc w:val="center"/>
              <w:rPr>
                <w:color w:val="000000"/>
                <w:sz w:val="18"/>
                <w:szCs w:val="18"/>
              </w:rPr>
            </w:pPr>
            <w:r w:rsidRPr="0099355B">
              <w:rPr>
                <w:color w:val="000000"/>
                <w:sz w:val="18"/>
                <w:szCs w:val="18"/>
              </w:rPr>
              <w:t>2.02</w:t>
            </w:r>
          </w:p>
        </w:tc>
        <w:tc>
          <w:tcPr>
            <w:tcW w:w="0" w:type="auto"/>
            <w:tcBorders>
              <w:top w:val="nil"/>
              <w:left w:val="nil"/>
              <w:bottom w:val="nil"/>
              <w:right w:val="nil"/>
            </w:tcBorders>
            <w:shd w:val="clear" w:color="auto" w:fill="auto"/>
            <w:noWrap/>
            <w:vAlign w:val="center"/>
            <w:hideMark/>
          </w:tcPr>
          <w:p w14:paraId="1624D0AE" w14:textId="77777777" w:rsidR="00AB3852" w:rsidRPr="0099355B" w:rsidRDefault="00AB3852" w:rsidP="00AB3852">
            <w:pPr>
              <w:jc w:val="center"/>
              <w:rPr>
                <w:color w:val="000000"/>
                <w:sz w:val="18"/>
                <w:szCs w:val="18"/>
              </w:rPr>
            </w:pPr>
            <w:r w:rsidRPr="0099355B">
              <w:rPr>
                <w:color w:val="000000"/>
                <w:sz w:val="18"/>
                <w:szCs w:val="18"/>
              </w:rPr>
              <w:t>3.51</w:t>
            </w:r>
          </w:p>
        </w:tc>
        <w:tc>
          <w:tcPr>
            <w:tcW w:w="0" w:type="auto"/>
            <w:tcBorders>
              <w:top w:val="nil"/>
              <w:left w:val="nil"/>
              <w:bottom w:val="nil"/>
              <w:right w:val="nil"/>
            </w:tcBorders>
            <w:shd w:val="clear" w:color="auto" w:fill="auto"/>
            <w:noWrap/>
            <w:vAlign w:val="center"/>
            <w:hideMark/>
          </w:tcPr>
          <w:p w14:paraId="1D665963" w14:textId="77777777" w:rsidR="00AB3852" w:rsidRPr="0099355B" w:rsidRDefault="00AB3852" w:rsidP="00AB3852">
            <w:pPr>
              <w:jc w:val="center"/>
              <w:rPr>
                <w:color w:val="000000"/>
                <w:sz w:val="18"/>
                <w:szCs w:val="18"/>
              </w:rPr>
            </w:pPr>
            <w:r w:rsidRPr="0099355B">
              <w:rPr>
                <w:color w:val="000000"/>
                <w:sz w:val="18"/>
                <w:szCs w:val="18"/>
              </w:rPr>
              <w:t>120%</w:t>
            </w:r>
          </w:p>
        </w:tc>
        <w:tc>
          <w:tcPr>
            <w:tcW w:w="0" w:type="auto"/>
            <w:tcBorders>
              <w:top w:val="nil"/>
              <w:left w:val="nil"/>
              <w:bottom w:val="nil"/>
              <w:right w:val="nil"/>
            </w:tcBorders>
            <w:shd w:val="clear" w:color="auto" w:fill="auto"/>
            <w:noWrap/>
            <w:vAlign w:val="center"/>
            <w:hideMark/>
          </w:tcPr>
          <w:p w14:paraId="7A7FEAF3" w14:textId="77777777" w:rsidR="00AB3852" w:rsidRPr="0099355B" w:rsidRDefault="00AB3852" w:rsidP="00AB3852">
            <w:pPr>
              <w:jc w:val="center"/>
              <w:rPr>
                <w:color w:val="000000"/>
                <w:sz w:val="18"/>
                <w:szCs w:val="18"/>
              </w:rPr>
            </w:pPr>
            <w:r w:rsidRPr="0099355B">
              <w:rPr>
                <w:color w:val="000000"/>
                <w:sz w:val="18"/>
                <w:szCs w:val="18"/>
              </w:rPr>
              <w:t>0.024</w:t>
            </w:r>
          </w:p>
        </w:tc>
        <w:tc>
          <w:tcPr>
            <w:tcW w:w="0" w:type="auto"/>
            <w:tcBorders>
              <w:top w:val="nil"/>
              <w:left w:val="nil"/>
              <w:bottom w:val="nil"/>
              <w:right w:val="nil"/>
            </w:tcBorders>
            <w:shd w:val="clear" w:color="auto" w:fill="auto"/>
            <w:noWrap/>
            <w:vAlign w:val="center"/>
            <w:hideMark/>
          </w:tcPr>
          <w:p w14:paraId="18657121" w14:textId="77777777" w:rsidR="00AB3852" w:rsidRPr="0099355B" w:rsidRDefault="00AB3852" w:rsidP="00AB3852">
            <w:pPr>
              <w:jc w:val="center"/>
              <w:rPr>
                <w:color w:val="000000"/>
                <w:sz w:val="18"/>
                <w:szCs w:val="18"/>
              </w:rPr>
            </w:pPr>
            <w:r w:rsidRPr="0099355B">
              <w:rPr>
                <w:color w:val="000000"/>
                <w:sz w:val="18"/>
                <w:szCs w:val="18"/>
              </w:rPr>
              <w:t>7.61</w:t>
            </w:r>
          </w:p>
        </w:tc>
        <w:tc>
          <w:tcPr>
            <w:tcW w:w="0" w:type="auto"/>
            <w:tcBorders>
              <w:top w:val="nil"/>
              <w:left w:val="nil"/>
              <w:bottom w:val="nil"/>
              <w:right w:val="nil"/>
            </w:tcBorders>
            <w:shd w:val="clear" w:color="auto" w:fill="auto"/>
            <w:noWrap/>
            <w:vAlign w:val="center"/>
            <w:hideMark/>
          </w:tcPr>
          <w:p w14:paraId="06B1B46A" w14:textId="77777777" w:rsidR="00AB3852" w:rsidRPr="0099355B" w:rsidRDefault="00AB3852" w:rsidP="00AB3852">
            <w:pPr>
              <w:jc w:val="center"/>
              <w:rPr>
                <w:color w:val="000000"/>
                <w:sz w:val="18"/>
                <w:szCs w:val="18"/>
              </w:rPr>
            </w:pPr>
            <w:r w:rsidRPr="0099355B">
              <w:rPr>
                <w:color w:val="000000"/>
                <w:sz w:val="18"/>
                <w:szCs w:val="18"/>
              </w:rPr>
              <w:t>114%</w:t>
            </w:r>
          </w:p>
        </w:tc>
        <w:tc>
          <w:tcPr>
            <w:tcW w:w="0" w:type="auto"/>
            <w:tcBorders>
              <w:top w:val="nil"/>
              <w:left w:val="nil"/>
              <w:bottom w:val="nil"/>
              <w:right w:val="nil"/>
            </w:tcBorders>
            <w:shd w:val="clear" w:color="auto" w:fill="auto"/>
            <w:noWrap/>
            <w:vAlign w:val="center"/>
            <w:hideMark/>
          </w:tcPr>
          <w:p w14:paraId="6A630D8A" w14:textId="77777777" w:rsidR="00AB3852" w:rsidRPr="0099355B" w:rsidRDefault="00AB3852" w:rsidP="00AB3852">
            <w:pPr>
              <w:jc w:val="center"/>
              <w:rPr>
                <w:color w:val="000000"/>
                <w:sz w:val="18"/>
                <w:szCs w:val="18"/>
              </w:rPr>
            </w:pPr>
            <w:r w:rsidRPr="0099355B">
              <w:rPr>
                <w:color w:val="000000"/>
                <w:sz w:val="18"/>
                <w:szCs w:val="18"/>
              </w:rPr>
              <w:t>126%</w:t>
            </w:r>
          </w:p>
        </w:tc>
      </w:tr>
      <w:tr w:rsidR="00AB3852" w:rsidRPr="0099355B" w14:paraId="7D21BADA"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4CE7D532" w14:textId="77777777" w:rsidR="00AB3852" w:rsidRPr="0099355B" w:rsidRDefault="00AB3852" w:rsidP="00AB3852">
            <w:pPr>
              <w:jc w:val="center"/>
              <w:rPr>
                <w:color w:val="000000"/>
                <w:sz w:val="18"/>
                <w:szCs w:val="18"/>
              </w:rPr>
            </w:pPr>
            <w:r w:rsidRPr="0099355B">
              <w:rPr>
                <w:color w:val="000000"/>
                <w:sz w:val="18"/>
                <w:szCs w:val="18"/>
              </w:rPr>
              <w:t>item 6</w:t>
            </w:r>
          </w:p>
        </w:tc>
        <w:tc>
          <w:tcPr>
            <w:tcW w:w="0" w:type="auto"/>
            <w:tcBorders>
              <w:top w:val="nil"/>
              <w:left w:val="nil"/>
              <w:bottom w:val="nil"/>
              <w:right w:val="nil"/>
            </w:tcBorders>
            <w:shd w:val="clear" w:color="auto" w:fill="auto"/>
            <w:noWrap/>
            <w:vAlign w:val="center"/>
            <w:hideMark/>
          </w:tcPr>
          <w:p w14:paraId="74EAC297" w14:textId="77777777" w:rsidR="00AB3852" w:rsidRPr="0099355B" w:rsidRDefault="00AB3852" w:rsidP="00AB3852">
            <w:pPr>
              <w:jc w:val="center"/>
              <w:rPr>
                <w:color w:val="000000"/>
                <w:sz w:val="18"/>
                <w:szCs w:val="18"/>
              </w:rPr>
            </w:pPr>
            <w:r w:rsidRPr="0099355B">
              <w:rPr>
                <w:color w:val="000000"/>
                <w:sz w:val="18"/>
                <w:szCs w:val="18"/>
              </w:rPr>
              <w:t>2</w:t>
            </w:r>
          </w:p>
        </w:tc>
        <w:tc>
          <w:tcPr>
            <w:tcW w:w="0" w:type="auto"/>
            <w:tcBorders>
              <w:top w:val="nil"/>
              <w:left w:val="nil"/>
              <w:bottom w:val="nil"/>
              <w:right w:val="nil"/>
            </w:tcBorders>
            <w:shd w:val="clear" w:color="auto" w:fill="auto"/>
            <w:noWrap/>
            <w:vAlign w:val="center"/>
            <w:hideMark/>
          </w:tcPr>
          <w:p w14:paraId="6D381C7B" w14:textId="77777777" w:rsidR="00AB3852" w:rsidRPr="0099355B" w:rsidRDefault="00AB3852" w:rsidP="00AB3852">
            <w:pPr>
              <w:jc w:val="center"/>
              <w:rPr>
                <w:color w:val="000000"/>
                <w:sz w:val="18"/>
                <w:szCs w:val="18"/>
              </w:rPr>
            </w:pPr>
            <w:r w:rsidRPr="0099355B">
              <w:rPr>
                <w:color w:val="000000"/>
                <w:sz w:val="18"/>
                <w:szCs w:val="18"/>
              </w:rPr>
              <w:t>6.00</w:t>
            </w:r>
          </w:p>
        </w:tc>
        <w:tc>
          <w:tcPr>
            <w:tcW w:w="0" w:type="auto"/>
            <w:tcBorders>
              <w:top w:val="nil"/>
              <w:left w:val="nil"/>
              <w:bottom w:val="nil"/>
              <w:right w:val="nil"/>
            </w:tcBorders>
            <w:shd w:val="clear" w:color="auto" w:fill="auto"/>
            <w:noWrap/>
            <w:vAlign w:val="center"/>
            <w:hideMark/>
          </w:tcPr>
          <w:p w14:paraId="1CA97DD1" w14:textId="77777777" w:rsidR="00AB3852" w:rsidRPr="0099355B" w:rsidRDefault="00AB3852" w:rsidP="00AB3852">
            <w:pPr>
              <w:jc w:val="center"/>
              <w:rPr>
                <w:color w:val="000000"/>
                <w:sz w:val="18"/>
                <w:szCs w:val="18"/>
              </w:rPr>
            </w:pPr>
            <w:r w:rsidRPr="0099355B">
              <w:rPr>
                <w:color w:val="000000"/>
                <w:sz w:val="18"/>
                <w:szCs w:val="18"/>
              </w:rPr>
              <w:t>0.470</w:t>
            </w:r>
          </w:p>
        </w:tc>
        <w:tc>
          <w:tcPr>
            <w:tcW w:w="0" w:type="auto"/>
            <w:tcBorders>
              <w:top w:val="nil"/>
              <w:left w:val="nil"/>
              <w:bottom w:val="nil"/>
              <w:right w:val="nil"/>
            </w:tcBorders>
            <w:shd w:val="clear" w:color="auto" w:fill="auto"/>
            <w:noWrap/>
            <w:vAlign w:val="center"/>
            <w:hideMark/>
          </w:tcPr>
          <w:p w14:paraId="2D4C7A64" w14:textId="77777777" w:rsidR="00AB3852" w:rsidRPr="0099355B" w:rsidRDefault="00AB3852" w:rsidP="00AB3852">
            <w:pPr>
              <w:jc w:val="center"/>
              <w:rPr>
                <w:color w:val="000000"/>
                <w:sz w:val="18"/>
                <w:szCs w:val="18"/>
              </w:rPr>
            </w:pPr>
            <w:r w:rsidRPr="0099355B">
              <w:rPr>
                <w:color w:val="000000"/>
                <w:sz w:val="18"/>
                <w:szCs w:val="18"/>
              </w:rPr>
              <w:t>12.76</w:t>
            </w:r>
          </w:p>
        </w:tc>
        <w:tc>
          <w:tcPr>
            <w:tcW w:w="0" w:type="auto"/>
            <w:tcBorders>
              <w:top w:val="nil"/>
              <w:left w:val="nil"/>
              <w:bottom w:val="nil"/>
              <w:right w:val="nil"/>
            </w:tcBorders>
            <w:shd w:val="clear" w:color="auto" w:fill="auto"/>
            <w:noWrap/>
            <w:vAlign w:val="center"/>
            <w:hideMark/>
          </w:tcPr>
          <w:p w14:paraId="6A002265" w14:textId="77777777" w:rsidR="00AB3852" w:rsidRPr="0099355B" w:rsidRDefault="00AB3852" w:rsidP="00AB3852">
            <w:pPr>
              <w:jc w:val="center"/>
              <w:rPr>
                <w:color w:val="000000"/>
                <w:sz w:val="18"/>
                <w:szCs w:val="18"/>
              </w:rPr>
            </w:pPr>
            <w:r w:rsidRPr="0099355B">
              <w:rPr>
                <w:color w:val="000000"/>
                <w:sz w:val="18"/>
                <w:szCs w:val="18"/>
              </w:rPr>
              <w:t>5.07</w:t>
            </w:r>
          </w:p>
        </w:tc>
        <w:tc>
          <w:tcPr>
            <w:tcW w:w="0" w:type="auto"/>
            <w:tcBorders>
              <w:top w:val="nil"/>
              <w:left w:val="nil"/>
              <w:bottom w:val="nil"/>
              <w:right w:val="nil"/>
            </w:tcBorders>
            <w:shd w:val="clear" w:color="auto" w:fill="auto"/>
            <w:noWrap/>
            <w:vAlign w:val="center"/>
            <w:hideMark/>
          </w:tcPr>
          <w:p w14:paraId="22347541" w14:textId="77777777" w:rsidR="00AB3852" w:rsidRPr="0099355B" w:rsidRDefault="00AB3852" w:rsidP="00AB3852">
            <w:pPr>
              <w:jc w:val="center"/>
              <w:rPr>
                <w:color w:val="000000"/>
                <w:sz w:val="18"/>
                <w:szCs w:val="18"/>
              </w:rPr>
            </w:pPr>
            <w:r w:rsidRPr="0099355B">
              <w:rPr>
                <w:color w:val="000000"/>
                <w:sz w:val="18"/>
                <w:szCs w:val="18"/>
              </w:rPr>
              <w:t>6.92</w:t>
            </w:r>
          </w:p>
        </w:tc>
        <w:tc>
          <w:tcPr>
            <w:tcW w:w="0" w:type="auto"/>
            <w:tcBorders>
              <w:top w:val="nil"/>
              <w:left w:val="nil"/>
              <w:bottom w:val="nil"/>
              <w:right w:val="nil"/>
            </w:tcBorders>
            <w:shd w:val="clear" w:color="auto" w:fill="auto"/>
            <w:noWrap/>
            <w:vAlign w:val="center"/>
            <w:hideMark/>
          </w:tcPr>
          <w:p w14:paraId="5182FC0E" w14:textId="77777777" w:rsidR="00AB3852" w:rsidRPr="0099355B" w:rsidRDefault="00AB3852" w:rsidP="00AB3852">
            <w:pPr>
              <w:jc w:val="center"/>
              <w:rPr>
                <w:color w:val="000000"/>
                <w:sz w:val="18"/>
                <w:szCs w:val="18"/>
              </w:rPr>
            </w:pPr>
            <w:r w:rsidRPr="0099355B">
              <w:rPr>
                <w:color w:val="000000"/>
                <w:sz w:val="18"/>
                <w:szCs w:val="18"/>
              </w:rPr>
              <w:t>142%</w:t>
            </w:r>
          </w:p>
        </w:tc>
        <w:tc>
          <w:tcPr>
            <w:tcW w:w="0" w:type="auto"/>
            <w:tcBorders>
              <w:top w:val="nil"/>
              <w:left w:val="nil"/>
              <w:bottom w:val="nil"/>
              <w:right w:val="nil"/>
            </w:tcBorders>
            <w:shd w:val="clear" w:color="auto" w:fill="auto"/>
            <w:noWrap/>
            <w:vAlign w:val="center"/>
            <w:hideMark/>
          </w:tcPr>
          <w:p w14:paraId="290C7CD4" w14:textId="77777777" w:rsidR="00AB3852" w:rsidRPr="0099355B" w:rsidRDefault="00AB3852" w:rsidP="00AB3852">
            <w:pPr>
              <w:jc w:val="center"/>
              <w:rPr>
                <w:color w:val="000000"/>
                <w:sz w:val="18"/>
                <w:szCs w:val="18"/>
              </w:rPr>
            </w:pPr>
            <w:r w:rsidRPr="0099355B">
              <w:rPr>
                <w:color w:val="000000"/>
                <w:sz w:val="18"/>
                <w:szCs w:val="18"/>
              </w:rPr>
              <w:t>0.029</w:t>
            </w:r>
          </w:p>
        </w:tc>
        <w:tc>
          <w:tcPr>
            <w:tcW w:w="0" w:type="auto"/>
            <w:tcBorders>
              <w:top w:val="nil"/>
              <w:left w:val="nil"/>
              <w:bottom w:val="nil"/>
              <w:right w:val="nil"/>
            </w:tcBorders>
            <w:shd w:val="clear" w:color="auto" w:fill="auto"/>
            <w:noWrap/>
            <w:vAlign w:val="center"/>
            <w:hideMark/>
          </w:tcPr>
          <w:p w14:paraId="5F1D9F64" w14:textId="77777777" w:rsidR="00AB3852" w:rsidRPr="0099355B" w:rsidRDefault="00AB3852" w:rsidP="00AB3852">
            <w:pPr>
              <w:jc w:val="center"/>
              <w:rPr>
                <w:color w:val="000000"/>
                <w:sz w:val="18"/>
                <w:szCs w:val="18"/>
              </w:rPr>
            </w:pPr>
            <w:r w:rsidRPr="0099355B">
              <w:rPr>
                <w:color w:val="000000"/>
                <w:sz w:val="18"/>
                <w:szCs w:val="18"/>
              </w:rPr>
              <w:t>11.93</w:t>
            </w:r>
          </w:p>
        </w:tc>
        <w:tc>
          <w:tcPr>
            <w:tcW w:w="0" w:type="auto"/>
            <w:tcBorders>
              <w:top w:val="nil"/>
              <w:left w:val="nil"/>
              <w:bottom w:val="nil"/>
              <w:right w:val="nil"/>
            </w:tcBorders>
            <w:shd w:val="clear" w:color="auto" w:fill="auto"/>
            <w:noWrap/>
            <w:vAlign w:val="center"/>
            <w:hideMark/>
          </w:tcPr>
          <w:p w14:paraId="0E789905" w14:textId="77777777" w:rsidR="00AB3852" w:rsidRPr="0099355B" w:rsidRDefault="00AB3852" w:rsidP="00AB3852">
            <w:pPr>
              <w:jc w:val="center"/>
              <w:rPr>
                <w:color w:val="000000"/>
                <w:sz w:val="18"/>
                <w:szCs w:val="18"/>
              </w:rPr>
            </w:pPr>
            <w:r w:rsidRPr="0099355B">
              <w:rPr>
                <w:color w:val="000000"/>
                <w:sz w:val="18"/>
                <w:szCs w:val="18"/>
              </w:rPr>
              <w:t>134%</w:t>
            </w:r>
          </w:p>
        </w:tc>
        <w:tc>
          <w:tcPr>
            <w:tcW w:w="0" w:type="auto"/>
            <w:tcBorders>
              <w:top w:val="nil"/>
              <w:left w:val="nil"/>
              <w:bottom w:val="nil"/>
              <w:right w:val="nil"/>
            </w:tcBorders>
            <w:shd w:val="clear" w:color="auto" w:fill="auto"/>
            <w:noWrap/>
            <w:vAlign w:val="center"/>
            <w:hideMark/>
          </w:tcPr>
          <w:p w14:paraId="4393188D" w14:textId="77777777" w:rsidR="00AB3852" w:rsidRPr="0099355B" w:rsidRDefault="00AB3852" w:rsidP="00AB3852">
            <w:pPr>
              <w:jc w:val="center"/>
              <w:rPr>
                <w:color w:val="000000"/>
                <w:sz w:val="18"/>
                <w:szCs w:val="18"/>
              </w:rPr>
            </w:pPr>
            <w:r w:rsidRPr="0099355B">
              <w:rPr>
                <w:color w:val="000000"/>
                <w:sz w:val="18"/>
                <w:szCs w:val="18"/>
              </w:rPr>
              <w:t>150%</w:t>
            </w:r>
          </w:p>
        </w:tc>
      </w:tr>
      <w:tr w:rsidR="00AB3852" w:rsidRPr="0099355B" w14:paraId="3EC15C1A"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120A310A"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2C07F937" w14:textId="77777777" w:rsidR="00AB3852" w:rsidRPr="0099355B" w:rsidRDefault="00AB3852" w:rsidP="00AB3852">
            <w:pPr>
              <w:jc w:val="center"/>
              <w:rPr>
                <w:color w:val="000000"/>
                <w:sz w:val="18"/>
                <w:szCs w:val="18"/>
              </w:rPr>
            </w:pPr>
            <w:r w:rsidRPr="0099355B">
              <w:rPr>
                <w:color w:val="000000"/>
                <w:sz w:val="18"/>
                <w:szCs w:val="18"/>
              </w:rPr>
              <w:t>3</w:t>
            </w:r>
          </w:p>
        </w:tc>
        <w:tc>
          <w:tcPr>
            <w:tcW w:w="0" w:type="auto"/>
            <w:tcBorders>
              <w:top w:val="nil"/>
              <w:left w:val="nil"/>
              <w:bottom w:val="nil"/>
              <w:right w:val="nil"/>
            </w:tcBorders>
            <w:shd w:val="clear" w:color="auto" w:fill="auto"/>
            <w:noWrap/>
            <w:vAlign w:val="center"/>
            <w:hideMark/>
          </w:tcPr>
          <w:p w14:paraId="48F08FBE" w14:textId="77777777" w:rsidR="00AB3852" w:rsidRPr="0099355B" w:rsidRDefault="00AB3852" w:rsidP="00AB3852">
            <w:pPr>
              <w:jc w:val="center"/>
              <w:rPr>
                <w:color w:val="000000"/>
                <w:sz w:val="18"/>
                <w:szCs w:val="18"/>
              </w:rPr>
            </w:pPr>
            <w:r w:rsidRPr="0099355B">
              <w:rPr>
                <w:color w:val="000000"/>
                <w:sz w:val="18"/>
                <w:szCs w:val="18"/>
              </w:rPr>
              <w:t>8.97</w:t>
            </w:r>
          </w:p>
        </w:tc>
        <w:tc>
          <w:tcPr>
            <w:tcW w:w="0" w:type="auto"/>
            <w:tcBorders>
              <w:top w:val="nil"/>
              <w:left w:val="nil"/>
              <w:bottom w:val="nil"/>
              <w:right w:val="nil"/>
            </w:tcBorders>
            <w:shd w:val="clear" w:color="auto" w:fill="auto"/>
            <w:noWrap/>
            <w:vAlign w:val="center"/>
            <w:hideMark/>
          </w:tcPr>
          <w:p w14:paraId="4FC740EB" w14:textId="77777777" w:rsidR="00AB3852" w:rsidRPr="0099355B" w:rsidRDefault="00AB3852" w:rsidP="00AB3852">
            <w:pPr>
              <w:jc w:val="center"/>
              <w:rPr>
                <w:color w:val="000000"/>
                <w:sz w:val="18"/>
                <w:szCs w:val="18"/>
              </w:rPr>
            </w:pPr>
            <w:r w:rsidRPr="0099355B">
              <w:rPr>
                <w:color w:val="000000"/>
                <w:sz w:val="18"/>
                <w:szCs w:val="18"/>
              </w:rPr>
              <w:t>0.504</w:t>
            </w:r>
          </w:p>
        </w:tc>
        <w:tc>
          <w:tcPr>
            <w:tcW w:w="0" w:type="auto"/>
            <w:tcBorders>
              <w:top w:val="nil"/>
              <w:left w:val="nil"/>
              <w:bottom w:val="nil"/>
              <w:right w:val="nil"/>
            </w:tcBorders>
            <w:shd w:val="clear" w:color="auto" w:fill="auto"/>
            <w:noWrap/>
            <w:vAlign w:val="center"/>
            <w:hideMark/>
          </w:tcPr>
          <w:p w14:paraId="2A12497F" w14:textId="77777777" w:rsidR="00AB3852" w:rsidRPr="0099355B" w:rsidRDefault="00AB3852" w:rsidP="00AB3852">
            <w:pPr>
              <w:jc w:val="center"/>
              <w:rPr>
                <w:color w:val="000000"/>
                <w:sz w:val="18"/>
                <w:szCs w:val="18"/>
              </w:rPr>
            </w:pPr>
            <w:r w:rsidRPr="0099355B">
              <w:rPr>
                <w:color w:val="000000"/>
                <w:sz w:val="18"/>
                <w:szCs w:val="18"/>
              </w:rPr>
              <w:t>17.80</w:t>
            </w:r>
          </w:p>
        </w:tc>
        <w:tc>
          <w:tcPr>
            <w:tcW w:w="0" w:type="auto"/>
            <w:tcBorders>
              <w:top w:val="nil"/>
              <w:left w:val="nil"/>
              <w:bottom w:val="nil"/>
              <w:right w:val="nil"/>
            </w:tcBorders>
            <w:shd w:val="clear" w:color="auto" w:fill="auto"/>
            <w:noWrap/>
            <w:vAlign w:val="center"/>
            <w:hideMark/>
          </w:tcPr>
          <w:p w14:paraId="1A9A439D" w14:textId="77777777" w:rsidR="00AB3852" w:rsidRPr="0099355B" w:rsidRDefault="00AB3852" w:rsidP="00AB3852">
            <w:pPr>
              <w:jc w:val="center"/>
              <w:rPr>
                <w:color w:val="000000"/>
                <w:sz w:val="18"/>
                <w:szCs w:val="18"/>
              </w:rPr>
            </w:pPr>
            <w:r w:rsidRPr="0099355B">
              <w:rPr>
                <w:color w:val="000000"/>
                <w:sz w:val="18"/>
                <w:szCs w:val="18"/>
              </w:rPr>
              <w:t>7.98</w:t>
            </w:r>
          </w:p>
        </w:tc>
        <w:tc>
          <w:tcPr>
            <w:tcW w:w="0" w:type="auto"/>
            <w:tcBorders>
              <w:top w:val="nil"/>
              <w:left w:val="nil"/>
              <w:bottom w:val="nil"/>
              <w:right w:val="nil"/>
            </w:tcBorders>
            <w:shd w:val="clear" w:color="auto" w:fill="auto"/>
            <w:noWrap/>
            <w:vAlign w:val="center"/>
            <w:hideMark/>
          </w:tcPr>
          <w:p w14:paraId="2B209389" w14:textId="77777777" w:rsidR="00AB3852" w:rsidRPr="0099355B" w:rsidRDefault="00AB3852" w:rsidP="00AB3852">
            <w:pPr>
              <w:jc w:val="center"/>
              <w:rPr>
                <w:color w:val="000000"/>
                <w:sz w:val="18"/>
                <w:szCs w:val="18"/>
              </w:rPr>
            </w:pPr>
            <w:r w:rsidRPr="0099355B">
              <w:rPr>
                <w:color w:val="000000"/>
                <w:sz w:val="18"/>
                <w:szCs w:val="18"/>
              </w:rPr>
              <w:t>9.97</w:t>
            </w:r>
          </w:p>
        </w:tc>
        <w:tc>
          <w:tcPr>
            <w:tcW w:w="0" w:type="auto"/>
            <w:tcBorders>
              <w:top w:val="nil"/>
              <w:left w:val="nil"/>
              <w:bottom w:val="nil"/>
              <w:right w:val="nil"/>
            </w:tcBorders>
            <w:shd w:val="clear" w:color="auto" w:fill="auto"/>
            <w:noWrap/>
            <w:vAlign w:val="center"/>
            <w:hideMark/>
          </w:tcPr>
          <w:p w14:paraId="1BC8BCC6" w14:textId="77777777" w:rsidR="00AB3852" w:rsidRPr="0099355B" w:rsidRDefault="00AB3852" w:rsidP="00AB3852">
            <w:pPr>
              <w:jc w:val="center"/>
              <w:rPr>
                <w:color w:val="000000"/>
                <w:sz w:val="18"/>
                <w:szCs w:val="18"/>
              </w:rPr>
            </w:pPr>
            <w:r w:rsidRPr="0099355B">
              <w:rPr>
                <w:color w:val="000000"/>
                <w:sz w:val="18"/>
                <w:szCs w:val="18"/>
              </w:rPr>
              <w:t>161%</w:t>
            </w:r>
          </w:p>
        </w:tc>
        <w:tc>
          <w:tcPr>
            <w:tcW w:w="0" w:type="auto"/>
            <w:tcBorders>
              <w:top w:val="nil"/>
              <w:left w:val="nil"/>
              <w:bottom w:val="nil"/>
              <w:right w:val="nil"/>
            </w:tcBorders>
            <w:shd w:val="clear" w:color="auto" w:fill="auto"/>
            <w:noWrap/>
            <w:vAlign w:val="center"/>
            <w:hideMark/>
          </w:tcPr>
          <w:p w14:paraId="7EFEAEC6" w14:textId="77777777" w:rsidR="00AB3852" w:rsidRPr="0099355B" w:rsidRDefault="00AB3852" w:rsidP="00AB3852">
            <w:pPr>
              <w:jc w:val="center"/>
              <w:rPr>
                <w:color w:val="000000"/>
                <w:sz w:val="18"/>
                <w:szCs w:val="18"/>
              </w:rPr>
            </w:pPr>
            <w:r w:rsidRPr="0099355B">
              <w:rPr>
                <w:color w:val="000000"/>
                <w:sz w:val="18"/>
                <w:szCs w:val="18"/>
              </w:rPr>
              <w:t>0.031</w:t>
            </w:r>
          </w:p>
        </w:tc>
        <w:tc>
          <w:tcPr>
            <w:tcW w:w="0" w:type="auto"/>
            <w:tcBorders>
              <w:top w:val="nil"/>
              <w:left w:val="nil"/>
              <w:bottom w:val="nil"/>
              <w:right w:val="nil"/>
            </w:tcBorders>
            <w:shd w:val="clear" w:color="auto" w:fill="auto"/>
            <w:noWrap/>
            <w:vAlign w:val="center"/>
            <w:hideMark/>
          </w:tcPr>
          <w:p w14:paraId="0B83E0A3" w14:textId="77777777" w:rsidR="00AB3852" w:rsidRPr="0099355B" w:rsidRDefault="00AB3852" w:rsidP="00AB3852">
            <w:pPr>
              <w:jc w:val="center"/>
              <w:rPr>
                <w:color w:val="000000"/>
                <w:sz w:val="18"/>
                <w:szCs w:val="18"/>
              </w:rPr>
            </w:pPr>
            <w:r w:rsidRPr="0099355B">
              <w:rPr>
                <w:color w:val="000000"/>
                <w:sz w:val="18"/>
                <w:szCs w:val="18"/>
              </w:rPr>
              <w:t>15.41</w:t>
            </w:r>
          </w:p>
        </w:tc>
        <w:tc>
          <w:tcPr>
            <w:tcW w:w="0" w:type="auto"/>
            <w:tcBorders>
              <w:top w:val="nil"/>
              <w:left w:val="nil"/>
              <w:bottom w:val="nil"/>
              <w:right w:val="nil"/>
            </w:tcBorders>
            <w:shd w:val="clear" w:color="auto" w:fill="auto"/>
            <w:noWrap/>
            <w:vAlign w:val="center"/>
            <w:hideMark/>
          </w:tcPr>
          <w:p w14:paraId="5D4D86AF" w14:textId="77777777" w:rsidR="00AB3852" w:rsidRPr="0099355B" w:rsidRDefault="00AB3852" w:rsidP="00AB3852">
            <w:pPr>
              <w:jc w:val="center"/>
              <w:rPr>
                <w:color w:val="000000"/>
                <w:sz w:val="18"/>
                <w:szCs w:val="18"/>
              </w:rPr>
            </w:pPr>
            <w:r w:rsidRPr="0099355B">
              <w:rPr>
                <w:color w:val="000000"/>
                <w:sz w:val="18"/>
                <w:szCs w:val="18"/>
              </w:rPr>
              <w:t>152%</w:t>
            </w:r>
          </w:p>
        </w:tc>
        <w:tc>
          <w:tcPr>
            <w:tcW w:w="0" w:type="auto"/>
            <w:tcBorders>
              <w:top w:val="nil"/>
              <w:left w:val="nil"/>
              <w:bottom w:val="nil"/>
              <w:right w:val="nil"/>
            </w:tcBorders>
            <w:shd w:val="clear" w:color="auto" w:fill="auto"/>
            <w:noWrap/>
            <w:vAlign w:val="center"/>
            <w:hideMark/>
          </w:tcPr>
          <w:p w14:paraId="0234CDA1" w14:textId="77777777" w:rsidR="00AB3852" w:rsidRPr="0099355B" w:rsidRDefault="00AB3852" w:rsidP="00AB3852">
            <w:pPr>
              <w:jc w:val="center"/>
              <w:rPr>
                <w:color w:val="000000"/>
                <w:sz w:val="18"/>
                <w:szCs w:val="18"/>
              </w:rPr>
            </w:pPr>
            <w:r w:rsidRPr="0099355B">
              <w:rPr>
                <w:color w:val="000000"/>
                <w:sz w:val="18"/>
                <w:szCs w:val="18"/>
              </w:rPr>
              <w:t>171%</w:t>
            </w:r>
          </w:p>
        </w:tc>
      </w:tr>
      <w:tr w:rsidR="00AB3852" w:rsidRPr="0099355B" w14:paraId="67FEEA15"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1AF71749"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1444FABA" w14:textId="77777777" w:rsidR="00AB3852" w:rsidRPr="0099355B" w:rsidRDefault="00AB3852" w:rsidP="00AB3852">
            <w:pPr>
              <w:jc w:val="center"/>
              <w:rPr>
                <w:color w:val="000000"/>
                <w:sz w:val="18"/>
                <w:szCs w:val="18"/>
              </w:rPr>
            </w:pPr>
            <w:r w:rsidRPr="0099355B">
              <w:rPr>
                <w:color w:val="000000"/>
                <w:sz w:val="18"/>
                <w:szCs w:val="18"/>
              </w:rPr>
              <w:t>1</w:t>
            </w:r>
          </w:p>
        </w:tc>
        <w:tc>
          <w:tcPr>
            <w:tcW w:w="0" w:type="auto"/>
            <w:tcBorders>
              <w:top w:val="nil"/>
              <w:left w:val="nil"/>
              <w:bottom w:val="nil"/>
              <w:right w:val="nil"/>
            </w:tcBorders>
            <w:shd w:val="clear" w:color="auto" w:fill="auto"/>
            <w:noWrap/>
            <w:vAlign w:val="center"/>
            <w:hideMark/>
          </w:tcPr>
          <w:p w14:paraId="355375AE" w14:textId="77777777" w:rsidR="00AB3852" w:rsidRPr="0099355B" w:rsidRDefault="00AB3852" w:rsidP="00AB3852">
            <w:pPr>
              <w:jc w:val="center"/>
              <w:rPr>
                <w:color w:val="000000"/>
                <w:sz w:val="18"/>
                <w:szCs w:val="18"/>
              </w:rPr>
            </w:pPr>
            <w:r w:rsidRPr="0099355B">
              <w:rPr>
                <w:color w:val="000000"/>
                <w:sz w:val="18"/>
                <w:szCs w:val="18"/>
              </w:rPr>
              <w:t>2.50</w:t>
            </w:r>
          </w:p>
        </w:tc>
        <w:tc>
          <w:tcPr>
            <w:tcW w:w="0" w:type="auto"/>
            <w:tcBorders>
              <w:top w:val="nil"/>
              <w:left w:val="nil"/>
              <w:bottom w:val="nil"/>
              <w:right w:val="nil"/>
            </w:tcBorders>
            <w:shd w:val="clear" w:color="auto" w:fill="auto"/>
            <w:noWrap/>
            <w:vAlign w:val="center"/>
            <w:hideMark/>
          </w:tcPr>
          <w:p w14:paraId="5DD67252" w14:textId="77777777" w:rsidR="00AB3852" w:rsidRPr="0099355B" w:rsidRDefault="00AB3852" w:rsidP="00AB3852">
            <w:pPr>
              <w:jc w:val="center"/>
              <w:rPr>
                <w:color w:val="000000"/>
                <w:sz w:val="18"/>
                <w:szCs w:val="18"/>
              </w:rPr>
            </w:pPr>
            <w:r w:rsidRPr="0099355B">
              <w:rPr>
                <w:color w:val="000000"/>
                <w:sz w:val="18"/>
                <w:szCs w:val="18"/>
              </w:rPr>
              <w:t>0.397</w:t>
            </w:r>
          </w:p>
        </w:tc>
        <w:tc>
          <w:tcPr>
            <w:tcW w:w="0" w:type="auto"/>
            <w:tcBorders>
              <w:top w:val="nil"/>
              <w:left w:val="nil"/>
              <w:bottom w:val="nil"/>
              <w:right w:val="nil"/>
            </w:tcBorders>
            <w:shd w:val="clear" w:color="auto" w:fill="auto"/>
            <w:noWrap/>
            <w:vAlign w:val="center"/>
            <w:hideMark/>
          </w:tcPr>
          <w:p w14:paraId="06EC9307" w14:textId="77777777" w:rsidR="00AB3852" w:rsidRPr="0099355B" w:rsidRDefault="00AB3852" w:rsidP="00AB3852">
            <w:pPr>
              <w:jc w:val="center"/>
              <w:rPr>
                <w:color w:val="000000"/>
                <w:sz w:val="18"/>
                <w:szCs w:val="18"/>
              </w:rPr>
            </w:pPr>
            <w:r w:rsidRPr="0099355B">
              <w:rPr>
                <w:color w:val="000000"/>
                <w:sz w:val="18"/>
                <w:szCs w:val="18"/>
              </w:rPr>
              <w:t>6.30</w:t>
            </w:r>
          </w:p>
        </w:tc>
        <w:tc>
          <w:tcPr>
            <w:tcW w:w="0" w:type="auto"/>
            <w:tcBorders>
              <w:top w:val="nil"/>
              <w:left w:val="nil"/>
              <w:bottom w:val="nil"/>
              <w:right w:val="nil"/>
            </w:tcBorders>
            <w:shd w:val="clear" w:color="auto" w:fill="auto"/>
            <w:noWrap/>
            <w:vAlign w:val="center"/>
            <w:hideMark/>
          </w:tcPr>
          <w:p w14:paraId="3CD121D9" w14:textId="77777777" w:rsidR="00AB3852" w:rsidRPr="0099355B" w:rsidRDefault="00AB3852" w:rsidP="00AB3852">
            <w:pPr>
              <w:jc w:val="center"/>
              <w:rPr>
                <w:color w:val="000000"/>
                <w:sz w:val="18"/>
                <w:szCs w:val="18"/>
              </w:rPr>
            </w:pPr>
            <w:r w:rsidRPr="0099355B">
              <w:rPr>
                <w:color w:val="000000"/>
                <w:sz w:val="18"/>
                <w:szCs w:val="18"/>
              </w:rPr>
              <w:t>1.72</w:t>
            </w:r>
          </w:p>
        </w:tc>
        <w:tc>
          <w:tcPr>
            <w:tcW w:w="0" w:type="auto"/>
            <w:tcBorders>
              <w:top w:val="nil"/>
              <w:left w:val="nil"/>
              <w:bottom w:val="nil"/>
              <w:right w:val="nil"/>
            </w:tcBorders>
            <w:shd w:val="clear" w:color="auto" w:fill="auto"/>
            <w:noWrap/>
            <w:vAlign w:val="center"/>
            <w:hideMark/>
          </w:tcPr>
          <w:p w14:paraId="3E0C656A" w14:textId="77777777" w:rsidR="00AB3852" w:rsidRPr="0099355B" w:rsidRDefault="00AB3852" w:rsidP="00AB3852">
            <w:pPr>
              <w:jc w:val="center"/>
              <w:rPr>
                <w:color w:val="000000"/>
                <w:sz w:val="18"/>
                <w:szCs w:val="18"/>
              </w:rPr>
            </w:pPr>
            <w:r w:rsidRPr="0099355B">
              <w:rPr>
                <w:color w:val="000000"/>
                <w:sz w:val="18"/>
                <w:szCs w:val="18"/>
              </w:rPr>
              <w:t>3.28</w:t>
            </w:r>
          </w:p>
        </w:tc>
        <w:tc>
          <w:tcPr>
            <w:tcW w:w="0" w:type="auto"/>
            <w:tcBorders>
              <w:top w:val="nil"/>
              <w:left w:val="nil"/>
              <w:bottom w:val="nil"/>
              <w:right w:val="nil"/>
            </w:tcBorders>
            <w:shd w:val="clear" w:color="auto" w:fill="auto"/>
            <w:noWrap/>
            <w:vAlign w:val="center"/>
            <w:hideMark/>
          </w:tcPr>
          <w:p w14:paraId="7C9B5657" w14:textId="77777777" w:rsidR="00AB3852" w:rsidRPr="0099355B" w:rsidRDefault="00AB3852" w:rsidP="00AB3852">
            <w:pPr>
              <w:jc w:val="center"/>
              <w:rPr>
                <w:color w:val="000000"/>
                <w:sz w:val="18"/>
                <w:szCs w:val="18"/>
              </w:rPr>
            </w:pPr>
            <w:r w:rsidRPr="0099355B">
              <w:rPr>
                <w:color w:val="000000"/>
                <w:sz w:val="18"/>
                <w:szCs w:val="18"/>
              </w:rPr>
              <w:t>116%</w:t>
            </w:r>
          </w:p>
        </w:tc>
        <w:tc>
          <w:tcPr>
            <w:tcW w:w="0" w:type="auto"/>
            <w:tcBorders>
              <w:top w:val="nil"/>
              <w:left w:val="nil"/>
              <w:bottom w:val="nil"/>
              <w:right w:val="nil"/>
            </w:tcBorders>
            <w:shd w:val="clear" w:color="auto" w:fill="auto"/>
            <w:noWrap/>
            <w:vAlign w:val="center"/>
            <w:hideMark/>
          </w:tcPr>
          <w:p w14:paraId="6E4C48B4" w14:textId="77777777" w:rsidR="00AB3852" w:rsidRPr="0099355B" w:rsidRDefault="00AB3852" w:rsidP="00AB3852">
            <w:pPr>
              <w:jc w:val="center"/>
              <w:rPr>
                <w:color w:val="000000"/>
                <w:sz w:val="18"/>
                <w:szCs w:val="18"/>
              </w:rPr>
            </w:pPr>
            <w:r w:rsidRPr="0099355B">
              <w:rPr>
                <w:color w:val="000000"/>
                <w:sz w:val="18"/>
                <w:szCs w:val="18"/>
              </w:rPr>
              <w:t>0.024</w:t>
            </w:r>
          </w:p>
        </w:tc>
        <w:tc>
          <w:tcPr>
            <w:tcW w:w="0" w:type="auto"/>
            <w:tcBorders>
              <w:top w:val="nil"/>
              <w:left w:val="nil"/>
              <w:bottom w:val="nil"/>
              <w:right w:val="nil"/>
            </w:tcBorders>
            <w:shd w:val="clear" w:color="auto" w:fill="auto"/>
            <w:noWrap/>
            <w:vAlign w:val="center"/>
            <w:hideMark/>
          </w:tcPr>
          <w:p w14:paraId="7F8E2064" w14:textId="77777777" w:rsidR="00AB3852" w:rsidRPr="0099355B" w:rsidRDefault="00AB3852" w:rsidP="00AB3852">
            <w:pPr>
              <w:jc w:val="center"/>
              <w:rPr>
                <w:color w:val="000000"/>
                <w:sz w:val="18"/>
                <w:szCs w:val="18"/>
              </w:rPr>
            </w:pPr>
            <w:r w:rsidRPr="0099355B">
              <w:rPr>
                <w:color w:val="000000"/>
                <w:sz w:val="18"/>
                <w:szCs w:val="18"/>
              </w:rPr>
              <w:t>6.30</w:t>
            </w:r>
          </w:p>
        </w:tc>
        <w:tc>
          <w:tcPr>
            <w:tcW w:w="0" w:type="auto"/>
            <w:tcBorders>
              <w:top w:val="nil"/>
              <w:left w:val="nil"/>
              <w:bottom w:val="nil"/>
              <w:right w:val="nil"/>
            </w:tcBorders>
            <w:shd w:val="clear" w:color="auto" w:fill="auto"/>
            <w:noWrap/>
            <w:vAlign w:val="center"/>
            <w:hideMark/>
          </w:tcPr>
          <w:p w14:paraId="0A7D980A" w14:textId="77777777" w:rsidR="00AB3852" w:rsidRPr="0099355B" w:rsidRDefault="00AB3852" w:rsidP="00AB3852">
            <w:pPr>
              <w:jc w:val="center"/>
              <w:rPr>
                <w:color w:val="000000"/>
                <w:sz w:val="18"/>
                <w:szCs w:val="18"/>
              </w:rPr>
            </w:pPr>
            <w:r w:rsidRPr="0099355B">
              <w:rPr>
                <w:color w:val="000000"/>
                <w:sz w:val="18"/>
                <w:szCs w:val="18"/>
              </w:rPr>
              <w:t>111%</w:t>
            </w:r>
          </w:p>
        </w:tc>
        <w:tc>
          <w:tcPr>
            <w:tcW w:w="0" w:type="auto"/>
            <w:tcBorders>
              <w:top w:val="nil"/>
              <w:left w:val="nil"/>
              <w:bottom w:val="nil"/>
              <w:right w:val="nil"/>
            </w:tcBorders>
            <w:shd w:val="clear" w:color="auto" w:fill="auto"/>
            <w:noWrap/>
            <w:vAlign w:val="center"/>
            <w:hideMark/>
          </w:tcPr>
          <w:p w14:paraId="0F3E66EA" w14:textId="77777777" w:rsidR="00AB3852" w:rsidRPr="0099355B" w:rsidRDefault="00AB3852" w:rsidP="00AB3852">
            <w:pPr>
              <w:jc w:val="center"/>
              <w:rPr>
                <w:color w:val="000000"/>
                <w:sz w:val="18"/>
                <w:szCs w:val="18"/>
              </w:rPr>
            </w:pPr>
            <w:r w:rsidRPr="0099355B">
              <w:rPr>
                <w:color w:val="000000"/>
                <w:sz w:val="18"/>
                <w:szCs w:val="18"/>
              </w:rPr>
              <w:t>122%</w:t>
            </w:r>
          </w:p>
        </w:tc>
      </w:tr>
      <w:tr w:rsidR="00AB3852" w:rsidRPr="0099355B" w14:paraId="72AA1C6E"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396727FB" w14:textId="77777777" w:rsidR="00AB3852" w:rsidRPr="0099355B" w:rsidRDefault="00AB3852" w:rsidP="00AB3852">
            <w:pPr>
              <w:jc w:val="center"/>
              <w:rPr>
                <w:color w:val="000000"/>
                <w:sz w:val="18"/>
                <w:szCs w:val="18"/>
              </w:rPr>
            </w:pPr>
            <w:r w:rsidRPr="0099355B">
              <w:rPr>
                <w:color w:val="000000"/>
                <w:sz w:val="18"/>
                <w:szCs w:val="18"/>
              </w:rPr>
              <w:t>item 7</w:t>
            </w:r>
          </w:p>
        </w:tc>
        <w:tc>
          <w:tcPr>
            <w:tcW w:w="0" w:type="auto"/>
            <w:tcBorders>
              <w:top w:val="nil"/>
              <w:left w:val="nil"/>
              <w:bottom w:val="nil"/>
              <w:right w:val="nil"/>
            </w:tcBorders>
            <w:shd w:val="clear" w:color="auto" w:fill="auto"/>
            <w:noWrap/>
            <w:vAlign w:val="center"/>
            <w:hideMark/>
          </w:tcPr>
          <w:p w14:paraId="4575A7CB" w14:textId="77777777" w:rsidR="00AB3852" w:rsidRPr="0099355B" w:rsidRDefault="00AB3852" w:rsidP="00AB3852">
            <w:pPr>
              <w:jc w:val="center"/>
              <w:rPr>
                <w:color w:val="000000"/>
                <w:sz w:val="18"/>
                <w:szCs w:val="18"/>
              </w:rPr>
            </w:pPr>
            <w:r w:rsidRPr="0099355B">
              <w:rPr>
                <w:color w:val="000000"/>
                <w:sz w:val="18"/>
                <w:szCs w:val="18"/>
              </w:rPr>
              <w:t>2</w:t>
            </w:r>
          </w:p>
        </w:tc>
        <w:tc>
          <w:tcPr>
            <w:tcW w:w="0" w:type="auto"/>
            <w:tcBorders>
              <w:top w:val="nil"/>
              <w:left w:val="nil"/>
              <w:bottom w:val="nil"/>
              <w:right w:val="nil"/>
            </w:tcBorders>
            <w:shd w:val="clear" w:color="auto" w:fill="auto"/>
            <w:noWrap/>
            <w:vAlign w:val="center"/>
            <w:hideMark/>
          </w:tcPr>
          <w:p w14:paraId="4DB2E7E5" w14:textId="77777777" w:rsidR="00AB3852" w:rsidRPr="0099355B" w:rsidRDefault="00AB3852" w:rsidP="00AB3852">
            <w:pPr>
              <w:jc w:val="center"/>
              <w:rPr>
                <w:color w:val="000000"/>
                <w:sz w:val="18"/>
                <w:szCs w:val="18"/>
              </w:rPr>
            </w:pPr>
            <w:r w:rsidRPr="0099355B">
              <w:rPr>
                <w:color w:val="000000"/>
                <w:sz w:val="18"/>
                <w:szCs w:val="18"/>
              </w:rPr>
              <w:t>5.91</w:t>
            </w:r>
          </w:p>
        </w:tc>
        <w:tc>
          <w:tcPr>
            <w:tcW w:w="0" w:type="auto"/>
            <w:tcBorders>
              <w:top w:val="nil"/>
              <w:left w:val="nil"/>
              <w:bottom w:val="nil"/>
              <w:right w:val="nil"/>
            </w:tcBorders>
            <w:shd w:val="clear" w:color="auto" w:fill="auto"/>
            <w:noWrap/>
            <w:vAlign w:val="center"/>
            <w:hideMark/>
          </w:tcPr>
          <w:p w14:paraId="63770B2A" w14:textId="77777777" w:rsidR="00AB3852" w:rsidRPr="0099355B" w:rsidRDefault="00AB3852" w:rsidP="00AB3852">
            <w:pPr>
              <w:jc w:val="center"/>
              <w:rPr>
                <w:color w:val="000000"/>
                <w:sz w:val="18"/>
                <w:szCs w:val="18"/>
              </w:rPr>
            </w:pPr>
            <w:r w:rsidRPr="0099355B">
              <w:rPr>
                <w:color w:val="000000"/>
                <w:sz w:val="18"/>
                <w:szCs w:val="18"/>
              </w:rPr>
              <w:t>0.510</w:t>
            </w:r>
          </w:p>
        </w:tc>
        <w:tc>
          <w:tcPr>
            <w:tcW w:w="0" w:type="auto"/>
            <w:tcBorders>
              <w:top w:val="nil"/>
              <w:left w:val="nil"/>
              <w:bottom w:val="nil"/>
              <w:right w:val="nil"/>
            </w:tcBorders>
            <w:shd w:val="clear" w:color="auto" w:fill="auto"/>
            <w:noWrap/>
            <w:vAlign w:val="center"/>
            <w:hideMark/>
          </w:tcPr>
          <w:p w14:paraId="68F43554" w14:textId="77777777" w:rsidR="00AB3852" w:rsidRPr="0099355B" w:rsidRDefault="00AB3852" w:rsidP="00AB3852">
            <w:pPr>
              <w:jc w:val="center"/>
              <w:rPr>
                <w:color w:val="000000"/>
                <w:sz w:val="18"/>
                <w:szCs w:val="18"/>
              </w:rPr>
            </w:pPr>
            <w:r w:rsidRPr="0099355B">
              <w:rPr>
                <w:color w:val="000000"/>
                <w:sz w:val="18"/>
                <w:szCs w:val="18"/>
              </w:rPr>
              <w:t>11.60</w:t>
            </w:r>
          </w:p>
        </w:tc>
        <w:tc>
          <w:tcPr>
            <w:tcW w:w="0" w:type="auto"/>
            <w:tcBorders>
              <w:top w:val="nil"/>
              <w:left w:val="nil"/>
              <w:bottom w:val="nil"/>
              <w:right w:val="nil"/>
            </w:tcBorders>
            <w:shd w:val="clear" w:color="auto" w:fill="auto"/>
            <w:noWrap/>
            <w:vAlign w:val="center"/>
            <w:hideMark/>
          </w:tcPr>
          <w:p w14:paraId="7BAEC701" w14:textId="77777777" w:rsidR="00AB3852" w:rsidRPr="0099355B" w:rsidRDefault="00AB3852" w:rsidP="00AB3852">
            <w:pPr>
              <w:jc w:val="center"/>
              <w:rPr>
                <w:color w:val="000000"/>
                <w:sz w:val="18"/>
                <w:szCs w:val="18"/>
              </w:rPr>
            </w:pPr>
            <w:r w:rsidRPr="0099355B">
              <w:rPr>
                <w:color w:val="000000"/>
                <w:sz w:val="18"/>
                <w:szCs w:val="18"/>
              </w:rPr>
              <w:t>4.91</w:t>
            </w:r>
          </w:p>
        </w:tc>
        <w:tc>
          <w:tcPr>
            <w:tcW w:w="0" w:type="auto"/>
            <w:tcBorders>
              <w:top w:val="nil"/>
              <w:left w:val="nil"/>
              <w:bottom w:val="nil"/>
              <w:right w:val="nil"/>
            </w:tcBorders>
            <w:shd w:val="clear" w:color="auto" w:fill="auto"/>
            <w:noWrap/>
            <w:vAlign w:val="center"/>
            <w:hideMark/>
          </w:tcPr>
          <w:p w14:paraId="7B157C5A" w14:textId="77777777" w:rsidR="00AB3852" w:rsidRPr="0099355B" w:rsidRDefault="00AB3852" w:rsidP="00AB3852">
            <w:pPr>
              <w:jc w:val="center"/>
              <w:rPr>
                <w:color w:val="000000"/>
                <w:sz w:val="18"/>
                <w:szCs w:val="18"/>
              </w:rPr>
            </w:pPr>
            <w:r w:rsidRPr="0099355B">
              <w:rPr>
                <w:color w:val="000000"/>
                <w:sz w:val="18"/>
                <w:szCs w:val="18"/>
              </w:rPr>
              <w:t>6.92</w:t>
            </w:r>
          </w:p>
        </w:tc>
        <w:tc>
          <w:tcPr>
            <w:tcW w:w="0" w:type="auto"/>
            <w:tcBorders>
              <w:top w:val="nil"/>
              <w:left w:val="nil"/>
              <w:bottom w:val="nil"/>
              <w:right w:val="nil"/>
            </w:tcBorders>
            <w:shd w:val="clear" w:color="auto" w:fill="auto"/>
            <w:noWrap/>
            <w:vAlign w:val="center"/>
            <w:hideMark/>
          </w:tcPr>
          <w:p w14:paraId="025086CE" w14:textId="77777777" w:rsidR="00AB3852" w:rsidRPr="0099355B" w:rsidRDefault="00AB3852" w:rsidP="00AB3852">
            <w:pPr>
              <w:jc w:val="center"/>
              <w:rPr>
                <w:color w:val="000000"/>
                <w:sz w:val="18"/>
                <w:szCs w:val="18"/>
              </w:rPr>
            </w:pPr>
            <w:r w:rsidRPr="0099355B">
              <w:rPr>
                <w:color w:val="000000"/>
                <w:sz w:val="18"/>
                <w:szCs w:val="18"/>
              </w:rPr>
              <w:t>140%</w:t>
            </w:r>
          </w:p>
        </w:tc>
        <w:tc>
          <w:tcPr>
            <w:tcW w:w="0" w:type="auto"/>
            <w:tcBorders>
              <w:top w:val="nil"/>
              <w:left w:val="nil"/>
              <w:bottom w:val="nil"/>
              <w:right w:val="nil"/>
            </w:tcBorders>
            <w:shd w:val="clear" w:color="auto" w:fill="auto"/>
            <w:noWrap/>
            <w:vAlign w:val="center"/>
            <w:hideMark/>
          </w:tcPr>
          <w:p w14:paraId="665034EC" w14:textId="77777777" w:rsidR="00AB3852" w:rsidRPr="0099355B" w:rsidRDefault="00AB3852" w:rsidP="00AB3852">
            <w:pPr>
              <w:jc w:val="center"/>
              <w:rPr>
                <w:color w:val="000000"/>
                <w:sz w:val="18"/>
                <w:szCs w:val="18"/>
              </w:rPr>
            </w:pPr>
            <w:r w:rsidRPr="0099355B">
              <w:rPr>
                <w:color w:val="000000"/>
                <w:sz w:val="18"/>
                <w:szCs w:val="18"/>
              </w:rPr>
              <w:t>0.030</w:t>
            </w:r>
          </w:p>
        </w:tc>
        <w:tc>
          <w:tcPr>
            <w:tcW w:w="0" w:type="auto"/>
            <w:tcBorders>
              <w:top w:val="nil"/>
              <w:left w:val="nil"/>
              <w:bottom w:val="nil"/>
              <w:right w:val="nil"/>
            </w:tcBorders>
            <w:shd w:val="clear" w:color="auto" w:fill="auto"/>
            <w:noWrap/>
            <w:vAlign w:val="center"/>
            <w:hideMark/>
          </w:tcPr>
          <w:p w14:paraId="2E0B2265" w14:textId="77777777" w:rsidR="00AB3852" w:rsidRPr="0099355B" w:rsidRDefault="00AB3852" w:rsidP="00AB3852">
            <w:pPr>
              <w:jc w:val="center"/>
              <w:rPr>
                <w:color w:val="000000"/>
                <w:sz w:val="18"/>
                <w:szCs w:val="18"/>
              </w:rPr>
            </w:pPr>
            <w:r w:rsidRPr="0099355B">
              <w:rPr>
                <w:color w:val="000000"/>
                <w:sz w:val="18"/>
                <w:szCs w:val="18"/>
              </w:rPr>
              <w:t>10.93</w:t>
            </w:r>
          </w:p>
        </w:tc>
        <w:tc>
          <w:tcPr>
            <w:tcW w:w="0" w:type="auto"/>
            <w:tcBorders>
              <w:top w:val="nil"/>
              <w:left w:val="nil"/>
              <w:bottom w:val="nil"/>
              <w:right w:val="nil"/>
            </w:tcBorders>
            <w:shd w:val="clear" w:color="auto" w:fill="auto"/>
            <w:noWrap/>
            <w:vAlign w:val="center"/>
            <w:hideMark/>
          </w:tcPr>
          <w:p w14:paraId="7C33534E" w14:textId="77777777" w:rsidR="00AB3852" w:rsidRPr="0099355B" w:rsidRDefault="00AB3852" w:rsidP="00AB3852">
            <w:pPr>
              <w:jc w:val="center"/>
              <w:rPr>
                <w:color w:val="000000"/>
                <w:sz w:val="18"/>
                <w:szCs w:val="18"/>
              </w:rPr>
            </w:pPr>
            <w:r w:rsidRPr="0099355B">
              <w:rPr>
                <w:color w:val="000000"/>
                <w:sz w:val="18"/>
                <w:szCs w:val="18"/>
              </w:rPr>
              <w:t>131%</w:t>
            </w:r>
          </w:p>
        </w:tc>
        <w:tc>
          <w:tcPr>
            <w:tcW w:w="0" w:type="auto"/>
            <w:tcBorders>
              <w:top w:val="nil"/>
              <w:left w:val="nil"/>
              <w:bottom w:val="nil"/>
              <w:right w:val="nil"/>
            </w:tcBorders>
            <w:shd w:val="clear" w:color="auto" w:fill="auto"/>
            <w:noWrap/>
            <w:vAlign w:val="center"/>
            <w:hideMark/>
          </w:tcPr>
          <w:p w14:paraId="580FD6A3" w14:textId="77777777" w:rsidR="00AB3852" w:rsidRPr="0099355B" w:rsidRDefault="00AB3852" w:rsidP="00AB3852">
            <w:pPr>
              <w:jc w:val="center"/>
              <w:rPr>
                <w:color w:val="000000"/>
                <w:sz w:val="18"/>
                <w:szCs w:val="18"/>
              </w:rPr>
            </w:pPr>
            <w:r w:rsidRPr="0099355B">
              <w:rPr>
                <w:color w:val="000000"/>
                <w:sz w:val="18"/>
                <w:szCs w:val="18"/>
              </w:rPr>
              <w:t>148%</w:t>
            </w:r>
          </w:p>
        </w:tc>
      </w:tr>
      <w:tr w:rsidR="00AB3852" w:rsidRPr="0099355B" w14:paraId="3A006CB2"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0311936A"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5450E8E7" w14:textId="77777777" w:rsidR="00AB3852" w:rsidRPr="0099355B" w:rsidRDefault="00AB3852" w:rsidP="00AB3852">
            <w:pPr>
              <w:jc w:val="center"/>
              <w:rPr>
                <w:color w:val="000000"/>
                <w:sz w:val="18"/>
                <w:szCs w:val="18"/>
              </w:rPr>
            </w:pPr>
            <w:r w:rsidRPr="0099355B">
              <w:rPr>
                <w:color w:val="000000"/>
                <w:sz w:val="18"/>
                <w:szCs w:val="18"/>
              </w:rPr>
              <w:t>3</w:t>
            </w:r>
          </w:p>
        </w:tc>
        <w:tc>
          <w:tcPr>
            <w:tcW w:w="0" w:type="auto"/>
            <w:tcBorders>
              <w:top w:val="nil"/>
              <w:left w:val="nil"/>
              <w:bottom w:val="nil"/>
              <w:right w:val="nil"/>
            </w:tcBorders>
            <w:shd w:val="clear" w:color="auto" w:fill="auto"/>
            <w:noWrap/>
            <w:vAlign w:val="center"/>
            <w:hideMark/>
          </w:tcPr>
          <w:p w14:paraId="3F03C3E1" w14:textId="77777777" w:rsidR="00AB3852" w:rsidRPr="0099355B" w:rsidRDefault="00AB3852" w:rsidP="00AB3852">
            <w:pPr>
              <w:jc w:val="center"/>
              <w:rPr>
                <w:color w:val="000000"/>
                <w:sz w:val="18"/>
                <w:szCs w:val="18"/>
              </w:rPr>
            </w:pPr>
            <w:r w:rsidRPr="0099355B">
              <w:rPr>
                <w:color w:val="000000"/>
                <w:sz w:val="18"/>
                <w:szCs w:val="18"/>
              </w:rPr>
              <w:t>9.95</w:t>
            </w:r>
          </w:p>
        </w:tc>
        <w:tc>
          <w:tcPr>
            <w:tcW w:w="0" w:type="auto"/>
            <w:tcBorders>
              <w:top w:val="nil"/>
              <w:left w:val="nil"/>
              <w:bottom w:val="nil"/>
              <w:right w:val="nil"/>
            </w:tcBorders>
            <w:shd w:val="clear" w:color="auto" w:fill="auto"/>
            <w:noWrap/>
            <w:vAlign w:val="center"/>
            <w:hideMark/>
          </w:tcPr>
          <w:p w14:paraId="0E7E770B" w14:textId="77777777" w:rsidR="00AB3852" w:rsidRPr="0099355B" w:rsidRDefault="00AB3852" w:rsidP="00AB3852">
            <w:pPr>
              <w:jc w:val="center"/>
              <w:rPr>
                <w:color w:val="000000"/>
                <w:sz w:val="18"/>
                <w:szCs w:val="18"/>
              </w:rPr>
            </w:pPr>
            <w:r w:rsidRPr="0099355B">
              <w:rPr>
                <w:color w:val="000000"/>
                <w:sz w:val="18"/>
                <w:szCs w:val="18"/>
              </w:rPr>
              <w:t>0.573</w:t>
            </w:r>
          </w:p>
        </w:tc>
        <w:tc>
          <w:tcPr>
            <w:tcW w:w="0" w:type="auto"/>
            <w:tcBorders>
              <w:top w:val="nil"/>
              <w:left w:val="nil"/>
              <w:bottom w:val="nil"/>
              <w:right w:val="nil"/>
            </w:tcBorders>
            <w:shd w:val="clear" w:color="auto" w:fill="auto"/>
            <w:noWrap/>
            <w:vAlign w:val="center"/>
            <w:hideMark/>
          </w:tcPr>
          <w:p w14:paraId="24A98E7B" w14:textId="77777777" w:rsidR="00AB3852" w:rsidRPr="0099355B" w:rsidRDefault="00AB3852" w:rsidP="00AB3852">
            <w:pPr>
              <w:jc w:val="center"/>
              <w:rPr>
                <w:color w:val="000000"/>
                <w:sz w:val="18"/>
                <w:szCs w:val="18"/>
              </w:rPr>
            </w:pPr>
            <w:r w:rsidRPr="0099355B">
              <w:rPr>
                <w:color w:val="000000"/>
                <w:sz w:val="18"/>
                <w:szCs w:val="18"/>
              </w:rPr>
              <w:t>17.36</w:t>
            </w:r>
          </w:p>
        </w:tc>
        <w:tc>
          <w:tcPr>
            <w:tcW w:w="0" w:type="auto"/>
            <w:tcBorders>
              <w:top w:val="nil"/>
              <w:left w:val="nil"/>
              <w:bottom w:val="nil"/>
              <w:right w:val="nil"/>
            </w:tcBorders>
            <w:shd w:val="clear" w:color="auto" w:fill="auto"/>
            <w:noWrap/>
            <w:vAlign w:val="center"/>
            <w:hideMark/>
          </w:tcPr>
          <w:p w14:paraId="17CBC1FA" w14:textId="77777777" w:rsidR="00AB3852" w:rsidRPr="0099355B" w:rsidRDefault="00AB3852" w:rsidP="00AB3852">
            <w:pPr>
              <w:jc w:val="center"/>
              <w:rPr>
                <w:color w:val="000000"/>
                <w:sz w:val="18"/>
                <w:szCs w:val="18"/>
              </w:rPr>
            </w:pPr>
            <w:r w:rsidRPr="0099355B">
              <w:rPr>
                <w:color w:val="000000"/>
                <w:sz w:val="18"/>
                <w:szCs w:val="18"/>
              </w:rPr>
              <w:t>8.82</w:t>
            </w:r>
          </w:p>
        </w:tc>
        <w:tc>
          <w:tcPr>
            <w:tcW w:w="0" w:type="auto"/>
            <w:tcBorders>
              <w:top w:val="nil"/>
              <w:left w:val="nil"/>
              <w:bottom w:val="nil"/>
              <w:right w:val="nil"/>
            </w:tcBorders>
            <w:shd w:val="clear" w:color="auto" w:fill="auto"/>
            <w:noWrap/>
            <w:vAlign w:val="center"/>
            <w:hideMark/>
          </w:tcPr>
          <w:p w14:paraId="7EDD5D9F" w14:textId="77777777" w:rsidR="00AB3852" w:rsidRPr="0099355B" w:rsidRDefault="00AB3852" w:rsidP="00AB3852">
            <w:pPr>
              <w:jc w:val="center"/>
              <w:rPr>
                <w:color w:val="000000"/>
                <w:sz w:val="18"/>
                <w:szCs w:val="18"/>
              </w:rPr>
            </w:pPr>
            <w:r w:rsidRPr="0099355B">
              <w:rPr>
                <w:color w:val="000000"/>
                <w:sz w:val="18"/>
                <w:szCs w:val="18"/>
              </w:rPr>
              <w:t>11.08</w:t>
            </w:r>
          </w:p>
        </w:tc>
        <w:tc>
          <w:tcPr>
            <w:tcW w:w="0" w:type="auto"/>
            <w:tcBorders>
              <w:top w:val="nil"/>
              <w:left w:val="nil"/>
              <w:bottom w:val="nil"/>
              <w:right w:val="nil"/>
            </w:tcBorders>
            <w:shd w:val="clear" w:color="auto" w:fill="auto"/>
            <w:noWrap/>
            <w:vAlign w:val="center"/>
            <w:hideMark/>
          </w:tcPr>
          <w:p w14:paraId="0D5D99BF" w14:textId="77777777" w:rsidR="00AB3852" w:rsidRPr="0099355B" w:rsidRDefault="00AB3852" w:rsidP="00AB3852">
            <w:pPr>
              <w:jc w:val="center"/>
              <w:rPr>
                <w:color w:val="000000"/>
                <w:sz w:val="18"/>
                <w:szCs w:val="18"/>
              </w:rPr>
            </w:pPr>
            <w:r w:rsidRPr="0099355B">
              <w:rPr>
                <w:color w:val="000000"/>
                <w:sz w:val="18"/>
                <w:szCs w:val="18"/>
              </w:rPr>
              <w:t>167%</w:t>
            </w:r>
          </w:p>
        </w:tc>
        <w:tc>
          <w:tcPr>
            <w:tcW w:w="0" w:type="auto"/>
            <w:tcBorders>
              <w:top w:val="nil"/>
              <w:left w:val="nil"/>
              <w:bottom w:val="nil"/>
              <w:right w:val="nil"/>
            </w:tcBorders>
            <w:shd w:val="clear" w:color="auto" w:fill="auto"/>
            <w:noWrap/>
            <w:vAlign w:val="center"/>
            <w:hideMark/>
          </w:tcPr>
          <w:p w14:paraId="5ADFE6F6" w14:textId="77777777" w:rsidR="00AB3852" w:rsidRPr="0099355B" w:rsidRDefault="00AB3852" w:rsidP="00AB3852">
            <w:pPr>
              <w:jc w:val="center"/>
              <w:rPr>
                <w:color w:val="000000"/>
                <w:sz w:val="18"/>
                <w:szCs w:val="18"/>
              </w:rPr>
            </w:pPr>
            <w:r w:rsidRPr="0099355B">
              <w:rPr>
                <w:color w:val="000000"/>
                <w:sz w:val="18"/>
                <w:szCs w:val="18"/>
              </w:rPr>
              <w:t>0.034</w:t>
            </w:r>
          </w:p>
        </w:tc>
        <w:tc>
          <w:tcPr>
            <w:tcW w:w="0" w:type="auto"/>
            <w:tcBorders>
              <w:top w:val="nil"/>
              <w:left w:val="nil"/>
              <w:bottom w:val="nil"/>
              <w:right w:val="nil"/>
            </w:tcBorders>
            <w:shd w:val="clear" w:color="auto" w:fill="auto"/>
            <w:noWrap/>
            <w:vAlign w:val="center"/>
            <w:hideMark/>
          </w:tcPr>
          <w:p w14:paraId="5AAC5C82" w14:textId="77777777" w:rsidR="00AB3852" w:rsidRPr="0099355B" w:rsidRDefault="00AB3852" w:rsidP="00AB3852">
            <w:pPr>
              <w:jc w:val="center"/>
              <w:rPr>
                <w:color w:val="000000"/>
                <w:sz w:val="18"/>
                <w:szCs w:val="18"/>
              </w:rPr>
            </w:pPr>
            <w:r w:rsidRPr="0099355B">
              <w:rPr>
                <w:color w:val="000000"/>
                <w:sz w:val="18"/>
                <w:szCs w:val="18"/>
              </w:rPr>
              <w:t>15.04</w:t>
            </w:r>
          </w:p>
        </w:tc>
        <w:tc>
          <w:tcPr>
            <w:tcW w:w="0" w:type="auto"/>
            <w:tcBorders>
              <w:top w:val="nil"/>
              <w:left w:val="nil"/>
              <w:bottom w:val="nil"/>
              <w:right w:val="nil"/>
            </w:tcBorders>
            <w:shd w:val="clear" w:color="auto" w:fill="auto"/>
            <w:noWrap/>
            <w:vAlign w:val="center"/>
            <w:hideMark/>
          </w:tcPr>
          <w:p w14:paraId="2165CBB5" w14:textId="77777777" w:rsidR="00AB3852" w:rsidRPr="0099355B" w:rsidRDefault="00AB3852" w:rsidP="00AB3852">
            <w:pPr>
              <w:jc w:val="center"/>
              <w:rPr>
                <w:color w:val="000000"/>
                <w:sz w:val="18"/>
                <w:szCs w:val="18"/>
              </w:rPr>
            </w:pPr>
            <w:r w:rsidRPr="0099355B">
              <w:rPr>
                <w:color w:val="000000"/>
                <w:sz w:val="18"/>
                <w:szCs w:val="18"/>
              </w:rPr>
              <w:t>156%</w:t>
            </w:r>
          </w:p>
        </w:tc>
        <w:tc>
          <w:tcPr>
            <w:tcW w:w="0" w:type="auto"/>
            <w:tcBorders>
              <w:top w:val="nil"/>
              <w:left w:val="nil"/>
              <w:bottom w:val="nil"/>
              <w:right w:val="nil"/>
            </w:tcBorders>
            <w:shd w:val="clear" w:color="auto" w:fill="auto"/>
            <w:noWrap/>
            <w:vAlign w:val="center"/>
            <w:hideMark/>
          </w:tcPr>
          <w:p w14:paraId="5944A87B" w14:textId="77777777" w:rsidR="00AB3852" w:rsidRPr="0099355B" w:rsidRDefault="00AB3852" w:rsidP="00AB3852">
            <w:pPr>
              <w:jc w:val="center"/>
              <w:rPr>
                <w:color w:val="000000"/>
                <w:sz w:val="18"/>
                <w:szCs w:val="18"/>
              </w:rPr>
            </w:pPr>
            <w:r w:rsidRPr="0099355B">
              <w:rPr>
                <w:color w:val="000000"/>
                <w:sz w:val="18"/>
                <w:szCs w:val="18"/>
              </w:rPr>
              <w:t>179%</w:t>
            </w:r>
          </w:p>
        </w:tc>
      </w:tr>
      <w:tr w:rsidR="00AB3852" w:rsidRPr="0099355B" w14:paraId="1337E02C"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3D56C5BA"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44EC3AF9" w14:textId="77777777" w:rsidR="00AB3852" w:rsidRPr="0099355B" w:rsidRDefault="00AB3852" w:rsidP="00AB3852">
            <w:pPr>
              <w:jc w:val="center"/>
              <w:rPr>
                <w:color w:val="000000"/>
                <w:sz w:val="18"/>
                <w:szCs w:val="18"/>
              </w:rPr>
            </w:pPr>
            <w:r w:rsidRPr="0099355B">
              <w:rPr>
                <w:color w:val="000000"/>
                <w:sz w:val="18"/>
                <w:szCs w:val="18"/>
              </w:rPr>
              <w:t>1</w:t>
            </w:r>
          </w:p>
        </w:tc>
        <w:tc>
          <w:tcPr>
            <w:tcW w:w="0" w:type="auto"/>
            <w:tcBorders>
              <w:top w:val="nil"/>
              <w:left w:val="nil"/>
              <w:bottom w:val="nil"/>
              <w:right w:val="nil"/>
            </w:tcBorders>
            <w:shd w:val="clear" w:color="auto" w:fill="auto"/>
            <w:noWrap/>
            <w:vAlign w:val="center"/>
            <w:hideMark/>
          </w:tcPr>
          <w:p w14:paraId="359F4A75" w14:textId="77777777" w:rsidR="00AB3852" w:rsidRPr="0099355B" w:rsidRDefault="00AB3852" w:rsidP="00AB3852">
            <w:pPr>
              <w:jc w:val="center"/>
              <w:rPr>
                <w:color w:val="000000"/>
                <w:sz w:val="18"/>
                <w:szCs w:val="18"/>
              </w:rPr>
            </w:pPr>
            <w:r w:rsidRPr="0099355B">
              <w:rPr>
                <w:color w:val="000000"/>
                <w:sz w:val="18"/>
                <w:szCs w:val="18"/>
              </w:rPr>
              <w:t>2.90</w:t>
            </w:r>
          </w:p>
        </w:tc>
        <w:tc>
          <w:tcPr>
            <w:tcW w:w="0" w:type="auto"/>
            <w:tcBorders>
              <w:top w:val="nil"/>
              <w:left w:val="nil"/>
              <w:bottom w:val="nil"/>
              <w:right w:val="nil"/>
            </w:tcBorders>
            <w:shd w:val="clear" w:color="auto" w:fill="auto"/>
            <w:noWrap/>
            <w:vAlign w:val="center"/>
            <w:hideMark/>
          </w:tcPr>
          <w:p w14:paraId="3AF848D7" w14:textId="77777777" w:rsidR="00AB3852" w:rsidRPr="0099355B" w:rsidRDefault="00AB3852" w:rsidP="00AB3852">
            <w:pPr>
              <w:jc w:val="center"/>
              <w:rPr>
                <w:color w:val="000000"/>
                <w:sz w:val="18"/>
                <w:szCs w:val="18"/>
              </w:rPr>
            </w:pPr>
            <w:r w:rsidRPr="0099355B">
              <w:rPr>
                <w:color w:val="000000"/>
                <w:sz w:val="18"/>
                <w:szCs w:val="18"/>
              </w:rPr>
              <w:t>0.468</w:t>
            </w:r>
          </w:p>
        </w:tc>
        <w:tc>
          <w:tcPr>
            <w:tcW w:w="0" w:type="auto"/>
            <w:tcBorders>
              <w:top w:val="nil"/>
              <w:left w:val="nil"/>
              <w:bottom w:val="nil"/>
              <w:right w:val="nil"/>
            </w:tcBorders>
            <w:shd w:val="clear" w:color="auto" w:fill="auto"/>
            <w:noWrap/>
            <w:vAlign w:val="center"/>
            <w:hideMark/>
          </w:tcPr>
          <w:p w14:paraId="620F2DE1" w14:textId="77777777" w:rsidR="00AB3852" w:rsidRPr="0099355B" w:rsidRDefault="00AB3852" w:rsidP="00AB3852">
            <w:pPr>
              <w:jc w:val="center"/>
              <w:rPr>
                <w:color w:val="000000"/>
                <w:sz w:val="18"/>
                <w:szCs w:val="18"/>
              </w:rPr>
            </w:pPr>
            <w:r w:rsidRPr="0099355B">
              <w:rPr>
                <w:color w:val="000000"/>
                <w:sz w:val="18"/>
                <w:szCs w:val="18"/>
              </w:rPr>
              <w:t>6.20</w:t>
            </w:r>
          </w:p>
        </w:tc>
        <w:tc>
          <w:tcPr>
            <w:tcW w:w="0" w:type="auto"/>
            <w:tcBorders>
              <w:top w:val="nil"/>
              <w:left w:val="nil"/>
              <w:bottom w:val="nil"/>
              <w:right w:val="nil"/>
            </w:tcBorders>
            <w:shd w:val="clear" w:color="auto" w:fill="auto"/>
            <w:noWrap/>
            <w:vAlign w:val="center"/>
            <w:hideMark/>
          </w:tcPr>
          <w:p w14:paraId="7B5FFF67" w14:textId="77777777" w:rsidR="00AB3852" w:rsidRPr="0099355B" w:rsidRDefault="00AB3852" w:rsidP="00AB3852">
            <w:pPr>
              <w:jc w:val="center"/>
              <w:rPr>
                <w:color w:val="000000"/>
                <w:sz w:val="18"/>
                <w:szCs w:val="18"/>
              </w:rPr>
            </w:pPr>
            <w:r w:rsidRPr="0099355B">
              <w:rPr>
                <w:color w:val="000000"/>
                <w:sz w:val="18"/>
                <w:szCs w:val="18"/>
              </w:rPr>
              <w:t>1.98</w:t>
            </w:r>
          </w:p>
        </w:tc>
        <w:tc>
          <w:tcPr>
            <w:tcW w:w="0" w:type="auto"/>
            <w:tcBorders>
              <w:top w:val="nil"/>
              <w:left w:val="nil"/>
              <w:bottom w:val="nil"/>
              <w:right w:val="nil"/>
            </w:tcBorders>
            <w:shd w:val="clear" w:color="auto" w:fill="auto"/>
            <w:noWrap/>
            <w:vAlign w:val="center"/>
            <w:hideMark/>
          </w:tcPr>
          <w:p w14:paraId="2CD61D7D" w14:textId="77777777" w:rsidR="00AB3852" w:rsidRPr="0099355B" w:rsidRDefault="00AB3852" w:rsidP="00AB3852">
            <w:pPr>
              <w:jc w:val="center"/>
              <w:rPr>
                <w:color w:val="000000"/>
                <w:sz w:val="18"/>
                <w:szCs w:val="18"/>
              </w:rPr>
            </w:pPr>
            <w:r w:rsidRPr="0099355B">
              <w:rPr>
                <w:color w:val="000000"/>
                <w:sz w:val="18"/>
                <w:szCs w:val="18"/>
              </w:rPr>
              <w:t>3.82</w:t>
            </w:r>
          </w:p>
        </w:tc>
        <w:tc>
          <w:tcPr>
            <w:tcW w:w="0" w:type="auto"/>
            <w:tcBorders>
              <w:top w:val="nil"/>
              <w:left w:val="nil"/>
              <w:bottom w:val="nil"/>
              <w:right w:val="nil"/>
            </w:tcBorders>
            <w:shd w:val="clear" w:color="auto" w:fill="auto"/>
            <w:noWrap/>
            <w:vAlign w:val="center"/>
            <w:hideMark/>
          </w:tcPr>
          <w:p w14:paraId="2D35FCAF" w14:textId="77777777" w:rsidR="00AB3852" w:rsidRPr="0099355B" w:rsidRDefault="00AB3852" w:rsidP="00AB3852">
            <w:pPr>
              <w:jc w:val="center"/>
              <w:rPr>
                <w:color w:val="000000"/>
                <w:sz w:val="18"/>
                <w:szCs w:val="18"/>
              </w:rPr>
            </w:pPr>
            <w:r w:rsidRPr="0099355B">
              <w:rPr>
                <w:color w:val="000000"/>
                <w:sz w:val="18"/>
                <w:szCs w:val="18"/>
              </w:rPr>
              <w:t>115%</w:t>
            </w:r>
          </w:p>
        </w:tc>
        <w:tc>
          <w:tcPr>
            <w:tcW w:w="0" w:type="auto"/>
            <w:tcBorders>
              <w:top w:val="nil"/>
              <w:left w:val="nil"/>
              <w:bottom w:val="nil"/>
              <w:right w:val="nil"/>
            </w:tcBorders>
            <w:shd w:val="clear" w:color="auto" w:fill="auto"/>
            <w:noWrap/>
            <w:vAlign w:val="center"/>
            <w:hideMark/>
          </w:tcPr>
          <w:p w14:paraId="0B2B88DD" w14:textId="77777777" w:rsidR="00AB3852" w:rsidRPr="0099355B" w:rsidRDefault="00AB3852" w:rsidP="00AB3852">
            <w:pPr>
              <w:jc w:val="center"/>
              <w:rPr>
                <w:color w:val="000000"/>
                <w:sz w:val="18"/>
                <w:szCs w:val="18"/>
              </w:rPr>
            </w:pPr>
            <w:r w:rsidRPr="0099355B">
              <w:rPr>
                <w:color w:val="000000"/>
                <w:sz w:val="18"/>
                <w:szCs w:val="18"/>
              </w:rPr>
              <w:t>0.026</w:t>
            </w:r>
          </w:p>
        </w:tc>
        <w:tc>
          <w:tcPr>
            <w:tcW w:w="0" w:type="auto"/>
            <w:tcBorders>
              <w:top w:val="nil"/>
              <w:left w:val="nil"/>
              <w:bottom w:val="nil"/>
              <w:right w:val="nil"/>
            </w:tcBorders>
            <w:shd w:val="clear" w:color="auto" w:fill="auto"/>
            <w:noWrap/>
            <w:vAlign w:val="center"/>
            <w:hideMark/>
          </w:tcPr>
          <w:p w14:paraId="202E3E1C" w14:textId="77777777" w:rsidR="00AB3852" w:rsidRPr="0099355B" w:rsidRDefault="00AB3852" w:rsidP="00AB3852">
            <w:pPr>
              <w:jc w:val="center"/>
              <w:rPr>
                <w:color w:val="000000"/>
                <w:sz w:val="18"/>
                <w:szCs w:val="18"/>
              </w:rPr>
            </w:pPr>
            <w:r w:rsidRPr="0099355B">
              <w:rPr>
                <w:color w:val="000000"/>
                <w:sz w:val="18"/>
                <w:szCs w:val="18"/>
              </w:rPr>
              <w:t>5.45</w:t>
            </w:r>
          </w:p>
        </w:tc>
        <w:tc>
          <w:tcPr>
            <w:tcW w:w="0" w:type="auto"/>
            <w:tcBorders>
              <w:top w:val="nil"/>
              <w:left w:val="nil"/>
              <w:bottom w:val="nil"/>
              <w:right w:val="nil"/>
            </w:tcBorders>
            <w:shd w:val="clear" w:color="auto" w:fill="auto"/>
            <w:noWrap/>
            <w:vAlign w:val="center"/>
            <w:hideMark/>
          </w:tcPr>
          <w:p w14:paraId="29117803" w14:textId="77777777" w:rsidR="00AB3852" w:rsidRPr="0099355B" w:rsidRDefault="00AB3852" w:rsidP="00AB3852">
            <w:pPr>
              <w:jc w:val="center"/>
              <w:rPr>
                <w:color w:val="000000"/>
                <w:sz w:val="18"/>
                <w:szCs w:val="18"/>
              </w:rPr>
            </w:pPr>
            <w:r w:rsidRPr="0099355B">
              <w:rPr>
                <w:color w:val="000000"/>
                <w:sz w:val="18"/>
                <w:szCs w:val="18"/>
              </w:rPr>
              <w:t>110%</w:t>
            </w:r>
          </w:p>
        </w:tc>
        <w:tc>
          <w:tcPr>
            <w:tcW w:w="0" w:type="auto"/>
            <w:tcBorders>
              <w:top w:val="nil"/>
              <w:left w:val="nil"/>
              <w:bottom w:val="nil"/>
              <w:right w:val="nil"/>
            </w:tcBorders>
            <w:shd w:val="clear" w:color="auto" w:fill="auto"/>
            <w:noWrap/>
            <w:vAlign w:val="center"/>
            <w:hideMark/>
          </w:tcPr>
          <w:p w14:paraId="1E35DBA4" w14:textId="77777777" w:rsidR="00AB3852" w:rsidRPr="0099355B" w:rsidRDefault="00AB3852" w:rsidP="00AB3852">
            <w:pPr>
              <w:jc w:val="center"/>
              <w:rPr>
                <w:color w:val="000000"/>
                <w:sz w:val="18"/>
                <w:szCs w:val="18"/>
              </w:rPr>
            </w:pPr>
            <w:r w:rsidRPr="0099355B">
              <w:rPr>
                <w:color w:val="000000"/>
                <w:sz w:val="18"/>
                <w:szCs w:val="18"/>
              </w:rPr>
              <w:t>121%</w:t>
            </w:r>
          </w:p>
        </w:tc>
      </w:tr>
      <w:tr w:rsidR="00AB3852" w:rsidRPr="0099355B" w14:paraId="6C44C51C"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619FB74C" w14:textId="77777777" w:rsidR="00AB3852" w:rsidRPr="0099355B" w:rsidRDefault="00AB3852" w:rsidP="00AB3852">
            <w:pPr>
              <w:jc w:val="center"/>
              <w:rPr>
                <w:color w:val="000000"/>
                <w:sz w:val="18"/>
                <w:szCs w:val="18"/>
              </w:rPr>
            </w:pPr>
            <w:r w:rsidRPr="0099355B">
              <w:rPr>
                <w:color w:val="000000"/>
                <w:sz w:val="18"/>
                <w:szCs w:val="18"/>
              </w:rPr>
              <w:t>item 8</w:t>
            </w:r>
          </w:p>
        </w:tc>
        <w:tc>
          <w:tcPr>
            <w:tcW w:w="0" w:type="auto"/>
            <w:tcBorders>
              <w:top w:val="nil"/>
              <w:left w:val="nil"/>
              <w:bottom w:val="nil"/>
              <w:right w:val="nil"/>
            </w:tcBorders>
            <w:shd w:val="clear" w:color="auto" w:fill="auto"/>
            <w:noWrap/>
            <w:vAlign w:val="center"/>
            <w:hideMark/>
          </w:tcPr>
          <w:p w14:paraId="4747CB1B" w14:textId="77777777" w:rsidR="00AB3852" w:rsidRPr="0099355B" w:rsidRDefault="00AB3852" w:rsidP="00AB3852">
            <w:pPr>
              <w:jc w:val="center"/>
              <w:rPr>
                <w:color w:val="000000"/>
                <w:sz w:val="18"/>
                <w:szCs w:val="18"/>
              </w:rPr>
            </w:pPr>
            <w:r w:rsidRPr="0099355B">
              <w:rPr>
                <w:color w:val="000000"/>
                <w:sz w:val="18"/>
                <w:szCs w:val="18"/>
              </w:rPr>
              <w:t>2</w:t>
            </w:r>
          </w:p>
        </w:tc>
        <w:tc>
          <w:tcPr>
            <w:tcW w:w="0" w:type="auto"/>
            <w:tcBorders>
              <w:top w:val="nil"/>
              <w:left w:val="nil"/>
              <w:bottom w:val="nil"/>
              <w:right w:val="nil"/>
            </w:tcBorders>
            <w:shd w:val="clear" w:color="auto" w:fill="auto"/>
            <w:noWrap/>
            <w:vAlign w:val="center"/>
            <w:hideMark/>
          </w:tcPr>
          <w:p w14:paraId="2847A540" w14:textId="77777777" w:rsidR="00AB3852" w:rsidRPr="0099355B" w:rsidRDefault="00AB3852" w:rsidP="00AB3852">
            <w:pPr>
              <w:jc w:val="center"/>
              <w:rPr>
                <w:color w:val="000000"/>
                <w:sz w:val="18"/>
                <w:szCs w:val="18"/>
              </w:rPr>
            </w:pPr>
            <w:r w:rsidRPr="0099355B">
              <w:rPr>
                <w:color w:val="000000"/>
                <w:sz w:val="18"/>
                <w:szCs w:val="18"/>
              </w:rPr>
              <w:t>5.24</w:t>
            </w:r>
          </w:p>
        </w:tc>
        <w:tc>
          <w:tcPr>
            <w:tcW w:w="0" w:type="auto"/>
            <w:tcBorders>
              <w:top w:val="nil"/>
              <w:left w:val="nil"/>
              <w:bottom w:val="nil"/>
              <w:right w:val="nil"/>
            </w:tcBorders>
            <w:shd w:val="clear" w:color="auto" w:fill="auto"/>
            <w:noWrap/>
            <w:vAlign w:val="center"/>
            <w:hideMark/>
          </w:tcPr>
          <w:p w14:paraId="5F9B44F1" w14:textId="77777777" w:rsidR="00AB3852" w:rsidRPr="0099355B" w:rsidRDefault="00AB3852" w:rsidP="00AB3852">
            <w:pPr>
              <w:jc w:val="center"/>
              <w:rPr>
                <w:color w:val="000000"/>
                <w:sz w:val="18"/>
                <w:szCs w:val="18"/>
              </w:rPr>
            </w:pPr>
            <w:r w:rsidRPr="0099355B">
              <w:rPr>
                <w:color w:val="000000"/>
                <w:sz w:val="18"/>
                <w:szCs w:val="18"/>
              </w:rPr>
              <w:t>0.621</w:t>
            </w:r>
          </w:p>
        </w:tc>
        <w:tc>
          <w:tcPr>
            <w:tcW w:w="0" w:type="auto"/>
            <w:tcBorders>
              <w:top w:val="nil"/>
              <w:left w:val="nil"/>
              <w:bottom w:val="nil"/>
              <w:right w:val="nil"/>
            </w:tcBorders>
            <w:shd w:val="clear" w:color="auto" w:fill="auto"/>
            <w:noWrap/>
            <w:vAlign w:val="center"/>
            <w:hideMark/>
          </w:tcPr>
          <w:p w14:paraId="62B0B055" w14:textId="77777777" w:rsidR="00AB3852" w:rsidRPr="0099355B" w:rsidRDefault="00AB3852" w:rsidP="00AB3852">
            <w:pPr>
              <w:jc w:val="center"/>
              <w:rPr>
                <w:color w:val="000000"/>
                <w:sz w:val="18"/>
                <w:szCs w:val="18"/>
              </w:rPr>
            </w:pPr>
            <w:r w:rsidRPr="0099355B">
              <w:rPr>
                <w:color w:val="000000"/>
                <w:sz w:val="18"/>
                <w:szCs w:val="18"/>
              </w:rPr>
              <w:t>8.44</w:t>
            </w:r>
          </w:p>
        </w:tc>
        <w:tc>
          <w:tcPr>
            <w:tcW w:w="0" w:type="auto"/>
            <w:tcBorders>
              <w:top w:val="nil"/>
              <w:left w:val="nil"/>
              <w:bottom w:val="nil"/>
              <w:right w:val="nil"/>
            </w:tcBorders>
            <w:shd w:val="clear" w:color="auto" w:fill="auto"/>
            <w:noWrap/>
            <w:vAlign w:val="center"/>
            <w:hideMark/>
          </w:tcPr>
          <w:p w14:paraId="2F69A477" w14:textId="77777777" w:rsidR="00AB3852" w:rsidRPr="0099355B" w:rsidRDefault="00AB3852" w:rsidP="00AB3852">
            <w:pPr>
              <w:jc w:val="center"/>
              <w:rPr>
                <w:color w:val="000000"/>
                <w:sz w:val="18"/>
                <w:szCs w:val="18"/>
              </w:rPr>
            </w:pPr>
            <w:r w:rsidRPr="0099355B">
              <w:rPr>
                <w:color w:val="000000"/>
                <w:sz w:val="18"/>
                <w:szCs w:val="18"/>
              </w:rPr>
              <w:t>4.02</w:t>
            </w:r>
          </w:p>
        </w:tc>
        <w:tc>
          <w:tcPr>
            <w:tcW w:w="0" w:type="auto"/>
            <w:tcBorders>
              <w:top w:val="nil"/>
              <w:left w:val="nil"/>
              <w:bottom w:val="nil"/>
              <w:right w:val="nil"/>
            </w:tcBorders>
            <w:shd w:val="clear" w:color="auto" w:fill="auto"/>
            <w:noWrap/>
            <w:vAlign w:val="center"/>
            <w:hideMark/>
          </w:tcPr>
          <w:p w14:paraId="02D73F2D" w14:textId="77777777" w:rsidR="00AB3852" w:rsidRPr="0099355B" w:rsidRDefault="00AB3852" w:rsidP="00AB3852">
            <w:pPr>
              <w:jc w:val="center"/>
              <w:rPr>
                <w:color w:val="000000"/>
                <w:sz w:val="18"/>
                <w:szCs w:val="18"/>
              </w:rPr>
            </w:pPr>
            <w:r w:rsidRPr="0099355B">
              <w:rPr>
                <w:color w:val="000000"/>
                <w:sz w:val="18"/>
                <w:szCs w:val="18"/>
              </w:rPr>
              <w:t>6.46</w:t>
            </w:r>
          </w:p>
        </w:tc>
        <w:tc>
          <w:tcPr>
            <w:tcW w:w="0" w:type="auto"/>
            <w:tcBorders>
              <w:top w:val="nil"/>
              <w:left w:val="nil"/>
              <w:bottom w:val="nil"/>
              <w:right w:val="nil"/>
            </w:tcBorders>
            <w:shd w:val="clear" w:color="auto" w:fill="auto"/>
            <w:noWrap/>
            <w:vAlign w:val="center"/>
            <w:hideMark/>
          </w:tcPr>
          <w:p w14:paraId="169F61F0" w14:textId="77777777" w:rsidR="00AB3852" w:rsidRPr="0099355B" w:rsidRDefault="00AB3852" w:rsidP="00AB3852">
            <w:pPr>
              <w:jc w:val="center"/>
              <w:rPr>
                <w:color w:val="000000"/>
                <w:sz w:val="18"/>
                <w:szCs w:val="18"/>
              </w:rPr>
            </w:pPr>
            <w:r w:rsidRPr="0099355B">
              <w:rPr>
                <w:color w:val="000000"/>
                <w:sz w:val="18"/>
                <w:szCs w:val="18"/>
              </w:rPr>
              <w:t>130%</w:t>
            </w:r>
          </w:p>
        </w:tc>
        <w:tc>
          <w:tcPr>
            <w:tcW w:w="0" w:type="auto"/>
            <w:tcBorders>
              <w:top w:val="nil"/>
              <w:left w:val="nil"/>
              <w:bottom w:val="nil"/>
              <w:right w:val="nil"/>
            </w:tcBorders>
            <w:shd w:val="clear" w:color="auto" w:fill="auto"/>
            <w:noWrap/>
            <w:vAlign w:val="center"/>
            <w:hideMark/>
          </w:tcPr>
          <w:p w14:paraId="7B7CFDB1" w14:textId="77777777" w:rsidR="00AB3852" w:rsidRPr="0099355B" w:rsidRDefault="00AB3852" w:rsidP="00AB3852">
            <w:pPr>
              <w:jc w:val="center"/>
              <w:rPr>
                <w:color w:val="000000"/>
                <w:sz w:val="18"/>
                <w:szCs w:val="18"/>
              </w:rPr>
            </w:pPr>
            <w:r w:rsidRPr="0099355B">
              <w:rPr>
                <w:color w:val="000000"/>
                <w:sz w:val="18"/>
                <w:szCs w:val="18"/>
              </w:rPr>
              <w:t>0.034</w:t>
            </w:r>
          </w:p>
        </w:tc>
        <w:tc>
          <w:tcPr>
            <w:tcW w:w="0" w:type="auto"/>
            <w:tcBorders>
              <w:top w:val="nil"/>
              <w:left w:val="nil"/>
              <w:bottom w:val="nil"/>
              <w:right w:val="nil"/>
            </w:tcBorders>
            <w:shd w:val="clear" w:color="auto" w:fill="auto"/>
            <w:noWrap/>
            <w:vAlign w:val="center"/>
            <w:hideMark/>
          </w:tcPr>
          <w:p w14:paraId="051D676A" w14:textId="77777777" w:rsidR="00AB3852" w:rsidRPr="0099355B" w:rsidRDefault="00AB3852" w:rsidP="00AB3852">
            <w:pPr>
              <w:jc w:val="center"/>
              <w:rPr>
                <w:color w:val="000000"/>
                <w:sz w:val="18"/>
                <w:szCs w:val="18"/>
              </w:rPr>
            </w:pPr>
            <w:r w:rsidRPr="0099355B">
              <w:rPr>
                <w:color w:val="000000"/>
                <w:sz w:val="18"/>
                <w:szCs w:val="18"/>
              </w:rPr>
              <w:t>7.70</w:t>
            </w:r>
          </w:p>
        </w:tc>
        <w:tc>
          <w:tcPr>
            <w:tcW w:w="0" w:type="auto"/>
            <w:tcBorders>
              <w:top w:val="nil"/>
              <w:left w:val="nil"/>
              <w:bottom w:val="nil"/>
              <w:right w:val="nil"/>
            </w:tcBorders>
            <w:shd w:val="clear" w:color="auto" w:fill="auto"/>
            <w:noWrap/>
            <w:vAlign w:val="center"/>
            <w:hideMark/>
          </w:tcPr>
          <w:p w14:paraId="54150794" w14:textId="77777777" w:rsidR="00AB3852" w:rsidRPr="0099355B" w:rsidRDefault="00AB3852" w:rsidP="00AB3852">
            <w:pPr>
              <w:jc w:val="center"/>
              <w:rPr>
                <w:color w:val="000000"/>
                <w:sz w:val="18"/>
                <w:szCs w:val="18"/>
              </w:rPr>
            </w:pPr>
            <w:r w:rsidRPr="0099355B">
              <w:rPr>
                <w:color w:val="000000"/>
                <w:sz w:val="18"/>
                <w:szCs w:val="18"/>
              </w:rPr>
              <w:t>122%</w:t>
            </w:r>
          </w:p>
        </w:tc>
        <w:tc>
          <w:tcPr>
            <w:tcW w:w="0" w:type="auto"/>
            <w:tcBorders>
              <w:top w:val="nil"/>
              <w:left w:val="nil"/>
              <w:bottom w:val="nil"/>
              <w:right w:val="nil"/>
            </w:tcBorders>
            <w:shd w:val="clear" w:color="auto" w:fill="auto"/>
            <w:noWrap/>
            <w:vAlign w:val="center"/>
            <w:hideMark/>
          </w:tcPr>
          <w:p w14:paraId="45D089D7" w14:textId="77777777" w:rsidR="00AB3852" w:rsidRPr="0099355B" w:rsidRDefault="00AB3852" w:rsidP="00AB3852">
            <w:pPr>
              <w:jc w:val="center"/>
              <w:rPr>
                <w:color w:val="000000"/>
                <w:sz w:val="18"/>
                <w:szCs w:val="18"/>
              </w:rPr>
            </w:pPr>
            <w:r w:rsidRPr="0099355B">
              <w:rPr>
                <w:color w:val="000000"/>
                <w:sz w:val="18"/>
                <w:szCs w:val="18"/>
              </w:rPr>
              <w:t>139%</w:t>
            </w:r>
          </w:p>
        </w:tc>
      </w:tr>
      <w:tr w:rsidR="00AB3852" w:rsidRPr="0099355B" w14:paraId="1A4DC73B"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254AB25E"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3DA988E7" w14:textId="77777777" w:rsidR="00AB3852" w:rsidRPr="0099355B" w:rsidRDefault="00AB3852" w:rsidP="00AB3852">
            <w:pPr>
              <w:jc w:val="center"/>
              <w:rPr>
                <w:color w:val="000000"/>
                <w:sz w:val="18"/>
                <w:szCs w:val="18"/>
              </w:rPr>
            </w:pPr>
            <w:r w:rsidRPr="0099355B">
              <w:rPr>
                <w:color w:val="000000"/>
                <w:sz w:val="18"/>
                <w:szCs w:val="18"/>
              </w:rPr>
              <w:t>3</w:t>
            </w:r>
          </w:p>
        </w:tc>
        <w:tc>
          <w:tcPr>
            <w:tcW w:w="0" w:type="auto"/>
            <w:tcBorders>
              <w:top w:val="nil"/>
              <w:left w:val="nil"/>
              <w:bottom w:val="nil"/>
              <w:right w:val="nil"/>
            </w:tcBorders>
            <w:shd w:val="clear" w:color="auto" w:fill="auto"/>
            <w:noWrap/>
            <w:vAlign w:val="center"/>
            <w:hideMark/>
          </w:tcPr>
          <w:p w14:paraId="2BF5EE12" w14:textId="77777777" w:rsidR="00AB3852" w:rsidRPr="0099355B" w:rsidRDefault="00AB3852" w:rsidP="00AB3852">
            <w:pPr>
              <w:jc w:val="center"/>
              <w:rPr>
                <w:color w:val="000000"/>
                <w:sz w:val="18"/>
                <w:szCs w:val="18"/>
              </w:rPr>
            </w:pPr>
            <w:r w:rsidRPr="0099355B">
              <w:rPr>
                <w:color w:val="000000"/>
                <w:sz w:val="18"/>
                <w:szCs w:val="18"/>
              </w:rPr>
              <w:t>9.68</w:t>
            </w:r>
          </w:p>
        </w:tc>
        <w:tc>
          <w:tcPr>
            <w:tcW w:w="0" w:type="auto"/>
            <w:tcBorders>
              <w:top w:val="nil"/>
              <w:left w:val="nil"/>
              <w:bottom w:val="nil"/>
              <w:right w:val="nil"/>
            </w:tcBorders>
            <w:shd w:val="clear" w:color="auto" w:fill="auto"/>
            <w:noWrap/>
            <w:vAlign w:val="center"/>
            <w:hideMark/>
          </w:tcPr>
          <w:p w14:paraId="14BAEE73" w14:textId="77777777" w:rsidR="00AB3852" w:rsidRPr="0099355B" w:rsidRDefault="00AB3852" w:rsidP="00AB3852">
            <w:pPr>
              <w:jc w:val="center"/>
              <w:rPr>
                <w:color w:val="000000"/>
                <w:sz w:val="18"/>
                <w:szCs w:val="18"/>
              </w:rPr>
            </w:pPr>
            <w:r w:rsidRPr="0099355B">
              <w:rPr>
                <w:color w:val="000000"/>
                <w:sz w:val="18"/>
                <w:szCs w:val="18"/>
              </w:rPr>
              <w:t>0.985</w:t>
            </w:r>
          </w:p>
        </w:tc>
        <w:tc>
          <w:tcPr>
            <w:tcW w:w="0" w:type="auto"/>
            <w:tcBorders>
              <w:top w:val="nil"/>
              <w:left w:val="nil"/>
              <w:bottom w:val="nil"/>
              <w:right w:val="nil"/>
            </w:tcBorders>
            <w:shd w:val="clear" w:color="auto" w:fill="auto"/>
            <w:noWrap/>
            <w:vAlign w:val="center"/>
            <w:hideMark/>
          </w:tcPr>
          <w:p w14:paraId="625A774F" w14:textId="77777777" w:rsidR="00AB3852" w:rsidRPr="0099355B" w:rsidRDefault="00AB3852" w:rsidP="00AB3852">
            <w:pPr>
              <w:jc w:val="center"/>
              <w:rPr>
                <w:color w:val="000000"/>
                <w:sz w:val="18"/>
                <w:szCs w:val="18"/>
              </w:rPr>
            </w:pPr>
            <w:r w:rsidRPr="0099355B">
              <w:rPr>
                <w:color w:val="000000"/>
                <w:sz w:val="18"/>
                <w:szCs w:val="18"/>
              </w:rPr>
              <w:t>9.82</w:t>
            </w:r>
          </w:p>
        </w:tc>
        <w:tc>
          <w:tcPr>
            <w:tcW w:w="0" w:type="auto"/>
            <w:tcBorders>
              <w:top w:val="nil"/>
              <w:left w:val="nil"/>
              <w:bottom w:val="nil"/>
              <w:right w:val="nil"/>
            </w:tcBorders>
            <w:shd w:val="clear" w:color="auto" w:fill="auto"/>
            <w:noWrap/>
            <w:vAlign w:val="center"/>
            <w:hideMark/>
          </w:tcPr>
          <w:p w14:paraId="43A0011E" w14:textId="77777777" w:rsidR="00AB3852" w:rsidRPr="0099355B" w:rsidRDefault="00AB3852" w:rsidP="00AB3852">
            <w:pPr>
              <w:jc w:val="center"/>
              <w:rPr>
                <w:color w:val="000000"/>
                <w:sz w:val="18"/>
                <w:szCs w:val="18"/>
              </w:rPr>
            </w:pPr>
            <w:r w:rsidRPr="0099355B">
              <w:rPr>
                <w:color w:val="000000"/>
                <w:sz w:val="18"/>
                <w:szCs w:val="18"/>
              </w:rPr>
              <w:t>7.74</w:t>
            </w:r>
          </w:p>
        </w:tc>
        <w:tc>
          <w:tcPr>
            <w:tcW w:w="0" w:type="auto"/>
            <w:tcBorders>
              <w:top w:val="nil"/>
              <w:left w:val="nil"/>
              <w:bottom w:val="nil"/>
              <w:right w:val="nil"/>
            </w:tcBorders>
            <w:shd w:val="clear" w:color="auto" w:fill="auto"/>
            <w:noWrap/>
            <w:vAlign w:val="center"/>
            <w:hideMark/>
          </w:tcPr>
          <w:p w14:paraId="6C57B98E" w14:textId="77777777" w:rsidR="00AB3852" w:rsidRPr="0099355B" w:rsidRDefault="00AB3852" w:rsidP="00AB3852">
            <w:pPr>
              <w:jc w:val="center"/>
              <w:rPr>
                <w:color w:val="000000"/>
                <w:sz w:val="18"/>
                <w:szCs w:val="18"/>
              </w:rPr>
            </w:pPr>
            <w:r w:rsidRPr="0099355B">
              <w:rPr>
                <w:color w:val="000000"/>
                <w:sz w:val="18"/>
                <w:szCs w:val="18"/>
              </w:rPr>
              <w:t>11.62</w:t>
            </w:r>
          </w:p>
        </w:tc>
        <w:tc>
          <w:tcPr>
            <w:tcW w:w="0" w:type="auto"/>
            <w:tcBorders>
              <w:top w:val="nil"/>
              <w:left w:val="nil"/>
              <w:bottom w:val="nil"/>
              <w:right w:val="nil"/>
            </w:tcBorders>
            <w:shd w:val="clear" w:color="auto" w:fill="auto"/>
            <w:noWrap/>
            <w:vAlign w:val="center"/>
            <w:hideMark/>
          </w:tcPr>
          <w:p w14:paraId="7C767EBC" w14:textId="77777777" w:rsidR="00AB3852" w:rsidRPr="0099355B" w:rsidRDefault="00AB3852" w:rsidP="00AB3852">
            <w:pPr>
              <w:jc w:val="center"/>
              <w:rPr>
                <w:color w:val="000000"/>
                <w:sz w:val="18"/>
                <w:szCs w:val="18"/>
              </w:rPr>
            </w:pPr>
            <w:r w:rsidRPr="0099355B">
              <w:rPr>
                <w:color w:val="000000"/>
                <w:sz w:val="18"/>
                <w:szCs w:val="18"/>
              </w:rPr>
              <w:t>155%</w:t>
            </w:r>
          </w:p>
        </w:tc>
        <w:tc>
          <w:tcPr>
            <w:tcW w:w="0" w:type="auto"/>
            <w:tcBorders>
              <w:top w:val="nil"/>
              <w:left w:val="nil"/>
              <w:bottom w:val="nil"/>
              <w:right w:val="nil"/>
            </w:tcBorders>
            <w:shd w:val="clear" w:color="auto" w:fill="auto"/>
            <w:noWrap/>
            <w:vAlign w:val="center"/>
            <w:hideMark/>
          </w:tcPr>
          <w:p w14:paraId="68E8DFC4" w14:textId="77777777" w:rsidR="00AB3852" w:rsidRPr="0099355B" w:rsidRDefault="00AB3852" w:rsidP="00AB3852">
            <w:pPr>
              <w:jc w:val="center"/>
              <w:rPr>
                <w:color w:val="000000"/>
                <w:sz w:val="18"/>
                <w:szCs w:val="18"/>
              </w:rPr>
            </w:pPr>
            <w:r w:rsidRPr="0099355B">
              <w:rPr>
                <w:color w:val="000000"/>
                <w:sz w:val="18"/>
                <w:szCs w:val="18"/>
              </w:rPr>
              <w:t>0.054</w:t>
            </w:r>
          </w:p>
        </w:tc>
        <w:tc>
          <w:tcPr>
            <w:tcW w:w="0" w:type="auto"/>
            <w:tcBorders>
              <w:top w:val="nil"/>
              <w:left w:val="nil"/>
              <w:bottom w:val="nil"/>
              <w:right w:val="nil"/>
            </w:tcBorders>
            <w:shd w:val="clear" w:color="auto" w:fill="auto"/>
            <w:noWrap/>
            <w:vAlign w:val="center"/>
            <w:hideMark/>
          </w:tcPr>
          <w:p w14:paraId="48DD4A94" w14:textId="77777777" w:rsidR="00AB3852" w:rsidRPr="0099355B" w:rsidRDefault="00AB3852" w:rsidP="00AB3852">
            <w:pPr>
              <w:jc w:val="center"/>
              <w:rPr>
                <w:color w:val="000000"/>
                <w:sz w:val="18"/>
                <w:szCs w:val="18"/>
              </w:rPr>
            </w:pPr>
            <w:r w:rsidRPr="0099355B">
              <w:rPr>
                <w:color w:val="000000"/>
                <w:sz w:val="18"/>
                <w:szCs w:val="18"/>
              </w:rPr>
              <w:t>8.13</w:t>
            </w:r>
          </w:p>
        </w:tc>
        <w:tc>
          <w:tcPr>
            <w:tcW w:w="0" w:type="auto"/>
            <w:tcBorders>
              <w:top w:val="nil"/>
              <w:left w:val="nil"/>
              <w:bottom w:val="nil"/>
              <w:right w:val="nil"/>
            </w:tcBorders>
            <w:shd w:val="clear" w:color="auto" w:fill="auto"/>
            <w:noWrap/>
            <w:vAlign w:val="center"/>
            <w:hideMark/>
          </w:tcPr>
          <w:p w14:paraId="6C82EA94" w14:textId="77777777" w:rsidR="00AB3852" w:rsidRPr="0099355B" w:rsidRDefault="00AB3852" w:rsidP="00AB3852">
            <w:pPr>
              <w:jc w:val="center"/>
              <w:rPr>
                <w:color w:val="000000"/>
                <w:sz w:val="18"/>
                <w:szCs w:val="18"/>
              </w:rPr>
            </w:pPr>
            <w:r w:rsidRPr="0099355B">
              <w:rPr>
                <w:color w:val="000000"/>
                <w:sz w:val="18"/>
                <w:szCs w:val="18"/>
              </w:rPr>
              <w:t>139%</w:t>
            </w:r>
          </w:p>
        </w:tc>
        <w:tc>
          <w:tcPr>
            <w:tcW w:w="0" w:type="auto"/>
            <w:tcBorders>
              <w:top w:val="nil"/>
              <w:left w:val="nil"/>
              <w:bottom w:val="nil"/>
              <w:right w:val="nil"/>
            </w:tcBorders>
            <w:shd w:val="clear" w:color="auto" w:fill="auto"/>
            <w:noWrap/>
            <w:vAlign w:val="center"/>
            <w:hideMark/>
          </w:tcPr>
          <w:p w14:paraId="756E0F4C" w14:textId="77777777" w:rsidR="00AB3852" w:rsidRPr="0099355B" w:rsidRDefault="00AB3852" w:rsidP="00AB3852">
            <w:pPr>
              <w:jc w:val="center"/>
              <w:rPr>
                <w:color w:val="000000"/>
                <w:sz w:val="18"/>
                <w:szCs w:val="18"/>
              </w:rPr>
            </w:pPr>
            <w:r w:rsidRPr="0099355B">
              <w:rPr>
                <w:color w:val="000000"/>
                <w:sz w:val="18"/>
                <w:szCs w:val="18"/>
              </w:rPr>
              <w:t>172%</w:t>
            </w:r>
          </w:p>
        </w:tc>
      </w:tr>
      <w:tr w:rsidR="00AB3852" w:rsidRPr="0099355B" w14:paraId="60D83642" w14:textId="77777777" w:rsidTr="00465181">
        <w:trPr>
          <w:trHeight w:val="288"/>
          <w:jc w:val="center"/>
        </w:trPr>
        <w:tc>
          <w:tcPr>
            <w:tcW w:w="0" w:type="auto"/>
            <w:tcBorders>
              <w:top w:val="nil"/>
              <w:left w:val="nil"/>
              <w:bottom w:val="nil"/>
              <w:right w:val="nil"/>
            </w:tcBorders>
            <w:shd w:val="clear" w:color="auto" w:fill="auto"/>
            <w:noWrap/>
            <w:vAlign w:val="center"/>
            <w:hideMark/>
          </w:tcPr>
          <w:p w14:paraId="34E0D636" w14:textId="77777777" w:rsidR="00AB3852" w:rsidRPr="0099355B" w:rsidRDefault="00AB3852" w:rsidP="00AB3852">
            <w:pPr>
              <w:jc w:val="center"/>
              <w:rPr>
                <w:color w:val="000000"/>
                <w:sz w:val="18"/>
                <w:szCs w:val="18"/>
              </w:rPr>
            </w:pPr>
          </w:p>
        </w:tc>
        <w:tc>
          <w:tcPr>
            <w:tcW w:w="0" w:type="auto"/>
            <w:tcBorders>
              <w:top w:val="nil"/>
              <w:left w:val="nil"/>
              <w:bottom w:val="nil"/>
              <w:right w:val="nil"/>
            </w:tcBorders>
            <w:shd w:val="clear" w:color="auto" w:fill="auto"/>
            <w:noWrap/>
            <w:vAlign w:val="center"/>
            <w:hideMark/>
          </w:tcPr>
          <w:p w14:paraId="30869CCD" w14:textId="77777777" w:rsidR="00AB3852" w:rsidRPr="0099355B" w:rsidRDefault="00AB3852" w:rsidP="00AB3852">
            <w:pPr>
              <w:jc w:val="center"/>
              <w:rPr>
                <w:color w:val="000000"/>
                <w:sz w:val="18"/>
                <w:szCs w:val="18"/>
              </w:rPr>
            </w:pPr>
            <w:r w:rsidRPr="0099355B">
              <w:rPr>
                <w:color w:val="000000"/>
                <w:sz w:val="18"/>
                <w:szCs w:val="18"/>
              </w:rPr>
              <w:t>1</w:t>
            </w:r>
          </w:p>
        </w:tc>
        <w:tc>
          <w:tcPr>
            <w:tcW w:w="0" w:type="auto"/>
            <w:tcBorders>
              <w:top w:val="nil"/>
              <w:left w:val="nil"/>
              <w:bottom w:val="nil"/>
              <w:right w:val="nil"/>
            </w:tcBorders>
            <w:shd w:val="clear" w:color="auto" w:fill="auto"/>
            <w:noWrap/>
            <w:vAlign w:val="center"/>
            <w:hideMark/>
          </w:tcPr>
          <w:p w14:paraId="373A2D61" w14:textId="77777777" w:rsidR="00AB3852" w:rsidRPr="0099355B" w:rsidRDefault="00AB3852" w:rsidP="00AB3852">
            <w:pPr>
              <w:jc w:val="center"/>
              <w:rPr>
                <w:color w:val="000000"/>
                <w:sz w:val="18"/>
                <w:szCs w:val="18"/>
              </w:rPr>
            </w:pPr>
            <w:r w:rsidRPr="0099355B">
              <w:rPr>
                <w:color w:val="000000"/>
                <w:sz w:val="18"/>
                <w:szCs w:val="18"/>
              </w:rPr>
              <w:t>4.75</w:t>
            </w:r>
          </w:p>
        </w:tc>
        <w:tc>
          <w:tcPr>
            <w:tcW w:w="0" w:type="auto"/>
            <w:tcBorders>
              <w:top w:val="nil"/>
              <w:left w:val="nil"/>
              <w:bottom w:val="nil"/>
              <w:right w:val="nil"/>
            </w:tcBorders>
            <w:shd w:val="clear" w:color="auto" w:fill="auto"/>
            <w:noWrap/>
            <w:vAlign w:val="center"/>
            <w:hideMark/>
          </w:tcPr>
          <w:p w14:paraId="4DEBB1F6" w14:textId="77777777" w:rsidR="00AB3852" w:rsidRPr="0099355B" w:rsidRDefault="00AB3852" w:rsidP="00AB3852">
            <w:pPr>
              <w:jc w:val="center"/>
              <w:rPr>
                <w:color w:val="000000"/>
                <w:sz w:val="18"/>
                <w:szCs w:val="18"/>
              </w:rPr>
            </w:pPr>
            <w:r w:rsidRPr="0099355B">
              <w:rPr>
                <w:color w:val="000000"/>
                <w:sz w:val="18"/>
                <w:szCs w:val="18"/>
              </w:rPr>
              <w:t>0.579</w:t>
            </w:r>
          </w:p>
        </w:tc>
        <w:tc>
          <w:tcPr>
            <w:tcW w:w="0" w:type="auto"/>
            <w:tcBorders>
              <w:top w:val="nil"/>
              <w:left w:val="nil"/>
              <w:bottom w:val="nil"/>
              <w:right w:val="nil"/>
            </w:tcBorders>
            <w:shd w:val="clear" w:color="auto" w:fill="auto"/>
            <w:noWrap/>
            <w:vAlign w:val="center"/>
            <w:hideMark/>
          </w:tcPr>
          <w:p w14:paraId="66170E65" w14:textId="77777777" w:rsidR="00AB3852" w:rsidRPr="0099355B" w:rsidRDefault="00AB3852" w:rsidP="00AB3852">
            <w:pPr>
              <w:jc w:val="center"/>
              <w:rPr>
                <w:color w:val="000000"/>
                <w:sz w:val="18"/>
                <w:szCs w:val="18"/>
              </w:rPr>
            </w:pPr>
            <w:r w:rsidRPr="0099355B">
              <w:rPr>
                <w:color w:val="000000"/>
                <w:sz w:val="18"/>
                <w:szCs w:val="18"/>
              </w:rPr>
              <w:t>8.20</w:t>
            </w:r>
          </w:p>
        </w:tc>
        <w:tc>
          <w:tcPr>
            <w:tcW w:w="0" w:type="auto"/>
            <w:tcBorders>
              <w:top w:val="nil"/>
              <w:left w:val="nil"/>
              <w:bottom w:val="nil"/>
              <w:right w:val="nil"/>
            </w:tcBorders>
            <w:shd w:val="clear" w:color="auto" w:fill="auto"/>
            <w:noWrap/>
            <w:vAlign w:val="center"/>
            <w:hideMark/>
          </w:tcPr>
          <w:p w14:paraId="1D902557" w14:textId="77777777" w:rsidR="00AB3852" w:rsidRPr="0099355B" w:rsidRDefault="00AB3852" w:rsidP="00AB3852">
            <w:pPr>
              <w:jc w:val="center"/>
              <w:rPr>
                <w:color w:val="000000"/>
                <w:sz w:val="18"/>
                <w:szCs w:val="18"/>
              </w:rPr>
            </w:pPr>
            <w:r w:rsidRPr="0099355B">
              <w:rPr>
                <w:color w:val="000000"/>
                <w:sz w:val="18"/>
                <w:szCs w:val="18"/>
              </w:rPr>
              <w:t>3.61</w:t>
            </w:r>
          </w:p>
        </w:tc>
        <w:tc>
          <w:tcPr>
            <w:tcW w:w="0" w:type="auto"/>
            <w:tcBorders>
              <w:top w:val="nil"/>
              <w:left w:val="nil"/>
              <w:bottom w:val="nil"/>
              <w:right w:val="nil"/>
            </w:tcBorders>
            <w:shd w:val="clear" w:color="auto" w:fill="auto"/>
            <w:noWrap/>
            <w:vAlign w:val="center"/>
            <w:hideMark/>
          </w:tcPr>
          <w:p w14:paraId="3DF53C9E" w14:textId="77777777" w:rsidR="00AB3852" w:rsidRPr="0099355B" w:rsidRDefault="00AB3852" w:rsidP="00AB3852">
            <w:pPr>
              <w:jc w:val="center"/>
              <w:rPr>
                <w:color w:val="000000"/>
                <w:sz w:val="18"/>
                <w:szCs w:val="18"/>
              </w:rPr>
            </w:pPr>
            <w:r w:rsidRPr="0099355B">
              <w:rPr>
                <w:color w:val="000000"/>
                <w:sz w:val="18"/>
                <w:szCs w:val="18"/>
              </w:rPr>
              <w:t>5.89</w:t>
            </w:r>
          </w:p>
        </w:tc>
        <w:tc>
          <w:tcPr>
            <w:tcW w:w="0" w:type="auto"/>
            <w:tcBorders>
              <w:top w:val="nil"/>
              <w:left w:val="nil"/>
              <w:bottom w:val="nil"/>
              <w:right w:val="nil"/>
            </w:tcBorders>
            <w:shd w:val="clear" w:color="auto" w:fill="auto"/>
            <w:noWrap/>
            <w:vAlign w:val="center"/>
            <w:hideMark/>
          </w:tcPr>
          <w:p w14:paraId="04235437" w14:textId="77777777" w:rsidR="00AB3852" w:rsidRPr="0099355B" w:rsidRDefault="00AB3852" w:rsidP="00AB3852">
            <w:pPr>
              <w:jc w:val="center"/>
              <w:rPr>
                <w:color w:val="000000"/>
                <w:sz w:val="18"/>
                <w:szCs w:val="18"/>
              </w:rPr>
            </w:pPr>
            <w:r w:rsidRPr="0099355B">
              <w:rPr>
                <w:color w:val="000000"/>
                <w:sz w:val="18"/>
                <w:szCs w:val="18"/>
              </w:rPr>
              <w:t>125%</w:t>
            </w:r>
          </w:p>
        </w:tc>
        <w:tc>
          <w:tcPr>
            <w:tcW w:w="0" w:type="auto"/>
            <w:tcBorders>
              <w:top w:val="nil"/>
              <w:left w:val="nil"/>
              <w:bottom w:val="nil"/>
              <w:right w:val="nil"/>
            </w:tcBorders>
            <w:shd w:val="clear" w:color="auto" w:fill="auto"/>
            <w:noWrap/>
            <w:vAlign w:val="center"/>
            <w:hideMark/>
          </w:tcPr>
          <w:p w14:paraId="5A627B26" w14:textId="77777777" w:rsidR="00AB3852" w:rsidRPr="0099355B" w:rsidRDefault="00AB3852" w:rsidP="00AB3852">
            <w:pPr>
              <w:jc w:val="center"/>
              <w:rPr>
                <w:color w:val="000000"/>
                <w:sz w:val="18"/>
                <w:szCs w:val="18"/>
              </w:rPr>
            </w:pPr>
            <w:r w:rsidRPr="0099355B">
              <w:rPr>
                <w:color w:val="000000"/>
                <w:sz w:val="18"/>
                <w:szCs w:val="18"/>
              </w:rPr>
              <w:t>0.032</w:t>
            </w:r>
          </w:p>
        </w:tc>
        <w:tc>
          <w:tcPr>
            <w:tcW w:w="0" w:type="auto"/>
            <w:tcBorders>
              <w:top w:val="nil"/>
              <w:left w:val="nil"/>
              <w:bottom w:val="nil"/>
              <w:right w:val="nil"/>
            </w:tcBorders>
            <w:shd w:val="clear" w:color="auto" w:fill="auto"/>
            <w:noWrap/>
            <w:vAlign w:val="center"/>
            <w:hideMark/>
          </w:tcPr>
          <w:p w14:paraId="0F1B515A" w14:textId="77777777" w:rsidR="00AB3852" w:rsidRPr="0099355B" w:rsidRDefault="00AB3852" w:rsidP="00AB3852">
            <w:pPr>
              <w:jc w:val="center"/>
              <w:rPr>
                <w:color w:val="000000"/>
                <w:sz w:val="18"/>
                <w:szCs w:val="18"/>
              </w:rPr>
            </w:pPr>
            <w:r w:rsidRPr="0099355B">
              <w:rPr>
                <w:color w:val="000000"/>
                <w:sz w:val="18"/>
                <w:szCs w:val="18"/>
              </w:rPr>
              <w:t>7.11</w:t>
            </w:r>
          </w:p>
        </w:tc>
        <w:tc>
          <w:tcPr>
            <w:tcW w:w="0" w:type="auto"/>
            <w:tcBorders>
              <w:top w:val="nil"/>
              <w:left w:val="nil"/>
              <w:bottom w:val="nil"/>
              <w:right w:val="nil"/>
            </w:tcBorders>
            <w:shd w:val="clear" w:color="auto" w:fill="auto"/>
            <w:noWrap/>
            <w:vAlign w:val="center"/>
            <w:hideMark/>
          </w:tcPr>
          <w:p w14:paraId="260C966E" w14:textId="77777777" w:rsidR="00AB3852" w:rsidRPr="0099355B" w:rsidRDefault="00AB3852" w:rsidP="00AB3852">
            <w:pPr>
              <w:jc w:val="center"/>
              <w:rPr>
                <w:color w:val="000000"/>
                <w:sz w:val="18"/>
                <w:szCs w:val="18"/>
              </w:rPr>
            </w:pPr>
            <w:r w:rsidRPr="0099355B">
              <w:rPr>
                <w:color w:val="000000"/>
                <w:sz w:val="18"/>
                <w:szCs w:val="18"/>
              </w:rPr>
              <w:t>118%</w:t>
            </w:r>
          </w:p>
        </w:tc>
        <w:tc>
          <w:tcPr>
            <w:tcW w:w="0" w:type="auto"/>
            <w:tcBorders>
              <w:top w:val="nil"/>
              <w:left w:val="nil"/>
              <w:bottom w:val="nil"/>
              <w:right w:val="nil"/>
            </w:tcBorders>
            <w:shd w:val="clear" w:color="auto" w:fill="auto"/>
            <w:noWrap/>
            <w:vAlign w:val="center"/>
            <w:hideMark/>
          </w:tcPr>
          <w:p w14:paraId="4BF3BE4C" w14:textId="77777777" w:rsidR="00AB3852" w:rsidRPr="0099355B" w:rsidRDefault="00AB3852" w:rsidP="00AB3852">
            <w:pPr>
              <w:jc w:val="center"/>
              <w:rPr>
                <w:color w:val="000000"/>
                <w:sz w:val="18"/>
                <w:szCs w:val="18"/>
              </w:rPr>
            </w:pPr>
            <w:r w:rsidRPr="0099355B">
              <w:rPr>
                <w:color w:val="000000"/>
                <w:sz w:val="18"/>
                <w:szCs w:val="18"/>
              </w:rPr>
              <w:t>133%</w:t>
            </w:r>
          </w:p>
        </w:tc>
      </w:tr>
      <w:tr w:rsidR="00AB3852" w:rsidRPr="0099355B" w14:paraId="63DE5C88" w14:textId="77777777" w:rsidTr="00465181">
        <w:trPr>
          <w:trHeight w:val="288"/>
          <w:jc w:val="center"/>
        </w:trPr>
        <w:tc>
          <w:tcPr>
            <w:tcW w:w="0" w:type="auto"/>
            <w:tcBorders>
              <w:top w:val="nil"/>
              <w:left w:val="nil"/>
              <w:right w:val="nil"/>
            </w:tcBorders>
            <w:shd w:val="clear" w:color="auto" w:fill="auto"/>
            <w:noWrap/>
            <w:vAlign w:val="center"/>
            <w:hideMark/>
          </w:tcPr>
          <w:p w14:paraId="61A67B35" w14:textId="77777777" w:rsidR="00AB3852" w:rsidRPr="0099355B" w:rsidRDefault="00AB3852" w:rsidP="00AB3852">
            <w:pPr>
              <w:jc w:val="center"/>
              <w:rPr>
                <w:color w:val="000000"/>
                <w:sz w:val="18"/>
                <w:szCs w:val="18"/>
              </w:rPr>
            </w:pPr>
            <w:r w:rsidRPr="0099355B">
              <w:rPr>
                <w:color w:val="000000"/>
                <w:sz w:val="18"/>
                <w:szCs w:val="18"/>
              </w:rPr>
              <w:t>item 9</w:t>
            </w:r>
          </w:p>
        </w:tc>
        <w:tc>
          <w:tcPr>
            <w:tcW w:w="0" w:type="auto"/>
            <w:tcBorders>
              <w:top w:val="nil"/>
              <w:left w:val="nil"/>
              <w:right w:val="nil"/>
            </w:tcBorders>
            <w:shd w:val="clear" w:color="auto" w:fill="auto"/>
            <w:noWrap/>
            <w:vAlign w:val="center"/>
            <w:hideMark/>
          </w:tcPr>
          <w:p w14:paraId="4AD19C69" w14:textId="77777777" w:rsidR="00AB3852" w:rsidRPr="0099355B" w:rsidRDefault="00AB3852" w:rsidP="00AB3852">
            <w:pPr>
              <w:jc w:val="center"/>
              <w:rPr>
                <w:color w:val="000000"/>
                <w:sz w:val="18"/>
                <w:szCs w:val="18"/>
              </w:rPr>
            </w:pPr>
            <w:r w:rsidRPr="0099355B">
              <w:rPr>
                <w:color w:val="000000"/>
                <w:sz w:val="18"/>
                <w:szCs w:val="18"/>
              </w:rPr>
              <w:t>2</w:t>
            </w:r>
          </w:p>
        </w:tc>
        <w:tc>
          <w:tcPr>
            <w:tcW w:w="0" w:type="auto"/>
            <w:tcBorders>
              <w:top w:val="nil"/>
              <w:left w:val="nil"/>
              <w:right w:val="nil"/>
            </w:tcBorders>
            <w:shd w:val="clear" w:color="auto" w:fill="auto"/>
            <w:noWrap/>
            <w:vAlign w:val="center"/>
            <w:hideMark/>
          </w:tcPr>
          <w:p w14:paraId="666A4128" w14:textId="77777777" w:rsidR="00AB3852" w:rsidRPr="0099355B" w:rsidRDefault="00AB3852" w:rsidP="00AB3852">
            <w:pPr>
              <w:jc w:val="center"/>
              <w:rPr>
                <w:color w:val="000000"/>
                <w:sz w:val="18"/>
                <w:szCs w:val="18"/>
              </w:rPr>
            </w:pPr>
            <w:r w:rsidRPr="0099355B">
              <w:rPr>
                <w:color w:val="000000"/>
                <w:sz w:val="18"/>
                <w:szCs w:val="18"/>
              </w:rPr>
              <w:t>7.68</w:t>
            </w:r>
          </w:p>
        </w:tc>
        <w:tc>
          <w:tcPr>
            <w:tcW w:w="0" w:type="auto"/>
            <w:tcBorders>
              <w:top w:val="nil"/>
              <w:left w:val="nil"/>
              <w:right w:val="nil"/>
            </w:tcBorders>
            <w:shd w:val="clear" w:color="auto" w:fill="auto"/>
            <w:noWrap/>
            <w:vAlign w:val="center"/>
            <w:hideMark/>
          </w:tcPr>
          <w:p w14:paraId="155293A5" w14:textId="77777777" w:rsidR="00AB3852" w:rsidRPr="0099355B" w:rsidRDefault="00AB3852" w:rsidP="00AB3852">
            <w:pPr>
              <w:jc w:val="center"/>
              <w:rPr>
                <w:color w:val="000000"/>
                <w:sz w:val="18"/>
                <w:szCs w:val="18"/>
              </w:rPr>
            </w:pPr>
            <w:r w:rsidRPr="0099355B">
              <w:rPr>
                <w:color w:val="000000"/>
                <w:sz w:val="18"/>
                <w:szCs w:val="18"/>
              </w:rPr>
              <w:t>1.110</w:t>
            </w:r>
          </w:p>
        </w:tc>
        <w:tc>
          <w:tcPr>
            <w:tcW w:w="0" w:type="auto"/>
            <w:tcBorders>
              <w:top w:val="nil"/>
              <w:left w:val="nil"/>
              <w:right w:val="nil"/>
            </w:tcBorders>
            <w:shd w:val="clear" w:color="auto" w:fill="auto"/>
            <w:noWrap/>
            <w:vAlign w:val="center"/>
            <w:hideMark/>
          </w:tcPr>
          <w:p w14:paraId="1BF6DAF0" w14:textId="77777777" w:rsidR="00AB3852" w:rsidRPr="0099355B" w:rsidRDefault="00AB3852" w:rsidP="00AB3852">
            <w:pPr>
              <w:jc w:val="center"/>
              <w:rPr>
                <w:color w:val="000000"/>
                <w:sz w:val="18"/>
                <w:szCs w:val="18"/>
              </w:rPr>
            </w:pPr>
            <w:r w:rsidRPr="0099355B">
              <w:rPr>
                <w:color w:val="000000"/>
                <w:sz w:val="18"/>
                <w:szCs w:val="18"/>
              </w:rPr>
              <w:t>6.92</w:t>
            </w:r>
          </w:p>
        </w:tc>
        <w:tc>
          <w:tcPr>
            <w:tcW w:w="0" w:type="auto"/>
            <w:tcBorders>
              <w:top w:val="nil"/>
              <w:left w:val="nil"/>
              <w:right w:val="nil"/>
            </w:tcBorders>
            <w:shd w:val="clear" w:color="auto" w:fill="auto"/>
            <w:noWrap/>
            <w:vAlign w:val="center"/>
            <w:hideMark/>
          </w:tcPr>
          <w:p w14:paraId="6839F34A" w14:textId="77777777" w:rsidR="00AB3852" w:rsidRPr="0099355B" w:rsidRDefault="00AB3852" w:rsidP="00AB3852">
            <w:pPr>
              <w:jc w:val="center"/>
              <w:rPr>
                <w:color w:val="000000"/>
                <w:sz w:val="18"/>
                <w:szCs w:val="18"/>
              </w:rPr>
            </w:pPr>
            <w:r w:rsidRPr="0099355B">
              <w:rPr>
                <w:color w:val="000000"/>
                <w:sz w:val="18"/>
                <w:szCs w:val="18"/>
              </w:rPr>
              <w:t>5.50</w:t>
            </w:r>
          </w:p>
        </w:tc>
        <w:tc>
          <w:tcPr>
            <w:tcW w:w="0" w:type="auto"/>
            <w:tcBorders>
              <w:top w:val="nil"/>
              <w:left w:val="nil"/>
              <w:right w:val="nil"/>
            </w:tcBorders>
            <w:shd w:val="clear" w:color="auto" w:fill="auto"/>
            <w:noWrap/>
            <w:vAlign w:val="center"/>
            <w:hideMark/>
          </w:tcPr>
          <w:p w14:paraId="12375060" w14:textId="77777777" w:rsidR="00AB3852" w:rsidRPr="0099355B" w:rsidRDefault="00AB3852" w:rsidP="00AB3852">
            <w:pPr>
              <w:jc w:val="center"/>
              <w:rPr>
                <w:color w:val="000000"/>
                <w:sz w:val="18"/>
                <w:szCs w:val="18"/>
              </w:rPr>
            </w:pPr>
            <w:r w:rsidRPr="0099355B">
              <w:rPr>
                <w:color w:val="000000"/>
                <w:sz w:val="18"/>
                <w:szCs w:val="18"/>
              </w:rPr>
              <w:t>9.87</w:t>
            </w:r>
          </w:p>
        </w:tc>
        <w:tc>
          <w:tcPr>
            <w:tcW w:w="0" w:type="auto"/>
            <w:tcBorders>
              <w:top w:val="nil"/>
              <w:left w:val="nil"/>
              <w:right w:val="nil"/>
            </w:tcBorders>
            <w:shd w:val="clear" w:color="auto" w:fill="auto"/>
            <w:noWrap/>
            <w:vAlign w:val="center"/>
            <w:hideMark/>
          </w:tcPr>
          <w:p w14:paraId="6F133B54" w14:textId="77777777" w:rsidR="00AB3852" w:rsidRPr="0099355B" w:rsidRDefault="00AB3852" w:rsidP="00AB3852">
            <w:pPr>
              <w:jc w:val="center"/>
              <w:rPr>
                <w:color w:val="000000"/>
                <w:sz w:val="18"/>
                <w:szCs w:val="18"/>
              </w:rPr>
            </w:pPr>
            <w:r w:rsidRPr="0099355B">
              <w:rPr>
                <w:color w:val="000000"/>
                <w:sz w:val="18"/>
                <w:szCs w:val="18"/>
              </w:rPr>
              <w:t>143%</w:t>
            </w:r>
          </w:p>
        </w:tc>
        <w:tc>
          <w:tcPr>
            <w:tcW w:w="0" w:type="auto"/>
            <w:tcBorders>
              <w:top w:val="nil"/>
              <w:left w:val="nil"/>
              <w:right w:val="nil"/>
            </w:tcBorders>
            <w:shd w:val="clear" w:color="auto" w:fill="auto"/>
            <w:noWrap/>
            <w:vAlign w:val="center"/>
            <w:hideMark/>
          </w:tcPr>
          <w:p w14:paraId="4FD7F828" w14:textId="77777777" w:rsidR="00AB3852" w:rsidRPr="0099355B" w:rsidRDefault="00AB3852" w:rsidP="00AB3852">
            <w:pPr>
              <w:jc w:val="center"/>
              <w:rPr>
                <w:color w:val="000000"/>
                <w:sz w:val="18"/>
                <w:szCs w:val="18"/>
              </w:rPr>
            </w:pPr>
            <w:r w:rsidRPr="0099355B">
              <w:rPr>
                <w:color w:val="000000"/>
                <w:sz w:val="18"/>
                <w:szCs w:val="18"/>
              </w:rPr>
              <w:t>0.060</w:t>
            </w:r>
          </w:p>
        </w:tc>
        <w:tc>
          <w:tcPr>
            <w:tcW w:w="0" w:type="auto"/>
            <w:tcBorders>
              <w:top w:val="nil"/>
              <w:left w:val="nil"/>
              <w:right w:val="nil"/>
            </w:tcBorders>
            <w:shd w:val="clear" w:color="auto" w:fill="auto"/>
            <w:noWrap/>
            <w:vAlign w:val="center"/>
            <w:hideMark/>
          </w:tcPr>
          <w:p w14:paraId="2B57ED13" w14:textId="77777777" w:rsidR="00AB3852" w:rsidRPr="0099355B" w:rsidRDefault="00AB3852" w:rsidP="00AB3852">
            <w:pPr>
              <w:jc w:val="center"/>
              <w:rPr>
                <w:color w:val="000000"/>
                <w:sz w:val="18"/>
                <w:szCs w:val="18"/>
              </w:rPr>
            </w:pPr>
            <w:r w:rsidRPr="0099355B">
              <w:rPr>
                <w:color w:val="000000"/>
                <w:sz w:val="18"/>
                <w:szCs w:val="18"/>
              </w:rPr>
              <w:t>6.02</w:t>
            </w:r>
          </w:p>
        </w:tc>
        <w:tc>
          <w:tcPr>
            <w:tcW w:w="0" w:type="auto"/>
            <w:tcBorders>
              <w:top w:val="nil"/>
              <w:left w:val="nil"/>
              <w:right w:val="nil"/>
            </w:tcBorders>
            <w:shd w:val="clear" w:color="auto" w:fill="auto"/>
            <w:noWrap/>
            <w:vAlign w:val="center"/>
            <w:hideMark/>
          </w:tcPr>
          <w:p w14:paraId="672EC3DF" w14:textId="77777777" w:rsidR="00AB3852" w:rsidRPr="0099355B" w:rsidRDefault="00AB3852" w:rsidP="00AB3852">
            <w:pPr>
              <w:jc w:val="center"/>
              <w:rPr>
                <w:color w:val="000000"/>
                <w:sz w:val="18"/>
                <w:szCs w:val="18"/>
              </w:rPr>
            </w:pPr>
            <w:r w:rsidRPr="0099355B">
              <w:rPr>
                <w:color w:val="000000"/>
                <w:sz w:val="18"/>
                <w:szCs w:val="18"/>
              </w:rPr>
              <w:t>127%</w:t>
            </w:r>
          </w:p>
        </w:tc>
        <w:tc>
          <w:tcPr>
            <w:tcW w:w="0" w:type="auto"/>
            <w:tcBorders>
              <w:top w:val="nil"/>
              <w:left w:val="nil"/>
              <w:right w:val="nil"/>
            </w:tcBorders>
            <w:shd w:val="clear" w:color="auto" w:fill="auto"/>
            <w:noWrap/>
            <w:vAlign w:val="center"/>
            <w:hideMark/>
          </w:tcPr>
          <w:p w14:paraId="081D3747" w14:textId="77777777" w:rsidR="00AB3852" w:rsidRPr="0099355B" w:rsidRDefault="00AB3852" w:rsidP="00AB3852">
            <w:pPr>
              <w:jc w:val="center"/>
              <w:rPr>
                <w:color w:val="000000"/>
                <w:sz w:val="18"/>
                <w:szCs w:val="18"/>
              </w:rPr>
            </w:pPr>
            <w:r w:rsidRPr="0099355B">
              <w:rPr>
                <w:color w:val="000000"/>
                <w:sz w:val="18"/>
                <w:szCs w:val="18"/>
              </w:rPr>
              <w:t>161%</w:t>
            </w:r>
          </w:p>
        </w:tc>
      </w:tr>
      <w:tr w:rsidR="00AB3852" w:rsidRPr="0099355B" w14:paraId="5D00135E" w14:textId="77777777" w:rsidTr="00465181">
        <w:trPr>
          <w:trHeight w:val="288"/>
          <w:jc w:val="center"/>
        </w:trPr>
        <w:tc>
          <w:tcPr>
            <w:tcW w:w="0" w:type="auto"/>
            <w:tcBorders>
              <w:top w:val="nil"/>
              <w:left w:val="nil"/>
              <w:bottom w:val="single" w:sz="4" w:space="0" w:color="auto"/>
              <w:right w:val="nil"/>
            </w:tcBorders>
            <w:shd w:val="clear" w:color="auto" w:fill="auto"/>
            <w:noWrap/>
            <w:vAlign w:val="center"/>
            <w:hideMark/>
          </w:tcPr>
          <w:p w14:paraId="6490C105" w14:textId="77777777" w:rsidR="00AB3852" w:rsidRPr="0099355B" w:rsidRDefault="00AB3852" w:rsidP="00AB3852">
            <w:pPr>
              <w:jc w:val="center"/>
              <w:rPr>
                <w:color w:val="000000"/>
                <w:sz w:val="18"/>
                <w:szCs w:val="18"/>
              </w:rPr>
            </w:pPr>
          </w:p>
        </w:tc>
        <w:tc>
          <w:tcPr>
            <w:tcW w:w="0" w:type="auto"/>
            <w:tcBorders>
              <w:top w:val="nil"/>
              <w:left w:val="nil"/>
              <w:bottom w:val="single" w:sz="4" w:space="0" w:color="auto"/>
              <w:right w:val="nil"/>
            </w:tcBorders>
            <w:shd w:val="clear" w:color="auto" w:fill="auto"/>
            <w:noWrap/>
            <w:vAlign w:val="center"/>
            <w:hideMark/>
          </w:tcPr>
          <w:p w14:paraId="2049C113" w14:textId="77777777" w:rsidR="00AB3852" w:rsidRPr="0099355B" w:rsidRDefault="00AB3852" w:rsidP="00AB3852">
            <w:pPr>
              <w:jc w:val="center"/>
              <w:rPr>
                <w:color w:val="000000"/>
                <w:sz w:val="18"/>
                <w:szCs w:val="18"/>
              </w:rPr>
            </w:pPr>
            <w:r w:rsidRPr="0099355B">
              <w:rPr>
                <w:color w:val="000000"/>
                <w:sz w:val="18"/>
                <w:szCs w:val="18"/>
              </w:rPr>
              <w:t>3</w:t>
            </w:r>
          </w:p>
        </w:tc>
        <w:tc>
          <w:tcPr>
            <w:tcW w:w="0" w:type="auto"/>
            <w:tcBorders>
              <w:top w:val="nil"/>
              <w:left w:val="nil"/>
              <w:bottom w:val="single" w:sz="4" w:space="0" w:color="auto"/>
              <w:right w:val="nil"/>
            </w:tcBorders>
            <w:shd w:val="clear" w:color="auto" w:fill="auto"/>
            <w:noWrap/>
            <w:vAlign w:val="center"/>
            <w:hideMark/>
          </w:tcPr>
          <w:p w14:paraId="4880AABA" w14:textId="77777777" w:rsidR="00AB3852" w:rsidRPr="0099355B" w:rsidRDefault="00AB3852" w:rsidP="00AB3852">
            <w:pPr>
              <w:jc w:val="center"/>
              <w:rPr>
                <w:color w:val="000000"/>
                <w:sz w:val="18"/>
                <w:szCs w:val="18"/>
              </w:rPr>
            </w:pPr>
            <w:r w:rsidRPr="0099355B">
              <w:rPr>
                <w:color w:val="000000"/>
                <w:sz w:val="18"/>
                <w:szCs w:val="18"/>
              </w:rPr>
              <w:t>7.03</w:t>
            </w:r>
          </w:p>
        </w:tc>
        <w:tc>
          <w:tcPr>
            <w:tcW w:w="0" w:type="auto"/>
            <w:tcBorders>
              <w:top w:val="nil"/>
              <w:left w:val="nil"/>
              <w:bottom w:val="single" w:sz="4" w:space="0" w:color="auto"/>
              <w:right w:val="nil"/>
            </w:tcBorders>
            <w:shd w:val="clear" w:color="auto" w:fill="auto"/>
            <w:noWrap/>
            <w:vAlign w:val="center"/>
            <w:hideMark/>
          </w:tcPr>
          <w:p w14:paraId="0B227D96" w14:textId="77777777" w:rsidR="00AB3852" w:rsidRPr="0099355B" w:rsidRDefault="00AB3852" w:rsidP="00AB3852">
            <w:pPr>
              <w:jc w:val="center"/>
              <w:rPr>
                <w:color w:val="000000"/>
                <w:sz w:val="18"/>
                <w:szCs w:val="18"/>
              </w:rPr>
            </w:pPr>
            <w:r w:rsidRPr="0099355B">
              <w:rPr>
                <w:color w:val="000000"/>
                <w:sz w:val="18"/>
                <w:szCs w:val="18"/>
              </w:rPr>
              <w:t>1.615</w:t>
            </w:r>
          </w:p>
        </w:tc>
        <w:tc>
          <w:tcPr>
            <w:tcW w:w="0" w:type="auto"/>
            <w:tcBorders>
              <w:top w:val="nil"/>
              <w:left w:val="nil"/>
              <w:bottom w:val="single" w:sz="4" w:space="0" w:color="auto"/>
              <w:right w:val="nil"/>
            </w:tcBorders>
            <w:shd w:val="clear" w:color="auto" w:fill="auto"/>
            <w:noWrap/>
            <w:vAlign w:val="center"/>
            <w:hideMark/>
          </w:tcPr>
          <w:p w14:paraId="45389911" w14:textId="77777777" w:rsidR="00AB3852" w:rsidRPr="0099355B" w:rsidRDefault="00AB3852" w:rsidP="00AB3852">
            <w:pPr>
              <w:jc w:val="center"/>
              <w:rPr>
                <w:color w:val="000000"/>
                <w:sz w:val="18"/>
                <w:szCs w:val="18"/>
              </w:rPr>
            </w:pPr>
            <w:r w:rsidRPr="0099355B">
              <w:rPr>
                <w:color w:val="000000"/>
                <w:sz w:val="18"/>
                <w:szCs w:val="18"/>
              </w:rPr>
              <w:t>4.35</w:t>
            </w:r>
          </w:p>
        </w:tc>
        <w:tc>
          <w:tcPr>
            <w:tcW w:w="0" w:type="auto"/>
            <w:tcBorders>
              <w:top w:val="nil"/>
              <w:left w:val="nil"/>
              <w:bottom w:val="single" w:sz="4" w:space="0" w:color="auto"/>
              <w:right w:val="nil"/>
            </w:tcBorders>
            <w:shd w:val="clear" w:color="auto" w:fill="auto"/>
            <w:noWrap/>
            <w:vAlign w:val="center"/>
            <w:hideMark/>
          </w:tcPr>
          <w:p w14:paraId="2754F625" w14:textId="77777777" w:rsidR="00AB3852" w:rsidRPr="0099355B" w:rsidRDefault="00AB3852" w:rsidP="00AB3852">
            <w:pPr>
              <w:jc w:val="center"/>
              <w:rPr>
                <w:color w:val="000000"/>
                <w:sz w:val="18"/>
                <w:szCs w:val="18"/>
              </w:rPr>
            </w:pPr>
            <w:r w:rsidRPr="0099355B">
              <w:rPr>
                <w:color w:val="000000"/>
                <w:sz w:val="18"/>
                <w:szCs w:val="18"/>
              </w:rPr>
              <w:t>3.85</w:t>
            </w:r>
          </w:p>
        </w:tc>
        <w:tc>
          <w:tcPr>
            <w:tcW w:w="0" w:type="auto"/>
            <w:tcBorders>
              <w:top w:val="nil"/>
              <w:left w:val="nil"/>
              <w:bottom w:val="single" w:sz="4" w:space="0" w:color="auto"/>
              <w:right w:val="nil"/>
            </w:tcBorders>
            <w:shd w:val="clear" w:color="auto" w:fill="auto"/>
            <w:noWrap/>
            <w:vAlign w:val="center"/>
            <w:hideMark/>
          </w:tcPr>
          <w:p w14:paraId="0173C289" w14:textId="77777777" w:rsidR="00AB3852" w:rsidRPr="0099355B" w:rsidRDefault="00AB3852" w:rsidP="00AB3852">
            <w:pPr>
              <w:jc w:val="center"/>
              <w:rPr>
                <w:color w:val="000000"/>
                <w:sz w:val="18"/>
                <w:szCs w:val="18"/>
              </w:rPr>
            </w:pPr>
            <w:r w:rsidRPr="0099355B">
              <w:rPr>
                <w:color w:val="000000"/>
                <w:sz w:val="18"/>
                <w:szCs w:val="18"/>
              </w:rPr>
              <w:t>10.21</w:t>
            </w:r>
          </w:p>
        </w:tc>
        <w:tc>
          <w:tcPr>
            <w:tcW w:w="0" w:type="auto"/>
            <w:tcBorders>
              <w:top w:val="nil"/>
              <w:left w:val="nil"/>
              <w:bottom w:val="single" w:sz="4" w:space="0" w:color="auto"/>
              <w:right w:val="nil"/>
            </w:tcBorders>
            <w:shd w:val="clear" w:color="auto" w:fill="auto"/>
            <w:noWrap/>
            <w:vAlign w:val="center"/>
            <w:hideMark/>
          </w:tcPr>
          <w:p w14:paraId="50FAB41F" w14:textId="77777777" w:rsidR="00AB3852" w:rsidRPr="0099355B" w:rsidRDefault="00AB3852" w:rsidP="00AB3852">
            <w:pPr>
              <w:jc w:val="center"/>
              <w:rPr>
                <w:color w:val="000000"/>
                <w:sz w:val="18"/>
                <w:szCs w:val="18"/>
              </w:rPr>
            </w:pPr>
            <w:r w:rsidRPr="0099355B">
              <w:rPr>
                <w:color w:val="000000"/>
                <w:sz w:val="18"/>
                <w:szCs w:val="18"/>
              </w:rPr>
              <w:t>135%</w:t>
            </w:r>
          </w:p>
        </w:tc>
        <w:tc>
          <w:tcPr>
            <w:tcW w:w="0" w:type="auto"/>
            <w:tcBorders>
              <w:top w:val="nil"/>
              <w:left w:val="nil"/>
              <w:bottom w:val="single" w:sz="4" w:space="0" w:color="auto"/>
              <w:right w:val="nil"/>
            </w:tcBorders>
            <w:shd w:val="clear" w:color="auto" w:fill="auto"/>
            <w:noWrap/>
            <w:vAlign w:val="center"/>
            <w:hideMark/>
          </w:tcPr>
          <w:p w14:paraId="3CDCE580" w14:textId="77777777" w:rsidR="00AB3852" w:rsidRPr="0099355B" w:rsidRDefault="00AB3852" w:rsidP="00AB3852">
            <w:pPr>
              <w:jc w:val="center"/>
              <w:rPr>
                <w:color w:val="000000"/>
                <w:sz w:val="18"/>
                <w:szCs w:val="18"/>
              </w:rPr>
            </w:pPr>
            <w:r w:rsidRPr="0099355B">
              <w:rPr>
                <w:color w:val="000000"/>
                <w:sz w:val="18"/>
                <w:szCs w:val="18"/>
              </w:rPr>
              <w:t>0.090</w:t>
            </w:r>
          </w:p>
        </w:tc>
        <w:tc>
          <w:tcPr>
            <w:tcW w:w="0" w:type="auto"/>
            <w:tcBorders>
              <w:top w:val="nil"/>
              <w:left w:val="nil"/>
              <w:bottom w:val="single" w:sz="4" w:space="0" w:color="auto"/>
              <w:right w:val="nil"/>
            </w:tcBorders>
            <w:shd w:val="clear" w:color="auto" w:fill="auto"/>
            <w:noWrap/>
            <w:vAlign w:val="center"/>
            <w:hideMark/>
          </w:tcPr>
          <w:p w14:paraId="015D3572" w14:textId="77777777" w:rsidR="00AB3852" w:rsidRPr="0099355B" w:rsidRDefault="00AB3852" w:rsidP="00AB3852">
            <w:pPr>
              <w:jc w:val="center"/>
              <w:rPr>
                <w:color w:val="000000"/>
                <w:sz w:val="18"/>
                <w:szCs w:val="18"/>
              </w:rPr>
            </w:pPr>
            <w:r w:rsidRPr="0099355B">
              <w:rPr>
                <w:color w:val="000000"/>
                <w:sz w:val="18"/>
                <w:szCs w:val="18"/>
              </w:rPr>
              <w:t>3.37</w:t>
            </w:r>
          </w:p>
        </w:tc>
        <w:tc>
          <w:tcPr>
            <w:tcW w:w="0" w:type="auto"/>
            <w:tcBorders>
              <w:top w:val="nil"/>
              <w:left w:val="nil"/>
              <w:bottom w:val="single" w:sz="4" w:space="0" w:color="auto"/>
              <w:right w:val="nil"/>
            </w:tcBorders>
            <w:shd w:val="clear" w:color="auto" w:fill="auto"/>
            <w:noWrap/>
            <w:vAlign w:val="center"/>
            <w:hideMark/>
          </w:tcPr>
          <w:p w14:paraId="6FD81700" w14:textId="77777777" w:rsidR="00AB3852" w:rsidRPr="0099355B" w:rsidRDefault="00AB3852" w:rsidP="00AB3852">
            <w:pPr>
              <w:jc w:val="center"/>
              <w:rPr>
                <w:color w:val="000000"/>
                <w:sz w:val="18"/>
                <w:szCs w:val="18"/>
              </w:rPr>
            </w:pPr>
            <w:r w:rsidRPr="0099355B">
              <w:rPr>
                <w:color w:val="000000"/>
                <w:sz w:val="18"/>
                <w:szCs w:val="18"/>
              </w:rPr>
              <w:t>113%</w:t>
            </w:r>
          </w:p>
        </w:tc>
        <w:tc>
          <w:tcPr>
            <w:tcW w:w="0" w:type="auto"/>
            <w:tcBorders>
              <w:top w:val="nil"/>
              <w:left w:val="nil"/>
              <w:bottom w:val="single" w:sz="4" w:space="0" w:color="auto"/>
              <w:right w:val="nil"/>
            </w:tcBorders>
            <w:shd w:val="clear" w:color="auto" w:fill="auto"/>
            <w:noWrap/>
            <w:vAlign w:val="center"/>
            <w:hideMark/>
          </w:tcPr>
          <w:p w14:paraId="4FF74ADE" w14:textId="77777777" w:rsidR="00AB3852" w:rsidRPr="0099355B" w:rsidRDefault="00AB3852" w:rsidP="00AB3852">
            <w:pPr>
              <w:jc w:val="center"/>
              <w:rPr>
                <w:color w:val="000000"/>
                <w:sz w:val="18"/>
                <w:szCs w:val="18"/>
              </w:rPr>
            </w:pPr>
            <w:r w:rsidRPr="0099355B">
              <w:rPr>
                <w:color w:val="000000"/>
                <w:sz w:val="18"/>
                <w:szCs w:val="18"/>
              </w:rPr>
              <w:t>162%</w:t>
            </w:r>
          </w:p>
        </w:tc>
      </w:tr>
    </w:tbl>
    <w:p w14:paraId="66F3EC7D" w14:textId="77777777" w:rsidR="004A2B95" w:rsidRPr="0099355B" w:rsidRDefault="004A2B95" w:rsidP="004A2B95">
      <w:pPr>
        <w:tabs>
          <w:tab w:val="left" w:pos="2965"/>
        </w:tabs>
      </w:pPr>
    </w:p>
    <w:p w14:paraId="36C47477" w14:textId="77777777" w:rsidR="004A2B95" w:rsidRPr="0099355B" w:rsidRDefault="00E33568" w:rsidP="004A2B95">
      <w:pPr>
        <w:tabs>
          <w:tab w:val="left" w:pos="2965"/>
        </w:tabs>
      </w:pPr>
      <w:r w:rsidRPr="0099355B">
        <w:lastRenderedPageBreak/>
        <w:t>Note</w:t>
      </w:r>
      <w:r w:rsidR="00FC7670" w:rsidRPr="0099355B">
        <w:t xml:space="preserve"> 1. All </w:t>
      </w:r>
      <w:r w:rsidR="00FC7670" w:rsidRPr="0099355B">
        <w:rPr>
          <w:i/>
        </w:rPr>
        <w:t xml:space="preserve">p </w:t>
      </w:r>
      <w:r w:rsidR="00FC7670" w:rsidRPr="0099355B">
        <w:t>values are under .001 even after multiplicity correction.</w:t>
      </w:r>
    </w:p>
    <w:p w14:paraId="29B4D924" w14:textId="57670FC9" w:rsidR="00396238" w:rsidRPr="0099355B" w:rsidRDefault="00396238" w:rsidP="00396238">
      <w:pPr>
        <w:tabs>
          <w:tab w:val="left" w:pos="2965"/>
        </w:tabs>
        <w:sectPr w:rsidR="00396238" w:rsidRPr="0099355B" w:rsidSect="004C711C">
          <w:pgSz w:w="15840" w:h="12240" w:orient="landscape"/>
          <w:pgMar w:top="1440" w:right="1440" w:bottom="1440" w:left="1440" w:header="720" w:footer="720" w:gutter="0"/>
          <w:cols w:space="720"/>
          <w:docGrid w:linePitch="360"/>
        </w:sectPr>
      </w:pPr>
      <w:r w:rsidRPr="0099355B">
        <w:t xml:space="preserve">Note </w:t>
      </w:r>
      <w:r w:rsidR="00AB3852" w:rsidRPr="0099355B">
        <w:t>2</w:t>
      </w:r>
      <w:r w:rsidRPr="0099355B">
        <w:t xml:space="preserve">. Except for item 3, all item-rest relationships were examined using random-intercept random-slope model. For additive models, we have </w:t>
      </w:r>
      <m:oMath>
        <m:r>
          <w:rPr>
            <w:rFonts w:ascii="Cambria Math" w:hAnsi="Cambria Math"/>
          </w:rPr>
          <m:t>SOI=</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e>
        </m:d>
        <m:r>
          <w:rPr>
            <w:rFonts w:ascii="Cambria Math" w:hAnsi="Cambria Math"/>
          </w:rPr>
          <m:t>time+</m:t>
        </m:r>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 xml:space="preserve">+ϵ </m:t>
        </m:r>
      </m:oMath>
      <w:r w:rsidRPr="0099355B">
        <w:t xml:space="preserve">where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99355B">
        <w:t xml:space="preserve"> and </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sidRPr="0099355B">
        <w:t xml:space="preserve"> are respectively the fixed and random intercept;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oMath>
      <w:r w:rsidRPr="0099355B">
        <w:t xml:space="preserve"> are the fixed and random slope for the time effect given three-panel data,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rsidRPr="0099355B">
        <w:t xml:space="preserve"> is the effect of scoring </w:t>
      </w:r>
      <w:r w:rsidRPr="0099355B">
        <w:rPr>
          <w:i/>
        </w:rPr>
        <w:t xml:space="preserve">j </w:t>
      </w:r>
      <w:r w:rsidRPr="0099355B">
        <w:t xml:space="preserve">at the individual item on the </w:t>
      </w:r>
      <w:r w:rsidRPr="0099355B">
        <w:rPr>
          <w:i/>
        </w:rPr>
        <w:t xml:space="preserve">SOI. </w:t>
      </w:r>
      <w:r w:rsidRPr="0099355B">
        <w:t xml:space="preserve">For multiplicative models, we have  </w:t>
      </w:r>
      <m:oMath>
        <m:r>
          <w:rPr>
            <w:rFonts w:ascii="Cambria Math" w:hAnsi="Cambria Math"/>
          </w:rPr>
          <m:t>SOI=</m:t>
        </m:r>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m:t>
            </m:r>
          </m:sup>
        </m:sSubSup>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tim</m:t>
        </m:r>
        <m:sSup>
          <m:sSupPr>
            <m:ctrlPr>
              <w:rPr>
                <w:rFonts w:ascii="Cambria Math" w:hAnsi="Cambria Math"/>
                <w:i/>
              </w:rPr>
            </m:ctrlPr>
          </m:sSupPr>
          <m:e>
            <m:r>
              <w:rPr>
                <w:rFonts w:ascii="Cambria Math" w:hAnsi="Cambria Math"/>
              </w:rPr>
              <m:t>e</m:t>
            </m:r>
          </m:e>
          <m: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e>
            </m:d>
          </m:sup>
        </m:sSup>
        <m:sSub>
          <m:sSubPr>
            <m:ctrlPr>
              <w:rPr>
                <w:rFonts w:ascii="Cambria Math" w:hAnsi="Cambria Math"/>
                <w:i/>
              </w:rPr>
            </m:ctrlPr>
          </m:sSubPr>
          <m:e>
            <m:r>
              <w:rPr>
                <w:rFonts w:ascii="Cambria Math" w:hAnsi="Cambria Math"/>
              </w:rPr>
              <m:t>θ</m:t>
            </m:r>
          </m:e>
          <m:sub>
            <m:r>
              <w:rPr>
                <w:rFonts w:ascii="Cambria Math" w:hAnsi="Cambria Math"/>
              </w:rPr>
              <m:t>j</m:t>
            </m:r>
          </m:sub>
        </m:sSub>
        <m:sSup>
          <m:sSupPr>
            <m:ctrlPr>
              <w:rPr>
                <w:rFonts w:ascii="Cambria Math" w:hAnsi="Cambria Math"/>
                <w:i/>
              </w:rPr>
            </m:ctrlPr>
          </m:sSupPr>
          <m:e>
            <m:r>
              <w:rPr>
                <w:rFonts w:ascii="Cambria Math" w:hAnsi="Cambria Math"/>
              </w:rPr>
              <m:t>ϵ</m:t>
            </m:r>
          </m:e>
          <m:sup>
            <m:r>
              <w:rPr>
                <w:rFonts w:ascii="Cambria Math" w:hAnsi="Cambria Math"/>
              </w:rPr>
              <m:t>*</m:t>
            </m:r>
          </m:sup>
        </m:sSup>
      </m:oMath>
      <w:r w:rsidRPr="0099355B">
        <w:t xml:space="preserve"> where  </w:t>
      </w:r>
      <m:oMath>
        <m:sSubSup>
          <m:sSubSupPr>
            <m:ctrlPr>
              <w:rPr>
                <w:rFonts w:ascii="Cambria Math" w:hAnsi="Cambria Math"/>
                <w:i/>
              </w:rPr>
            </m:ctrlPr>
          </m:sSubSupPr>
          <m:e>
            <m:r>
              <w:rPr>
                <w:rFonts w:ascii="Cambria Math" w:hAnsi="Cambria Math"/>
              </w:rPr>
              <m:t>b</m:t>
            </m:r>
          </m:e>
          <m:sub>
            <m:r>
              <w:rPr>
                <w:rFonts w:ascii="Cambria Math" w:hAnsi="Cambria Math"/>
              </w:rPr>
              <m:t>0</m:t>
            </m:r>
          </m:sub>
          <m:sup>
            <m:r>
              <w:rPr>
                <w:rFonts w:ascii="Cambria Math" w:hAnsi="Cambria Math"/>
              </w:rPr>
              <m:t>*</m:t>
            </m:r>
          </m:sup>
        </m:sSubSup>
      </m:oMath>
      <w:r w:rsidRPr="0099355B">
        <w:t xml:space="preserve"> and </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sidRPr="0099355B">
        <w:t xml:space="preserve"> are respectively the fixed and random intercept;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oMath>
      <w:r w:rsidRPr="0099355B">
        <w:t xml:space="preserve"> are the fixed and random power parameters for the time effect given three-panel data,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Pr="0099355B">
        <w:t xml:space="preserve"> is the ratio effect of scoring </w:t>
      </w:r>
      <w:r w:rsidRPr="0099355B">
        <w:rPr>
          <w:i/>
        </w:rPr>
        <w:t xml:space="preserve">j </w:t>
      </w:r>
      <w:r w:rsidRPr="0099355B">
        <w:t xml:space="preserve">at the individual item on the </w:t>
      </w:r>
      <w:r w:rsidRPr="0099355B">
        <w:rPr>
          <w:i/>
        </w:rPr>
        <w:t xml:space="preserve">SOI.  </w:t>
      </w:r>
      <w:r w:rsidRPr="0099355B">
        <w:t xml:space="preserve">For item 3, the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Pr="0099355B">
        <w:t xml:space="preserve"> were omitted from both additive and multiplicative models due to lack of convergence, resulting in random-intercept mode</w:t>
      </w:r>
      <w:r w:rsidR="004C711C" w:rsidRPr="0099355B">
        <w:t>l</w:t>
      </w:r>
      <w:r w:rsidR="00162F28" w:rsidRPr="0099355B">
        <w:t>s</w:t>
      </w:r>
      <w:r w:rsidR="004C711C" w:rsidRPr="0099355B">
        <w:t>.</w:t>
      </w:r>
    </w:p>
    <w:p w14:paraId="19FB00BD" w14:textId="77777777" w:rsidR="00396238" w:rsidRPr="0099355B" w:rsidRDefault="00396238" w:rsidP="008F07FF">
      <w:pPr>
        <w:tabs>
          <w:tab w:val="left" w:pos="2072"/>
        </w:tabs>
        <w:sectPr w:rsidR="00396238" w:rsidRPr="0099355B" w:rsidSect="00394988">
          <w:pgSz w:w="15840" w:h="12240" w:orient="landscape"/>
          <w:pgMar w:top="1440" w:right="1440" w:bottom="1440" w:left="1440" w:header="720" w:footer="720" w:gutter="0"/>
          <w:cols w:space="720"/>
          <w:docGrid w:linePitch="360"/>
        </w:sectPr>
      </w:pPr>
    </w:p>
    <w:p w14:paraId="4D581126" w14:textId="77777777" w:rsidR="00171EDB" w:rsidRPr="0099355B" w:rsidRDefault="00171EDB" w:rsidP="00171EDB">
      <w:pPr>
        <w:widowControl w:val="0"/>
        <w:autoSpaceDE w:val="0"/>
        <w:autoSpaceDN w:val="0"/>
        <w:adjustRightInd w:val="0"/>
      </w:pPr>
    </w:p>
    <w:p w14:paraId="4696CB60" w14:textId="77777777" w:rsidR="00602A1B" w:rsidRPr="0099355B" w:rsidRDefault="00E40FF1" w:rsidP="00A2628D">
      <w:pPr>
        <w:widowControl w:val="0"/>
        <w:autoSpaceDE w:val="0"/>
        <w:autoSpaceDN w:val="0"/>
        <w:adjustRightInd w:val="0"/>
        <w:ind w:left="640" w:hanging="640"/>
      </w:pPr>
      <w:r w:rsidRPr="0099355B">
        <w:rPr>
          <w:noProof/>
          <w:lang w:eastAsia="en-US"/>
        </w:rPr>
        <w:drawing>
          <wp:inline distT="0" distB="0" distL="0" distR="0" wp14:anchorId="228DC6FA" wp14:editId="34171CCB">
            <wp:extent cx="7866529" cy="505011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86513" cy="5062947"/>
                    </a:xfrm>
                    <a:prstGeom prst="rect">
                      <a:avLst/>
                    </a:prstGeom>
                  </pic:spPr>
                </pic:pic>
              </a:graphicData>
            </a:graphic>
          </wp:inline>
        </w:drawing>
      </w:r>
    </w:p>
    <w:p w14:paraId="22050349" w14:textId="11B6FC97" w:rsidR="00C52FAB" w:rsidRPr="0099355B" w:rsidRDefault="00A961F3" w:rsidP="008707BF">
      <w:pPr>
        <w:widowControl w:val="0"/>
        <w:autoSpaceDE w:val="0"/>
        <w:autoSpaceDN w:val="0"/>
        <w:adjustRightInd w:val="0"/>
        <w:ind w:left="640" w:right="-630" w:hanging="640"/>
      </w:pPr>
      <w:r w:rsidRPr="00FC7710">
        <w:rPr>
          <w:i/>
        </w:rPr>
        <w:t xml:space="preserve">Figure 1. </w:t>
      </w:r>
      <w:r w:rsidR="007854F6" w:rsidRPr="00FC7710">
        <w:rPr>
          <w:i/>
        </w:rPr>
        <w:t>O</w:t>
      </w:r>
      <w:r w:rsidR="00E40FF1" w:rsidRPr="00FC7710">
        <w:rPr>
          <w:i/>
        </w:rPr>
        <w:t xml:space="preserve">bserved </w:t>
      </w:r>
      <w:r w:rsidR="00FC7710" w:rsidRPr="00FC7710">
        <w:rPr>
          <w:i/>
        </w:rPr>
        <w:t>D</w:t>
      </w:r>
      <w:r w:rsidR="00E40FF1" w:rsidRPr="00FC7710">
        <w:rPr>
          <w:i/>
        </w:rPr>
        <w:t xml:space="preserve">istributions of PHQ-9 </w:t>
      </w:r>
      <w:r w:rsidR="00FC7710" w:rsidRPr="00FC7710">
        <w:rPr>
          <w:i/>
        </w:rPr>
        <w:t>S</w:t>
      </w:r>
      <w:r w:rsidR="00E40FF1" w:rsidRPr="00FC7710">
        <w:rPr>
          <w:i/>
        </w:rPr>
        <w:t xml:space="preserve">um </w:t>
      </w:r>
      <w:r w:rsidR="00FC7710" w:rsidRPr="00FC7710">
        <w:rPr>
          <w:i/>
        </w:rPr>
        <w:t>S</w:t>
      </w:r>
      <w:r w:rsidR="00E40FF1" w:rsidRPr="00FC7710">
        <w:rPr>
          <w:i/>
        </w:rPr>
        <w:t xml:space="preserve">cores at </w:t>
      </w:r>
      <w:r w:rsidR="00FC7710" w:rsidRPr="00FC7710">
        <w:rPr>
          <w:i/>
        </w:rPr>
        <w:t>B</w:t>
      </w:r>
      <w:r w:rsidR="00E40FF1" w:rsidRPr="00FC7710">
        <w:rPr>
          <w:i/>
        </w:rPr>
        <w:t xml:space="preserve">aseline, </w:t>
      </w:r>
      <w:r w:rsidR="00FC7710" w:rsidRPr="00FC7710">
        <w:rPr>
          <w:i/>
        </w:rPr>
        <w:t>M</w:t>
      </w:r>
      <w:r w:rsidR="00E40FF1" w:rsidRPr="00FC7710">
        <w:rPr>
          <w:i/>
        </w:rPr>
        <w:t xml:space="preserve">onth one, and </w:t>
      </w:r>
      <w:r w:rsidR="00FC7710" w:rsidRPr="00FC7710">
        <w:rPr>
          <w:i/>
        </w:rPr>
        <w:t>M</w:t>
      </w:r>
      <w:r w:rsidR="00E40FF1" w:rsidRPr="00FC7710">
        <w:rPr>
          <w:i/>
        </w:rPr>
        <w:t>onth three</w:t>
      </w:r>
      <w:r w:rsidR="00E40FF1" w:rsidRPr="0099355B">
        <w:t>.</w:t>
      </w:r>
      <w:r w:rsidR="00CA7CA4">
        <w:t xml:space="preserve"> The b</w:t>
      </w:r>
      <w:r w:rsidR="00E40FF1" w:rsidRPr="0099355B">
        <w:t xml:space="preserve">lue line represents the empirical density, </w:t>
      </w:r>
      <w:r w:rsidR="00CA7CA4">
        <w:t xml:space="preserve">the </w:t>
      </w:r>
      <w:r w:rsidR="00E40FF1" w:rsidRPr="0099355B">
        <w:t xml:space="preserve">red line is the normal density </w:t>
      </w:r>
      <w:r w:rsidR="00394739" w:rsidRPr="0099355B">
        <w:t xml:space="preserve">reference line, </w:t>
      </w:r>
      <w:r w:rsidR="00CA7CA4">
        <w:t xml:space="preserve">and the </w:t>
      </w:r>
      <w:r w:rsidR="00394739" w:rsidRPr="0099355B">
        <w:t>green line shows the lognormal density reference line. The distribution of the reference lines closest to the empirical density line is more likely to be the underlying distribution. As shown here, lognormal distribution</w:t>
      </w:r>
      <w:r w:rsidR="008707BF" w:rsidRPr="0099355B">
        <w:t xml:space="preserve"> provides better fit than normal distribution at baseline, month one, and month three.</w:t>
      </w:r>
    </w:p>
    <w:p w14:paraId="355BC017" w14:textId="77777777" w:rsidR="00C52FAB" w:rsidRPr="0099355B" w:rsidRDefault="00C52FAB"/>
    <w:p w14:paraId="1BE51184" w14:textId="77777777" w:rsidR="00A961F3" w:rsidRPr="0099355B" w:rsidRDefault="004875DF" w:rsidP="008707BF">
      <w:pPr>
        <w:widowControl w:val="0"/>
        <w:autoSpaceDE w:val="0"/>
        <w:autoSpaceDN w:val="0"/>
        <w:adjustRightInd w:val="0"/>
        <w:ind w:left="640" w:right="-630" w:hanging="640"/>
      </w:pPr>
      <w:r w:rsidRPr="0099355B">
        <w:rPr>
          <w:noProof/>
          <w:lang w:eastAsia="en-US"/>
        </w:rPr>
        <w:drawing>
          <wp:inline distT="0" distB="0" distL="0" distR="0" wp14:anchorId="75B86585" wp14:editId="3E1B8DFC">
            <wp:extent cx="7683500" cy="425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png"/>
                    <pic:cNvPicPr/>
                  </pic:nvPicPr>
                  <pic:blipFill>
                    <a:blip r:embed="rId9">
                      <a:extLst>
                        <a:ext uri="{28A0092B-C50C-407E-A947-70E740481C1C}">
                          <a14:useLocalDpi xmlns:a14="http://schemas.microsoft.com/office/drawing/2010/main" val="0"/>
                        </a:ext>
                      </a:extLst>
                    </a:blip>
                    <a:stretch>
                      <a:fillRect/>
                    </a:stretch>
                  </pic:blipFill>
                  <pic:spPr>
                    <a:xfrm>
                      <a:off x="0" y="0"/>
                      <a:ext cx="7683500" cy="4254500"/>
                    </a:xfrm>
                    <a:prstGeom prst="rect">
                      <a:avLst/>
                    </a:prstGeom>
                  </pic:spPr>
                </pic:pic>
              </a:graphicData>
            </a:graphic>
          </wp:inline>
        </w:drawing>
      </w:r>
    </w:p>
    <w:p w14:paraId="3DDDC2A7" w14:textId="77777777" w:rsidR="0033345C" w:rsidRPr="0099355B" w:rsidRDefault="004875DF" w:rsidP="008707BF">
      <w:pPr>
        <w:widowControl w:val="0"/>
        <w:autoSpaceDE w:val="0"/>
        <w:autoSpaceDN w:val="0"/>
        <w:adjustRightInd w:val="0"/>
        <w:ind w:left="640" w:right="-630" w:hanging="640"/>
        <w:sectPr w:rsidR="0033345C" w:rsidRPr="0099355B" w:rsidSect="00394988">
          <w:pgSz w:w="15840" w:h="12240" w:orient="landscape"/>
          <w:pgMar w:top="1440" w:right="1440" w:bottom="1440" w:left="1440" w:header="720" w:footer="720" w:gutter="0"/>
          <w:cols w:space="720"/>
          <w:docGrid w:linePitch="360"/>
        </w:sectPr>
      </w:pPr>
      <w:r w:rsidRPr="00FC7710">
        <w:rPr>
          <w:i/>
        </w:rPr>
        <w:t>Figure 2. Standard Errors of Binned PHQ-9 sum scores</w:t>
      </w:r>
      <w:r w:rsidRPr="0099355B">
        <w:t xml:space="preserve">. PHQ-9 sum scores are first binned equidistantly. Standard errors within each bin is calculated as the division between the variance of and the count of scores in the respective bin. Standard errors, as an indicator of variabilities within respective score ranges, should follow a horizontal line were the underlying model normal. As shown here, the increasing pattern suggest that multiplicative models with lognormal distribution provide better fit for the data.  </w:t>
      </w:r>
    </w:p>
    <w:p w14:paraId="7F81685D" w14:textId="77777777" w:rsidR="004875DF" w:rsidRPr="0099355B" w:rsidRDefault="0033345C" w:rsidP="008707BF">
      <w:pPr>
        <w:widowControl w:val="0"/>
        <w:autoSpaceDE w:val="0"/>
        <w:autoSpaceDN w:val="0"/>
        <w:adjustRightInd w:val="0"/>
        <w:ind w:left="640" w:right="-630" w:hanging="640"/>
      </w:pPr>
      <w:r w:rsidRPr="0099355B">
        <w:lastRenderedPageBreak/>
        <w:t>Notes</w:t>
      </w:r>
    </w:p>
    <w:sectPr w:rsidR="004875DF" w:rsidRPr="0099355B" w:rsidSect="0039498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4616B" w14:textId="77777777" w:rsidR="00DA2B87" w:rsidRDefault="00DA2B87" w:rsidP="00E01AD4">
      <w:r>
        <w:separator/>
      </w:r>
    </w:p>
  </w:endnote>
  <w:endnote w:type="continuationSeparator" w:id="0">
    <w:p w14:paraId="7F97481B" w14:textId="77777777" w:rsidR="00DA2B87" w:rsidRDefault="00DA2B87" w:rsidP="00E01AD4">
      <w:r>
        <w:continuationSeparator/>
      </w:r>
    </w:p>
  </w:endnote>
  <w:endnote w:id="1">
    <w:p w14:paraId="37ED7690" w14:textId="4CD5B3C6" w:rsidR="00D32089" w:rsidRPr="00055610" w:rsidRDefault="00D32089">
      <w:pPr>
        <w:pStyle w:val="EndnoteText"/>
        <w:rPr>
          <w:rFonts w:ascii="Times New Roman" w:hAnsi="Times New Roman" w:cs="Times New Roman"/>
          <w:sz w:val="24"/>
          <w:szCs w:val="24"/>
        </w:rPr>
      </w:pPr>
      <w:r w:rsidRPr="00055610">
        <w:rPr>
          <w:rStyle w:val="EndnoteReference"/>
          <w:rFonts w:ascii="Times New Roman" w:hAnsi="Times New Roman" w:cs="Times New Roman"/>
          <w:sz w:val="24"/>
          <w:szCs w:val="24"/>
        </w:rPr>
        <w:endnoteRef/>
      </w:r>
      <w:r w:rsidRPr="00055610">
        <w:rPr>
          <w:rFonts w:ascii="Times New Roman" w:hAnsi="Times New Roman" w:cs="Times New Roman"/>
          <w:sz w:val="24"/>
          <w:szCs w:val="24"/>
        </w:rPr>
        <w:t xml:space="preserve"> It is worth noting that multiplicative models can only apply to positive-valued data: We adjust the each individual item on PHQ-9 to score one to four</w:t>
      </w:r>
      <w:r w:rsidR="009110C1">
        <w:rPr>
          <w:rFonts w:ascii="Times New Roman" w:hAnsi="Times New Roman" w:cs="Times New Roman"/>
          <w:sz w:val="24"/>
          <w:szCs w:val="24"/>
        </w:rPr>
        <w:t xml:space="preserve"> and coded baseline, month 1, and month 3 as 1, 3, and 4.</w:t>
      </w:r>
      <w:bookmarkStart w:id="0" w:name="_GoBack"/>
      <w:bookmarkEnd w:id="0"/>
      <w:r w:rsidRPr="00055610">
        <w:rPr>
          <w:rFonts w:ascii="Times New Roman" w:hAnsi="Times New Roman" w:cs="Times New Roman"/>
          <w:sz w:val="24"/>
          <w:szCs w:val="24"/>
        </w:rPr>
        <w:t xml:space="preserve"> This does not change the model fit </w:t>
      </w:r>
      <w:r w:rsidR="007706A1">
        <w:rPr>
          <w:rFonts w:ascii="Times New Roman" w:hAnsi="Times New Roman" w:cs="Times New Roman"/>
          <w:sz w:val="24"/>
          <w:szCs w:val="24"/>
        </w:rPr>
        <w:t xml:space="preserve">or estimates </w:t>
      </w:r>
      <w:r w:rsidRPr="00055610">
        <w:rPr>
          <w:rFonts w:ascii="Times New Roman" w:hAnsi="Times New Roman" w:cs="Times New Roman"/>
          <w:sz w:val="24"/>
          <w:szCs w:val="24"/>
        </w:rPr>
        <w:t>for additive models as the model fit of additive models is invariant to linear transformation.</w:t>
      </w:r>
    </w:p>
  </w:endnote>
  <w:endnote w:id="2">
    <w:p w14:paraId="2BEA3706" w14:textId="6DE31E01" w:rsidR="00D32089" w:rsidRPr="00055610" w:rsidRDefault="00D32089">
      <w:pPr>
        <w:pStyle w:val="EndnoteText"/>
        <w:rPr>
          <w:rFonts w:ascii="Times New Roman" w:hAnsi="Times New Roman" w:cs="Times New Roman"/>
          <w:sz w:val="24"/>
          <w:szCs w:val="24"/>
        </w:rPr>
      </w:pPr>
      <w:r w:rsidRPr="00055610">
        <w:rPr>
          <w:rStyle w:val="EndnoteReference"/>
          <w:rFonts w:ascii="Times New Roman" w:hAnsi="Times New Roman" w:cs="Times New Roman"/>
          <w:sz w:val="24"/>
          <w:szCs w:val="24"/>
        </w:rPr>
        <w:endnoteRef/>
      </w:r>
      <w:r w:rsidRPr="00055610">
        <w:rPr>
          <w:rFonts w:ascii="Times New Roman" w:hAnsi="Times New Roman" w:cs="Times New Roman"/>
          <w:sz w:val="24"/>
          <w:szCs w:val="24"/>
        </w:rPr>
        <w:t xml:space="preserve"> The current version of R package `</w:t>
      </w:r>
      <w:proofErr w:type="spellStart"/>
      <w:r w:rsidRPr="00055610">
        <w:rPr>
          <w:rFonts w:ascii="Times New Roman" w:hAnsi="Times New Roman" w:cs="Times New Roman"/>
          <w:sz w:val="24"/>
          <w:szCs w:val="24"/>
        </w:rPr>
        <w:t>lamme</w:t>
      </w:r>
      <w:proofErr w:type="spellEnd"/>
      <w:r w:rsidRPr="00055610">
        <w:rPr>
          <w:rFonts w:ascii="Times New Roman" w:hAnsi="Times New Roman" w:cs="Times New Roman"/>
          <w:sz w:val="24"/>
          <w:szCs w:val="24"/>
        </w:rPr>
        <w:t>` on CRAN provides straightforward tool for fixed effect models. Functionalities for linear mixed effect models are under development.</w:t>
      </w:r>
    </w:p>
  </w:endnote>
  <w:endnote w:id="3">
    <w:p w14:paraId="534DB5C6" w14:textId="51FAFB64" w:rsidR="00D32089" w:rsidRPr="00055610" w:rsidRDefault="00D32089">
      <w:pPr>
        <w:pStyle w:val="EndnoteText"/>
        <w:rPr>
          <w:rFonts w:ascii="Times New Roman" w:hAnsi="Times New Roman" w:cs="Times New Roman"/>
          <w:sz w:val="24"/>
          <w:szCs w:val="24"/>
        </w:rPr>
      </w:pPr>
      <w:r w:rsidRPr="00055610">
        <w:rPr>
          <w:rStyle w:val="EndnoteReference"/>
          <w:rFonts w:ascii="Times New Roman" w:hAnsi="Times New Roman" w:cs="Times New Roman"/>
          <w:sz w:val="24"/>
          <w:szCs w:val="24"/>
        </w:rPr>
        <w:endnoteRef/>
      </w:r>
      <w:r w:rsidRPr="00055610">
        <w:rPr>
          <w:rFonts w:ascii="Times New Roman" w:hAnsi="Times New Roman" w:cs="Times New Roman"/>
          <w:sz w:val="24"/>
          <w:szCs w:val="24"/>
        </w:rPr>
        <w:t xml:space="preserve"> This is based on AIC: Lower AIC indicates better-fitting models, difference in AIC greater than two means sufficiently less support from the data for the model with higher AIC </w:t>
      </w:r>
      <w:r w:rsidRPr="0005561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ecolmodel.2003.11.004","ISBN":"978-0-387-22456-5","ISSN":"03043800","PMID":"48557578","author":[{"dropping-particle":"","family":"Burnham","given":"K.P.","non-dropping-particle":"","parse-names":false,"suffix":""},{"dropping-particle":"","family":"Anderson","given":"D.R.","non-dropping-particle":"","parse-names":false,"suffix":""}],"edition":"2nd Editio","id":"ITEM-1","issued":{"date-parts":[["2002"]]},"publisher":"Springer-Verlag","publisher-place":"New York","title":"Model Selection and Multimodel Inference: A Practical Information-Theoretic Approach","type":"book"},"uris":["http://www.mendeley.com/documents/?uuid=4739dd4b-c457-453b-850a-03d14320a127"]}],"mendeley":{"formattedCitation":"[16]","plainTextFormattedCitation":"[16]","previouslyFormattedCitation":"(Burnham and Anderson)"},"properties":{"noteIndex":0},"schema":"https://github.com/citation-style-language/schema/raw/master/csl-citation.json"}</w:instrText>
      </w:r>
      <w:r w:rsidRPr="00055610">
        <w:rPr>
          <w:rFonts w:ascii="Times New Roman" w:hAnsi="Times New Roman" w:cs="Times New Roman"/>
          <w:sz w:val="24"/>
          <w:szCs w:val="24"/>
        </w:rPr>
        <w:fldChar w:fldCharType="separate"/>
      </w:r>
      <w:r w:rsidRPr="003D6B31">
        <w:rPr>
          <w:rFonts w:ascii="Times New Roman" w:hAnsi="Times New Roman" w:cs="Times New Roman"/>
          <w:noProof/>
          <w:sz w:val="24"/>
          <w:szCs w:val="24"/>
        </w:rPr>
        <w:t>[16]</w:t>
      </w:r>
      <w:r w:rsidRPr="00055610">
        <w:rPr>
          <w:rFonts w:ascii="Times New Roman" w:hAnsi="Times New Roman" w:cs="Times New Roman"/>
          <w:sz w:val="24"/>
          <w:szCs w:val="24"/>
        </w:rPr>
        <w:fldChar w:fldCharType="end"/>
      </w:r>
    </w:p>
  </w:endnote>
  <w:endnote w:id="4">
    <w:p w14:paraId="6743498A" w14:textId="42AB008D" w:rsidR="00D32089" w:rsidRPr="00055610" w:rsidRDefault="00D32089">
      <w:pPr>
        <w:pStyle w:val="EndnoteText"/>
        <w:rPr>
          <w:rFonts w:ascii="Times New Roman" w:hAnsi="Times New Roman" w:cs="Times New Roman"/>
          <w:sz w:val="24"/>
          <w:szCs w:val="24"/>
        </w:rPr>
      </w:pPr>
      <w:r w:rsidRPr="00055610">
        <w:rPr>
          <w:rStyle w:val="EndnoteReference"/>
          <w:rFonts w:ascii="Times New Roman" w:hAnsi="Times New Roman" w:cs="Times New Roman"/>
          <w:sz w:val="24"/>
          <w:szCs w:val="24"/>
        </w:rPr>
        <w:endnoteRef/>
      </w:r>
      <w:r w:rsidRPr="00055610">
        <w:rPr>
          <w:rFonts w:ascii="Times New Roman" w:hAnsi="Times New Roman" w:cs="Times New Roman"/>
          <w:sz w:val="24"/>
          <w:szCs w:val="24"/>
        </w:rPr>
        <w:t xml:space="preserve"> This also differs from baseline </w:t>
      </w:r>
      <m:oMath>
        <m:r>
          <w:rPr>
            <w:rFonts w:ascii="Cambria Math" w:hAnsi="Cambria Math" w:cs="Times New Roman"/>
            <w:sz w:val="24"/>
            <w:szCs w:val="24"/>
          </w:rPr>
          <m:t>×</m:t>
        </m:r>
      </m:oMath>
      <w:r w:rsidRPr="00055610">
        <w:rPr>
          <w:rFonts w:ascii="Times New Roman" w:hAnsi="Times New Roman" w:cs="Times New Roman"/>
          <w:sz w:val="24"/>
          <w:szCs w:val="24"/>
        </w:rPr>
        <w:t xml:space="preserve"> change interaction effects, as models with interaction effects can show low parsim</w:t>
      </w:r>
      <w:proofErr w:type="spellStart"/>
      <w:r w:rsidRPr="00055610">
        <w:rPr>
          <w:rFonts w:ascii="Times New Roman" w:hAnsi="Times New Roman" w:cs="Times New Roman"/>
          <w:sz w:val="24"/>
          <w:szCs w:val="24"/>
        </w:rPr>
        <w:t>ony</w:t>
      </w:r>
      <w:proofErr w:type="spellEnd"/>
      <w:r w:rsidRPr="00055610">
        <w:rPr>
          <w:rFonts w:ascii="Times New Roman" w:hAnsi="Times New Roman" w:cs="Times New Roman"/>
          <w:sz w:val="24"/>
          <w:szCs w:val="24"/>
        </w:rPr>
        <w:t xml:space="preserve"> and difficult inference: The interaction effects still result in linear changes where the difference in change per difference in baseline is constant </w:t>
      </w:r>
      <w:r w:rsidRPr="00055610">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{"citationItems":[{"id":"ITEM-1","itemData":{"DOI":"10.1037/met0000222","ISSN":"1939-1463","author":[{"dropping-particle":"","family":"Liu","given":"Qimin","non-dropping-particle":"","parse-names":false,"suffix":""},{"dropping-particle":"","family":"Maxwell","given":"Scott E.","non-dropping-particle":"","parse-names":false,"suffix":""}],"container-title":"Psychological Methods","id":"ITEM-1","issued":{"date-parts":[["2019","6","13"]]},"title":"Multiplicative treatment effects in randomized pretest-posttest experimental designs.","type":"article-journal"},"uris":["http://www.mendeley.com/documents/?uuid=98bd01d5-b700-4ed8-824a-a824e4719081"]}],"mendeley":{"formattedCitation":"[11]","plainTextFormattedCitation":"[11]","previouslyFormattedCitation":"(Liu and Maxwell)"},"properties":{"noteIndex":0},"schema":"https://github.com/citation-style-language/schema/raw/master/csl-citation.json"}</w:instrText>
      </w:r>
      <w:r w:rsidRPr="00055610">
        <w:rPr>
          <w:rFonts w:ascii="Times New Roman" w:hAnsi="Times New Roman" w:cs="Times New Roman"/>
          <w:sz w:val="24"/>
          <w:szCs w:val="24"/>
        </w:rPr>
        <w:fldChar w:fldCharType="separate"/>
      </w:r>
      <w:r w:rsidRPr="003D6B31">
        <w:rPr>
          <w:rFonts w:ascii="Times New Roman" w:hAnsi="Times New Roman" w:cs="Times New Roman"/>
          <w:noProof/>
          <w:sz w:val="24"/>
          <w:szCs w:val="24"/>
        </w:rPr>
        <w:t>[11]</w:t>
      </w:r>
      <w:r w:rsidRPr="00055610">
        <w:rPr>
          <w:rFonts w:ascii="Times New Roman" w:hAnsi="Times New Roman" w:cs="Times New Roman"/>
          <w:sz w:val="24"/>
          <w:szCs w:val="24"/>
        </w:rPr>
        <w:fldChar w:fldCharType="end"/>
      </w:r>
      <w:r w:rsidRPr="00055610">
        <w:rPr>
          <w:rFonts w:ascii="Times New Roman" w:hAnsi="Times New Roman" w:cs="Times New Roman"/>
          <w:sz w:val="24"/>
          <w:szCs w:val="24"/>
        </w:rPr>
        <w:t>. However, despite the consistent ratio effect estimate in multiplicative models, the difference in change increases as the difference in baseline becomes larger.</w:t>
      </w:r>
    </w:p>
  </w:endnote>
  <w:endnote w:id="5">
    <w:p w14:paraId="1B692075" w14:textId="77777777" w:rsidR="00D32089" w:rsidRPr="00055610" w:rsidRDefault="00D32089">
      <w:pPr>
        <w:pStyle w:val="EndnoteText"/>
        <w:rPr>
          <w:rFonts w:ascii="Times New Roman" w:hAnsi="Times New Roman" w:cs="Times New Roman"/>
          <w:sz w:val="24"/>
          <w:szCs w:val="24"/>
        </w:rPr>
      </w:pPr>
      <w:r w:rsidRPr="00055610">
        <w:rPr>
          <w:rStyle w:val="EndnoteReference"/>
          <w:rFonts w:ascii="Times New Roman" w:hAnsi="Times New Roman" w:cs="Times New Roman"/>
          <w:sz w:val="24"/>
          <w:szCs w:val="24"/>
        </w:rPr>
        <w:endnoteRef/>
      </w:r>
      <w:r w:rsidRPr="00055610">
        <w:rPr>
          <w:rFonts w:ascii="Times New Roman" w:hAnsi="Times New Roman" w:cs="Times New Roman"/>
          <w:sz w:val="24"/>
          <w:szCs w:val="24"/>
        </w:rPr>
        <w:t xml:space="preserve"> Multiplicative models, instead of modeling the arithmetic expected value of the outcome, centers upon the geometric expected value of the outcome. Given lognormality, the geometric mean is equivalent to median. This offers multiplicative greater robustness against outliers, compared with additive models.</w:t>
      </w:r>
    </w:p>
    <w:p w14:paraId="2B0EDC81" w14:textId="77777777" w:rsidR="00D32089" w:rsidRPr="00055610" w:rsidRDefault="00D32089">
      <w:pPr>
        <w:pStyle w:val="EndnoteText"/>
        <w:rPr>
          <w:rFonts w:ascii="Times New Roman" w:hAnsi="Times New Roman" w:cs="Times New Roman"/>
          <w:sz w:val="24"/>
          <w:szCs w:val="24"/>
        </w:rPr>
      </w:pPr>
    </w:p>
    <w:p w14:paraId="742E1CF3" w14:textId="519DC075" w:rsidR="00D32089" w:rsidRPr="00055610" w:rsidRDefault="00D32089" w:rsidP="00DC389B">
      <w:r w:rsidRPr="00055610">
        <w:rPr>
          <w:b/>
        </w:rPr>
        <w:t>Contribution</w:t>
      </w:r>
      <w:r w:rsidRPr="00055610">
        <w:t xml:space="preserve">: </w:t>
      </w:r>
      <w:r w:rsidRPr="00055610">
        <w:rPr>
          <w:color w:val="000000"/>
        </w:rPr>
        <w:t xml:space="preserve">I conceived and designed the project, identified and retrieved the related data, and completed and interpreted the analysis. All data and scripts will be available on </w:t>
      </w:r>
      <w:proofErr w:type="spellStart"/>
      <w:r>
        <w:rPr>
          <w:color w:val="000000"/>
        </w:rPr>
        <w:t>G</w:t>
      </w:r>
      <w:r w:rsidRPr="00055610">
        <w:rPr>
          <w:color w:val="000000"/>
        </w:rPr>
        <w:t>ithub</w:t>
      </w:r>
      <w:proofErr w:type="spellEnd"/>
      <w:r w:rsidRPr="00055610">
        <w:rPr>
          <w:color w:val="000000"/>
        </w:rPr>
        <w:t xml:space="preserve"> by the time of the conference.</w:t>
      </w:r>
    </w:p>
    <w:p w14:paraId="2819792F" w14:textId="77777777" w:rsidR="00D32089" w:rsidRPr="00055610" w:rsidRDefault="00D32089">
      <w:pPr>
        <w:pStyle w:val="EndnoteText"/>
        <w:rPr>
          <w:rFonts w:ascii="Times New Roman" w:hAnsi="Times New Roman"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33457" w14:textId="77777777" w:rsidR="00DA2B87" w:rsidRDefault="00DA2B87" w:rsidP="00E01AD4">
      <w:r>
        <w:separator/>
      </w:r>
    </w:p>
  </w:footnote>
  <w:footnote w:type="continuationSeparator" w:id="0">
    <w:p w14:paraId="793864C7" w14:textId="77777777" w:rsidR="00DA2B87" w:rsidRDefault="00DA2B87" w:rsidP="00E01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DF556" w14:textId="77777777" w:rsidR="00D32089" w:rsidRDefault="00D32089" w:rsidP="00364E1C">
    <w:pPr>
      <w:pStyle w:val="Header"/>
      <w:rPr>
        <w:rFonts w:ascii="Times New Roman" w:hAnsi="Times New Roman" w:cs="Times New Roman"/>
        <w:b/>
      </w:rPr>
    </w:pPr>
    <w:r w:rsidRPr="00E01AD4">
      <w:rPr>
        <w:rFonts w:ascii="Times New Roman" w:hAnsi="Times New Roman" w:cs="Times New Roman"/>
        <w:b/>
      </w:rPr>
      <w:t>Research Summary</w:t>
    </w:r>
  </w:p>
  <w:p w14:paraId="7039D8FA" w14:textId="77777777" w:rsidR="00D32089" w:rsidRDefault="00D32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AD4"/>
    <w:rsid w:val="00003737"/>
    <w:rsid w:val="0000410F"/>
    <w:rsid w:val="000211A9"/>
    <w:rsid w:val="0002533B"/>
    <w:rsid w:val="00025F57"/>
    <w:rsid w:val="00027181"/>
    <w:rsid w:val="0003239B"/>
    <w:rsid w:val="00033DC6"/>
    <w:rsid w:val="000405F1"/>
    <w:rsid w:val="00040966"/>
    <w:rsid w:val="00044C97"/>
    <w:rsid w:val="000465E5"/>
    <w:rsid w:val="00047613"/>
    <w:rsid w:val="0005011B"/>
    <w:rsid w:val="00055610"/>
    <w:rsid w:val="0006277A"/>
    <w:rsid w:val="0006591E"/>
    <w:rsid w:val="00070698"/>
    <w:rsid w:val="00084BA8"/>
    <w:rsid w:val="00085967"/>
    <w:rsid w:val="000930CA"/>
    <w:rsid w:val="000B261C"/>
    <w:rsid w:val="000B2AB0"/>
    <w:rsid w:val="000D3893"/>
    <w:rsid w:val="000F394F"/>
    <w:rsid w:val="000F5F26"/>
    <w:rsid w:val="00105874"/>
    <w:rsid w:val="00106320"/>
    <w:rsid w:val="001128EC"/>
    <w:rsid w:val="00124102"/>
    <w:rsid w:val="00124247"/>
    <w:rsid w:val="00126B75"/>
    <w:rsid w:val="001276AD"/>
    <w:rsid w:val="0013758A"/>
    <w:rsid w:val="00140CDD"/>
    <w:rsid w:val="0014566C"/>
    <w:rsid w:val="00156E33"/>
    <w:rsid w:val="0016287D"/>
    <w:rsid w:val="00162F28"/>
    <w:rsid w:val="00164060"/>
    <w:rsid w:val="00164C33"/>
    <w:rsid w:val="00171EDB"/>
    <w:rsid w:val="00182A75"/>
    <w:rsid w:val="00182D71"/>
    <w:rsid w:val="00183742"/>
    <w:rsid w:val="00186BC1"/>
    <w:rsid w:val="0018783C"/>
    <w:rsid w:val="00191F30"/>
    <w:rsid w:val="00196B4D"/>
    <w:rsid w:val="001A4920"/>
    <w:rsid w:val="001A5206"/>
    <w:rsid w:val="001A5CB7"/>
    <w:rsid w:val="001A779A"/>
    <w:rsid w:val="001B0094"/>
    <w:rsid w:val="001B569A"/>
    <w:rsid w:val="001C1A02"/>
    <w:rsid w:val="001C29D4"/>
    <w:rsid w:val="001C4850"/>
    <w:rsid w:val="001C77A9"/>
    <w:rsid w:val="001D1656"/>
    <w:rsid w:val="001E02B1"/>
    <w:rsid w:val="001E3EDC"/>
    <w:rsid w:val="001E7376"/>
    <w:rsid w:val="001F34A7"/>
    <w:rsid w:val="001F3DE3"/>
    <w:rsid w:val="001F3E73"/>
    <w:rsid w:val="001F484B"/>
    <w:rsid w:val="00214B0D"/>
    <w:rsid w:val="002161E3"/>
    <w:rsid w:val="00217180"/>
    <w:rsid w:val="00247C6A"/>
    <w:rsid w:val="002543F4"/>
    <w:rsid w:val="0026574B"/>
    <w:rsid w:val="00265961"/>
    <w:rsid w:val="002730D2"/>
    <w:rsid w:val="002837EB"/>
    <w:rsid w:val="002914A4"/>
    <w:rsid w:val="00294549"/>
    <w:rsid w:val="002A137A"/>
    <w:rsid w:val="002A508E"/>
    <w:rsid w:val="002A539A"/>
    <w:rsid w:val="002C0B26"/>
    <w:rsid w:val="002C74E5"/>
    <w:rsid w:val="002D20FC"/>
    <w:rsid w:val="002D31C9"/>
    <w:rsid w:val="002F50D7"/>
    <w:rsid w:val="00307E91"/>
    <w:rsid w:val="0031065E"/>
    <w:rsid w:val="003113C1"/>
    <w:rsid w:val="00325256"/>
    <w:rsid w:val="00325B01"/>
    <w:rsid w:val="0033130B"/>
    <w:rsid w:val="0033345C"/>
    <w:rsid w:val="00336C86"/>
    <w:rsid w:val="00351175"/>
    <w:rsid w:val="003512AF"/>
    <w:rsid w:val="00354A7E"/>
    <w:rsid w:val="00354EC4"/>
    <w:rsid w:val="00360409"/>
    <w:rsid w:val="0036344B"/>
    <w:rsid w:val="00364E1C"/>
    <w:rsid w:val="003874C2"/>
    <w:rsid w:val="003910FC"/>
    <w:rsid w:val="003932CB"/>
    <w:rsid w:val="00394739"/>
    <w:rsid w:val="00394988"/>
    <w:rsid w:val="00396238"/>
    <w:rsid w:val="003962B5"/>
    <w:rsid w:val="003A0617"/>
    <w:rsid w:val="003A319C"/>
    <w:rsid w:val="003A5A78"/>
    <w:rsid w:val="003C4491"/>
    <w:rsid w:val="003C61A3"/>
    <w:rsid w:val="003D2354"/>
    <w:rsid w:val="003D3644"/>
    <w:rsid w:val="003D6830"/>
    <w:rsid w:val="003D697A"/>
    <w:rsid w:val="003D6B31"/>
    <w:rsid w:val="003D7B87"/>
    <w:rsid w:val="003F523E"/>
    <w:rsid w:val="003F7428"/>
    <w:rsid w:val="003F7A88"/>
    <w:rsid w:val="00402305"/>
    <w:rsid w:val="004135D8"/>
    <w:rsid w:val="004158B8"/>
    <w:rsid w:val="004200F4"/>
    <w:rsid w:val="004220F6"/>
    <w:rsid w:val="004223B4"/>
    <w:rsid w:val="00422DA6"/>
    <w:rsid w:val="00424947"/>
    <w:rsid w:val="0042623E"/>
    <w:rsid w:val="00426A71"/>
    <w:rsid w:val="00426BCD"/>
    <w:rsid w:val="00432999"/>
    <w:rsid w:val="00447199"/>
    <w:rsid w:val="00450B03"/>
    <w:rsid w:val="00456C94"/>
    <w:rsid w:val="00456E74"/>
    <w:rsid w:val="00463A1E"/>
    <w:rsid w:val="00465181"/>
    <w:rsid w:val="004718AD"/>
    <w:rsid w:val="00471B47"/>
    <w:rsid w:val="00473817"/>
    <w:rsid w:val="00474C87"/>
    <w:rsid w:val="00480FC9"/>
    <w:rsid w:val="004875DF"/>
    <w:rsid w:val="00493001"/>
    <w:rsid w:val="00497317"/>
    <w:rsid w:val="004A2B95"/>
    <w:rsid w:val="004A5A82"/>
    <w:rsid w:val="004B4C37"/>
    <w:rsid w:val="004C180E"/>
    <w:rsid w:val="004C25E8"/>
    <w:rsid w:val="004C53D3"/>
    <w:rsid w:val="004C59CC"/>
    <w:rsid w:val="004C711C"/>
    <w:rsid w:val="004D230E"/>
    <w:rsid w:val="004D270E"/>
    <w:rsid w:val="004D5C9B"/>
    <w:rsid w:val="004D7A3A"/>
    <w:rsid w:val="004E5134"/>
    <w:rsid w:val="00503E0E"/>
    <w:rsid w:val="005053C7"/>
    <w:rsid w:val="00510618"/>
    <w:rsid w:val="00513232"/>
    <w:rsid w:val="005206BB"/>
    <w:rsid w:val="00527571"/>
    <w:rsid w:val="00534791"/>
    <w:rsid w:val="00552021"/>
    <w:rsid w:val="005520C3"/>
    <w:rsid w:val="00552C55"/>
    <w:rsid w:val="005647CD"/>
    <w:rsid w:val="005803B6"/>
    <w:rsid w:val="005958CC"/>
    <w:rsid w:val="005974E2"/>
    <w:rsid w:val="005A2B0A"/>
    <w:rsid w:val="005B55A7"/>
    <w:rsid w:val="005C158A"/>
    <w:rsid w:val="005D590A"/>
    <w:rsid w:val="005F08BE"/>
    <w:rsid w:val="005F4BB6"/>
    <w:rsid w:val="00602A1B"/>
    <w:rsid w:val="00615BE9"/>
    <w:rsid w:val="00626E97"/>
    <w:rsid w:val="006310A8"/>
    <w:rsid w:val="00637F58"/>
    <w:rsid w:val="006567EE"/>
    <w:rsid w:val="00666E17"/>
    <w:rsid w:val="006868ED"/>
    <w:rsid w:val="006A471D"/>
    <w:rsid w:val="006B3B62"/>
    <w:rsid w:val="006B6018"/>
    <w:rsid w:val="006C1F26"/>
    <w:rsid w:val="006D66F5"/>
    <w:rsid w:val="006D7113"/>
    <w:rsid w:val="006D7C07"/>
    <w:rsid w:val="00700384"/>
    <w:rsid w:val="007003DE"/>
    <w:rsid w:val="00701892"/>
    <w:rsid w:val="0070218C"/>
    <w:rsid w:val="00706830"/>
    <w:rsid w:val="00727842"/>
    <w:rsid w:val="0073656A"/>
    <w:rsid w:val="00742B9D"/>
    <w:rsid w:val="00747364"/>
    <w:rsid w:val="007518E4"/>
    <w:rsid w:val="00762292"/>
    <w:rsid w:val="00762C03"/>
    <w:rsid w:val="00763617"/>
    <w:rsid w:val="007706A1"/>
    <w:rsid w:val="00773983"/>
    <w:rsid w:val="00773F00"/>
    <w:rsid w:val="00780764"/>
    <w:rsid w:val="00780C7C"/>
    <w:rsid w:val="007854F6"/>
    <w:rsid w:val="00785742"/>
    <w:rsid w:val="00794453"/>
    <w:rsid w:val="007955E1"/>
    <w:rsid w:val="007977F8"/>
    <w:rsid w:val="007A398D"/>
    <w:rsid w:val="007A501D"/>
    <w:rsid w:val="007B6148"/>
    <w:rsid w:val="007E1AC3"/>
    <w:rsid w:val="007F187D"/>
    <w:rsid w:val="007F6B5A"/>
    <w:rsid w:val="007F7B61"/>
    <w:rsid w:val="008000D7"/>
    <w:rsid w:val="008141E5"/>
    <w:rsid w:val="0082004F"/>
    <w:rsid w:val="00827875"/>
    <w:rsid w:val="00831281"/>
    <w:rsid w:val="00832CC9"/>
    <w:rsid w:val="008338DD"/>
    <w:rsid w:val="00833D53"/>
    <w:rsid w:val="00834257"/>
    <w:rsid w:val="0083522A"/>
    <w:rsid w:val="008503C7"/>
    <w:rsid w:val="00852C77"/>
    <w:rsid w:val="00853BCC"/>
    <w:rsid w:val="008707BF"/>
    <w:rsid w:val="00891451"/>
    <w:rsid w:val="008976A1"/>
    <w:rsid w:val="008B5328"/>
    <w:rsid w:val="008B7915"/>
    <w:rsid w:val="008C02E9"/>
    <w:rsid w:val="008C1E1E"/>
    <w:rsid w:val="008C6248"/>
    <w:rsid w:val="008D5910"/>
    <w:rsid w:val="008F07FF"/>
    <w:rsid w:val="008F15BE"/>
    <w:rsid w:val="008F4F68"/>
    <w:rsid w:val="008F5E86"/>
    <w:rsid w:val="009008F0"/>
    <w:rsid w:val="00903E3C"/>
    <w:rsid w:val="0090682B"/>
    <w:rsid w:val="00910EA2"/>
    <w:rsid w:val="009110C1"/>
    <w:rsid w:val="00916A06"/>
    <w:rsid w:val="00924425"/>
    <w:rsid w:val="00934568"/>
    <w:rsid w:val="009413B1"/>
    <w:rsid w:val="009415D0"/>
    <w:rsid w:val="0094506A"/>
    <w:rsid w:val="009503A6"/>
    <w:rsid w:val="0096292F"/>
    <w:rsid w:val="00970366"/>
    <w:rsid w:val="00971D21"/>
    <w:rsid w:val="0097244F"/>
    <w:rsid w:val="00973724"/>
    <w:rsid w:val="00976111"/>
    <w:rsid w:val="0097678E"/>
    <w:rsid w:val="00981B9B"/>
    <w:rsid w:val="00984719"/>
    <w:rsid w:val="0099355B"/>
    <w:rsid w:val="00995C81"/>
    <w:rsid w:val="009967B8"/>
    <w:rsid w:val="009A5802"/>
    <w:rsid w:val="009A5B42"/>
    <w:rsid w:val="009B2900"/>
    <w:rsid w:val="009B2B4E"/>
    <w:rsid w:val="009B434A"/>
    <w:rsid w:val="009B523D"/>
    <w:rsid w:val="009C592E"/>
    <w:rsid w:val="009D6BC5"/>
    <w:rsid w:val="009E79E5"/>
    <w:rsid w:val="009F2F48"/>
    <w:rsid w:val="00A10E47"/>
    <w:rsid w:val="00A167E1"/>
    <w:rsid w:val="00A16D6B"/>
    <w:rsid w:val="00A2628D"/>
    <w:rsid w:val="00A321D6"/>
    <w:rsid w:val="00A35E65"/>
    <w:rsid w:val="00A40DBE"/>
    <w:rsid w:val="00A43F32"/>
    <w:rsid w:val="00A509AC"/>
    <w:rsid w:val="00A51E18"/>
    <w:rsid w:val="00A62706"/>
    <w:rsid w:val="00A65C97"/>
    <w:rsid w:val="00A666D3"/>
    <w:rsid w:val="00A66F34"/>
    <w:rsid w:val="00A83FAA"/>
    <w:rsid w:val="00A96195"/>
    <w:rsid w:val="00A961F3"/>
    <w:rsid w:val="00AA5FF7"/>
    <w:rsid w:val="00AB3852"/>
    <w:rsid w:val="00AB6230"/>
    <w:rsid w:val="00AB6595"/>
    <w:rsid w:val="00AC7F68"/>
    <w:rsid w:val="00AD0172"/>
    <w:rsid w:val="00AE12CE"/>
    <w:rsid w:val="00AE3442"/>
    <w:rsid w:val="00AE5136"/>
    <w:rsid w:val="00AE596E"/>
    <w:rsid w:val="00AF0C14"/>
    <w:rsid w:val="00AF6412"/>
    <w:rsid w:val="00AF6A22"/>
    <w:rsid w:val="00AF6F64"/>
    <w:rsid w:val="00B06705"/>
    <w:rsid w:val="00B06EEE"/>
    <w:rsid w:val="00B17E48"/>
    <w:rsid w:val="00B22AF7"/>
    <w:rsid w:val="00B2331B"/>
    <w:rsid w:val="00B33713"/>
    <w:rsid w:val="00B42798"/>
    <w:rsid w:val="00B43D5E"/>
    <w:rsid w:val="00B554D5"/>
    <w:rsid w:val="00B574D4"/>
    <w:rsid w:val="00B57A47"/>
    <w:rsid w:val="00B620C6"/>
    <w:rsid w:val="00B6321F"/>
    <w:rsid w:val="00B67966"/>
    <w:rsid w:val="00B72804"/>
    <w:rsid w:val="00B74B06"/>
    <w:rsid w:val="00B84E71"/>
    <w:rsid w:val="00B8527D"/>
    <w:rsid w:val="00B86234"/>
    <w:rsid w:val="00B92970"/>
    <w:rsid w:val="00BB0605"/>
    <w:rsid w:val="00BB51F2"/>
    <w:rsid w:val="00BB7367"/>
    <w:rsid w:val="00BC1139"/>
    <w:rsid w:val="00BC5543"/>
    <w:rsid w:val="00BD179E"/>
    <w:rsid w:val="00BD469B"/>
    <w:rsid w:val="00BD732D"/>
    <w:rsid w:val="00BF0E89"/>
    <w:rsid w:val="00BF2642"/>
    <w:rsid w:val="00BF2795"/>
    <w:rsid w:val="00BF3F29"/>
    <w:rsid w:val="00BF4EAD"/>
    <w:rsid w:val="00C0234D"/>
    <w:rsid w:val="00C05BED"/>
    <w:rsid w:val="00C15F01"/>
    <w:rsid w:val="00C21710"/>
    <w:rsid w:val="00C4390C"/>
    <w:rsid w:val="00C45782"/>
    <w:rsid w:val="00C52179"/>
    <w:rsid w:val="00C52303"/>
    <w:rsid w:val="00C52FAB"/>
    <w:rsid w:val="00C56C3F"/>
    <w:rsid w:val="00C64682"/>
    <w:rsid w:val="00C65919"/>
    <w:rsid w:val="00C67ABB"/>
    <w:rsid w:val="00C912D3"/>
    <w:rsid w:val="00C91F35"/>
    <w:rsid w:val="00C9404D"/>
    <w:rsid w:val="00CA6EE0"/>
    <w:rsid w:val="00CA7CA4"/>
    <w:rsid w:val="00CC140F"/>
    <w:rsid w:val="00CC42F7"/>
    <w:rsid w:val="00CC6C5A"/>
    <w:rsid w:val="00CD3D89"/>
    <w:rsid w:val="00CD4530"/>
    <w:rsid w:val="00CD552A"/>
    <w:rsid w:val="00CD59B2"/>
    <w:rsid w:val="00CE782A"/>
    <w:rsid w:val="00CF48D3"/>
    <w:rsid w:val="00CF54F5"/>
    <w:rsid w:val="00D06725"/>
    <w:rsid w:val="00D11255"/>
    <w:rsid w:val="00D12560"/>
    <w:rsid w:val="00D14D07"/>
    <w:rsid w:val="00D14DF1"/>
    <w:rsid w:val="00D17A8D"/>
    <w:rsid w:val="00D25A25"/>
    <w:rsid w:val="00D32089"/>
    <w:rsid w:val="00D44F0D"/>
    <w:rsid w:val="00D45376"/>
    <w:rsid w:val="00D4621B"/>
    <w:rsid w:val="00D577A1"/>
    <w:rsid w:val="00D71C1E"/>
    <w:rsid w:val="00D87D66"/>
    <w:rsid w:val="00D929E5"/>
    <w:rsid w:val="00D96377"/>
    <w:rsid w:val="00DA2B87"/>
    <w:rsid w:val="00DA5F87"/>
    <w:rsid w:val="00DA753D"/>
    <w:rsid w:val="00DB0400"/>
    <w:rsid w:val="00DB1451"/>
    <w:rsid w:val="00DB3ABF"/>
    <w:rsid w:val="00DB40E9"/>
    <w:rsid w:val="00DB5F5C"/>
    <w:rsid w:val="00DB7F85"/>
    <w:rsid w:val="00DC389B"/>
    <w:rsid w:val="00DC3ACC"/>
    <w:rsid w:val="00DD015D"/>
    <w:rsid w:val="00DD581C"/>
    <w:rsid w:val="00DE03DD"/>
    <w:rsid w:val="00DE2133"/>
    <w:rsid w:val="00DF7C82"/>
    <w:rsid w:val="00E01AD4"/>
    <w:rsid w:val="00E150C2"/>
    <w:rsid w:val="00E16EC3"/>
    <w:rsid w:val="00E1705D"/>
    <w:rsid w:val="00E20401"/>
    <w:rsid w:val="00E3164C"/>
    <w:rsid w:val="00E33568"/>
    <w:rsid w:val="00E33A09"/>
    <w:rsid w:val="00E36B59"/>
    <w:rsid w:val="00E40FF1"/>
    <w:rsid w:val="00E51735"/>
    <w:rsid w:val="00E613A9"/>
    <w:rsid w:val="00E621D6"/>
    <w:rsid w:val="00E67AA6"/>
    <w:rsid w:val="00E72EC5"/>
    <w:rsid w:val="00E77BA4"/>
    <w:rsid w:val="00E8218F"/>
    <w:rsid w:val="00E96AC5"/>
    <w:rsid w:val="00E97B0D"/>
    <w:rsid w:val="00EA1DD0"/>
    <w:rsid w:val="00EA4692"/>
    <w:rsid w:val="00EA4DE5"/>
    <w:rsid w:val="00EA74E5"/>
    <w:rsid w:val="00EB21DB"/>
    <w:rsid w:val="00EB221F"/>
    <w:rsid w:val="00EC0336"/>
    <w:rsid w:val="00EC56BE"/>
    <w:rsid w:val="00ED3D1C"/>
    <w:rsid w:val="00EE29CA"/>
    <w:rsid w:val="00EF0E51"/>
    <w:rsid w:val="00EF3B39"/>
    <w:rsid w:val="00F00F67"/>
    <w:rsid w:val="00F128A9"/>
    <w:rsid w:val="00F13C87"/>
    <w:rsid w:val="00F2229F"/>
    <w:rsid w:val="00F24200"/>
    <w:rsid w:val="00F24B82"/>
    <w:rsid w:val="00F2648E"/>
    <w:rsid w:val="00F35E95"/>
    <w:rsid w:val="00F35FFD"/>
    <w:rsid w:val="00F379AA"/>
    <w:rsid w:val="00F37A4E"/>
    <w:rsid w:val="00F45D9F"/>
    <w:rsid w:val="00F5335D"/>
    <w:rsid w:val="00F579D5"/>
    <w:rsid w:val="00F6000C"/>
    <w:rsid w:val="00F60B9C"/>
    <w:rsid w:val="00F70455"/>
    <w:rsid w:val="00F77513"/>
    <w:rsid w:val="00F8070D"/>
    <w:rsid w:val="00F80FB8"/>
    <w:rsid w:val="00F85D26"/>
    <w:rsid w:val="00F94C16"/>
    <w:rsid w:val="00FA09C6"/>
    <w:rsid w:val="00FA2F3C"/>
    <w:rsid w:val="00FA76AD"/>
    <w:rsid w:val="00FB6A00"/>
    <w:rsid w:val="00FC4FA4"/>
    <w:rsid w:val="00FC7670"/>
    <w:rsid w:val="00FC7710"/>
    <w:rsid w:val="00FC7E86"/>
    <w:rsid w:val="00FD3AA4"/>
    <w:rsid w:val="00FE169A"/>
    <w:rsid w:val="00FF0624"/>
    <w:rsid w:val="00FF1887"/>
    <w:rsid w:val="00FF7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0FC4DF"/>
  <w15:docId w15:val="{0D50787C-3904-E741-A6C8-F2653195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5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AD4"/>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E01AD4"/>
  </w:style>
  <w:style w:type="paragraph" w:styleId="Footer">
    <w:name w:val="footer"/>
    <w:basedOn w:val="Normal"/>
    <w:link w:val="FooterChar"/>
    <w:uiPriority w:val="99"/>
    <w:unhideWhenUsed/>
    <w:rsid w:val="00E01AD4"/>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E01AD4"/>
  </w:style>
  <w:style w:type="character" w:styleId="CommentReference">
    <w:name w:val="annotation reference"/>
    <w:basedOn w:val="DefaultParagraphFont"/>
    <w:uiPriority w:val="99"/>
    <w:semiHidden/>
    <w:unhideWhenUsed/>
    <w:rsid w:val="00364E1C"/>
    <w:rPr>
      <w:sz w:val="18"/>
      <w:szCs w:val="18"/>
    </w:rPr>
  </w:style>
  <w:style w:type="paragraph" w:styleId="CommentText">
    <w:name w:val="annotation text"/>
    <w:basedOn w:val="Normal"/>
    <w:link w:val="CommentTextChar"/>
    <w:uiPriority w:val="99"/>
    <w:semiHidden/>
    <w:unhideWhenUsed/>
    <w:rsid w:val="00364E1C"/>
  </w:style>
  <w:style w:type="character" w:customStyle="1" w:styleId="CommentTextChar">
    <w:name w:val="Comment Text Char"/>
    <w:basedOn w:val="DefaultParagraphFont"/>
    <w:link w:val="CommentText"/>
    <w:uiPriority w:val="99"/>
    <w:semiHidden/>
    <w:rsid w:val="00364E1C"/>
  </w:style>
  <w:style w:type="paragraph" w:styleId="BalloonText">
    <w:name w:val="Balloon Text"/>
    <w:basedOn w:val="Normal"/>
    <w:link w:val="BalloonTextChar"/>
    <w:uiPriority w:val="99"/>
    <w:semiHidden/>
    <w:unhideWhenUsed/>
    <w:rsid w:val="00364E1C"/>
    <w:rPr>
      <w:sz w:val="18"/>
      <w:szCs w:val="18"/>
    </w:rPr>
  </w:style>
  <w:style w:type="character" w:customStyle="1" w:styleId="BalloonTextChar">
    <w:name w:val="Balloon Text Char"/>
    <w:basedOn w:val="DefaultParagraphFont"/>
    <w:link w:val="BalloonText"/>
    <w:uiPriority w:val="99"/>
    <w:semiHidden/>
    <w:rsid w:val="00364E1C"/>
    <w:rPr>
      <w:rFonts w:ascii="Times New Roman" w:hAnsi="Times New Roman" w:cs="Times New Roman"/>
      <w:sz w:val="18"/>
      <w:szCs w:val="18"/>
    </w:rPr>
  </w:style>
  <w:style w:type="character" w:styleId="PlaceholderText">
    <w:name w:val="Placeholder Text"/>
    <w:basedOn w:val="DefaultParagraphFont"/>
    <w:uiPriority w:val="99"/>
    <w:semiHidden/>
    <w:rsid w:val="00AF6412"/>
    <w:rPr>
      <w:color w:val="808080"/>
    </w:rPr>
  </w:style>
  <w:style w:type="paragraph" w:styleId="FootnoteText">
    <w:name w:val="footnote text"/>
    <w:basedOn w:val="Normal"/>
    <w:link w:val="FootnoteTextChar"/>
    <w:uiPriority w:val="99"/>
    <w:semiHidden/>
    <w:unhideWhenUsed/>
    <w:rsid w:val="00AF6412"/>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AF6412"/>
    <w:rPr>
      <w:sz w:val="20"/>
      <w:szCs w:val="20"/>
    </w:rPr>
  </w:style>
  <w:style w:type="character" w:styleId="FootnoteReference">
    <w:name w:val="footnote reference"/>
    <w:basedOn w:val="DefaultParagraphFont"/>
    <w:uiPriority w:val="99"/>
    <w:semiHidden/>
    <w:unhideWhenUsed/>
    <w:rsid w:val="00AF6412"/>
    <w:rPr>
      <w:vertAlign w:val="superscript"/>
    </w:rPr>
  </w:style>
  <w:style w:type="paragraph" w:styleId="CommentSubject">
    <w:name w:val="annotation subject"/>
    <w:basedOn w:val="CommentText"/>
    <w:next w:val="CommentText"/>
    <w:link w:val="CommentSubjectChar"/>
    <w:uiPriority w:val="99"/>
    <w:semiHidden/>
    <w:unhideWhenUsed/>
    <w:rsid w:val="00085967"/>
    <w:rPr>
      <w:b/>
      <w:bCs/>
      <w:sz w:val="20"/>
      <w:szCs w:val="20"/>
    </w:rPr>
  </w:style>
  <w:style w:type="character" w:customStyle="1" w:styleId="CommentSubjectChar">
    <w:name w:val="Comment Subject Char"/>
    <w:basedOn w:val="CommentTextChar"/>
    <w:link w:val="CommentSubject"/>
    <w:uiPriority w:val="99"/>
    <w:semiHidden/>
    <w:rsid w:val="00085967"/>
    <w:rPr>
      <w:b/>
      <w:bCs/>
      <w:sz w:val="20"/>
      <w:szCs w:val="20"/>
    </w:rPr>
  </w:style>
  <w:style w:type="table" w:styleId="TableGrid">
    <w:name w:val="Table Grid"/>
    <w:basedOn w:val="TableNormal"/>
    <w:uiPriority w:val="39"/>
    <w:rsid w:val="007E1AC3"/>
    <w:pPr>
      <w:spacing w:line="480" w:lineRule="auto"/>
      <w:ind w:firstLineChars="250" w:firstLine="250"/>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3345C"/>
    <w:rPr>
      <w:rFonts w:asciiTheme="minorHAnsi" w:eastAsiaTheme="minorEastAsia" w:hAnsiTheme="minorHAnsi" w:cstheme="minorBidi"/>
      <w:sz w:val="20"/>
      <w:szCs w:val="20"/>
    </w:rPr>
  </w:style>
  <w:style w:type="character" w:customStyle="1" w:styleId="EndnoteTextChar">
    <w:name w:val="Endnote Text Char"/>
    <w:basedOn w:val="DefaultParagraphFont"/>
    <w:link w:val="EndnoteText"/>
    <w:uiPriority w:val="99"/>
    <w:semiHidden/>
    <w:rsid w:val="0033345C"/>
    <w:rPr>
      <w:sz w:val="20"/>
      <w:szCs w:val="20"/>
    </w:rPr>
  </w:style>
  <w:style w:type="character" w:styleId="EndnoteReference">
    <w:name w:val="endnote reference"/>
    <w:basedOn w:val="DefaultParagraphFont"/>
    <w:uiPriority w:val="99"/>
    <w:semiHidden/>
    <w:unhideWhenUsed/>
    <w:rsid w:val="0033345C"/>
    <w:rPr>
      <w:vertAlign w:val="superscript"/>
    </w:rPr>
  </w:style>
  <w:style w:type="paragraph" w:styleId="Revision">
    <w:name w:val="Revision"/>
    <w:hidden/>
    <w:uiPriority w:val="99"/>
    <w:semiHidden/>
    <w:rsid w:val="007F6B5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29057">
      <w:bodyDiv w:val="1"/>
      <w:marLeft w:val="0"/>
      <w:marRight w:val="0"/>
      <w:marTop w:val="0"/>
      <w:marBottom w:val="0"/>
      <w:divBdr>
        <w:top w:val="none" w:sz="0" w:space="0" w:color="auto"/>
        <w:left w:val="none" w:sz="0" w:space="0" w:color="auto"/>
        <w:bottom w:val="none" w:sz="0" w:space="0" w:color="auto"/>
        <w:right w:val="none" w:sz="0" w:space="0" w:color="auto"/>
      </w:divBdr>
    </w:div>
    <w:div w:id="596794708">
      <w:bodyDiv w:val="1"/>
      <w:marLeft w:val="0"/>
      <w:marRight w:val="0"/>
      <w:marTop w:val="0"/>
      <w:marBottom w:val="0"/>
      <w:divBdr>
        <w:top w:val="none" w:sz="0" w:space="0" w:color="auto"/>
        <w:left w:val="none" w:sz="0" w:space="0" w:color="auto"/>
        <w:bottom w:val="none" w:sz="0" w:space="0" w:color="auto"/>
        <w:right w:val="none" w:sz="0" w:space="0" w:color="auto"/>
      </w:divBdr>
    </w:div>
    <w:div w:id="844974765">
      <w:bodyDiv w:val="1"/>
      <w:marLeft w:val="0"/>
      <w:marRight w:val="0"/>
      <w:marTop w:val="0"/>
      <w:marBottom w:val="0"/>
      <w:divBdr>
        <w:top w:val="none" w:sz="0" w:space="0" w:color="auto"/>
        <w:left w:val="none" w:sz="0" w:space="0" w:color="auto"/>
        <w:bottom w:val="none" w:sz="0" w:space="0" w:color="auto"/>
        <w:right w:val="none" w:sz="0" w:space="0" w:color="auto"/>
      </w:divBdr>
    </w:div>
    <w:div w:id="878860887">
      <w:bodyDiv w:val="1"/>
      <w:marLeft w:val="0"/>
      <w:marRight w:val="0"/>
      <w:marTop w:val="0"/>
      <w:marBottom w:val="0"/>
      <w:divBdr>
        <w:top w:val="none" w:sz="0" w:space="0" w:color="auto"/>
        <w:left w:val="none" w:sz="0" w:space="0" w:color="auto"/>
        <w:bottom w:val="none" w:sz="0" w:space="0" w:color="auto"/>
        <w:right w:val="none" w:sz="0" w:space="0" w:color="auto"/>
      </w:divBdr>
    </w:div>
    <w:div w:id="1077246470">
      <w:bodyDiv w:val="1"/>
      <w:marLeft w:val="0"/>
      <w:marRight w:val="0"/>
      <w:marTop w:val="0"/>
      <w:marBottom w:val="0"/>
      <w:divBdr>
        <w:top w:val="none" w:sz="0" w:space="0" w:color="auto"/>
        <w:left w:val="none" w:sz="0" w:space="0" w:color="auto"/>
        <w:bottom w:val="none" w:sz="0" w:space="0" w:color="auto"/>
        <w:right w:val="none" w:sz="0" w:space="0" w:color="auto"/>
      </w:divBdr>
    </w:div>
    <w:div w:id="1672366246">
      <w:bodyDiv w:val="1"/>
      <w:marLeft w:val="0"/>
      <w:marRight w:val="0"/>
      <w:marTop w:val="0"/>
      <w:marBottom w:val="0"/>
      <w:divBdr>
        <w:top w:val="none" w:sz="0" w:space="0" w:color="auto"/>
        <w:left w:val="none" w:sz="0" w:space="0" w:color="auto"/>
        <w:bottom w:val="none" w:sz="0" w:space="0" w:color="auto"/>
        <w:right w:val="none" w:sz="0" w:space="0" w:color="auto"/>
      </w:divBdr>
    </w:div>
    <w:div w:id="1692758396">
      <w:bodyDiv w:val="1"/>
      <w:marLeft w:val="0"/>
      <w:marRight w:val="0"/>
      <w:marTop w:val="0"/>
      <w:marBottom w:val="0"/>
      <w:divBdr>
        <w:top w:val="none" w:sz="0" w:space="0" w:color="auto"/>
        <w:left w:val="none" w:sz="0" w:space="0" w:color="auto"/>
        <w:bottom w:val="none" w:sz="0" w:space="0" w:color="auto"/>
        <w:right w:val="none" w:sz="0" w:space="0" w:color="auto"/>
      </w:divBdr>
    </w:div>
    <w:div w:id="1920602126">
      <w:bodyDiv w:val="1"/>
      <w:marLeft w:val="0"/>
      <w:marRight w:val="0"/>
      <w:marTop w:val="0"/>
      <w:marBottom w:val="0"/>
      <w:divBdr>
        <w:top w:val="none" w:sz="0" w:space="0" w:color="auto"/>
        <w:left w:val="none" w:sz="0" w:space="0" w:color="auto"/>
        <w:bottom w:val="none" w:sz="0" w:space="0" w:color="auto"/>
        <w:right w:val="none" w:sz="0" w:space="0" w:color="auto"/>
      </w:divBdr>
    </w:div>
    <w:div w:id="1927689305">
      <w:bodyDiv w:val="1"/>
      <w:marLeft w:val="0"/>
      <w:marRight w:val="0"/>
      <w:marTop w:val="0"/>
      <w:marBottom w:val="0"/>
      <w:divBdr>
        <w:top w:val="none" w:sz="0" w:space="0" w:color="auto"/>
        <w:left w:val="none" w:sz="0" w:space="0" w:color="auto"/>
        <w:bottom w:val="none" w:sz="0" w:space="0" w:color="auto"/>
        <w:right w:val="none" w:sz="0" w:space="0" w:color="auto"/>
      </w:divBdr>
    </w:div>
    <w:div w:id="203477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D4E33-C35C-D44C-BC2E-980058672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7515</Words>
  <Characters>42839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Qimin Liu</dc:creator>
  <cp:keywords/>
  <dc:description/>
  <cp:lastModifiedBy>Qimin Liu</cp:lastModifiedBy>
  <cp:revision>57</cp:revision>
  <cp:lastPrinted>2019-08-09T01:42:00Z</cp:lastPrinted>
  <dcterms:created xsi:type="dcterms:W3CDTF">2019-08-09T15:53:00Z</dcterms:created>
  <dcterms:modified xsi:type="dcterms:W3CDTF">2019-08-09T20:20:00Z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3973107b-0689-3583-a761-ebe75585d9d5</vt:lpwstr>
  </property>
  <property fmtid="{D5CDD505-2E9C-101B-9397-08002B2CF9AE}" pid="4" name="Mendeley Citation Style_1">
    <vt:lpwstr>http://www.zotero.org/styles/ieee-transactions-on-affective-computing</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17th edition (full note)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http://www.zotero.org/styles/ieee-transactions-on-affective-computing</vt:lpwstr>
  </property>
  <property fmtid="{D5CDD505-2E9C-101B-9397-08002B2CF9AE}" pid="14" name="Mendeley Recent Style Name 4_1">
    <vt:lpwstr>IEEE Transactions on Affective Computing</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http://www.zotero.org/styles/national-library-of-medicine-brackets-no-et-al</vt:lpwstr>
  </property>
  <property fmtid="{D5CDD505-2E9C-101B-9397-08002B2CF9AE}" pid="20" name="Mendeley Recent Style Name 7_1">
    <vt:lpwstr>National Library of Medicine (brackets, no "et al.")</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http://www.zotero.org/styles/taylor-and-francis-national-library-of-medicine</vt:lpwstr>
  </property>
  <property fmtid="{D5CDD505-2E9C-101B-9397-08002B2CF9AE}" pid="24" name="Mendeley Recent Style Name 9_1">
    <vt:lpwstr>Taylor &amp; Francis - National Library of Medicine</vt:lpwstr>
  </property>
</Properties>
</file>