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2ed5edc19afaa43df340b499facfb08a6246fd"/>
    <w:p>
      <w:pPr>
        <w:pStyle w:val="Heading1"/>
      </w:pPr>
      <w:r>
        <w:t xml:space="preserve">Richard Goodman / apoth3osis — Meet-and-Greet Agenda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  <w:r>
        <w:t xml:space="preserve"> </w:t>
      </w:r>
      <w:r>
        <w:rPr>
          <w:b/>
          <w:bCs/>
        </w:rPr>
        <w:t xml:space="preserve">Primary Contact:</w:t>
      </w:r>
      <w:r>
        <w:t xml:space="preserve"> </w:t>
      </w:r>
      <w:r>
        <w:t xml:space="preserve">Richard Goodman, Apoth3osis Labs — rgoodman@apoth3osis.io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https://www.apoth3osis.io — “Paper → Proof → Code”</w:t>
      </w:r>
    </w:p>
    <w:p>
      <w:r>
        <w:pict>
          <v:rect style="width:0;height:1.5pt" o:hralign="center" o:hrstd="t" o:hr="t"/>
        </w:pict>
      </w:r>
    </w:p>
    <w:bookmarkStart w:id="9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Explore formal verification of core QWAV claims in Lean 4: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strong triangle inequality produces passive error confinement</w:t>
      </w:r>
      <w:r>
        <w:t xml:space="preserve"> </w:t>
      </w:r>
      <w:r>
        <w:t xml:space="preserve">in Bruhat-Tits tree encodings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threshold theorem for ultrametric quantum error correction</w:t>
      </w:r>
      <w:r>
        <w:t xml:space="preserve"> </w:t>
      </w:r>
      <w:r>
        <w:t xml:space="preserve">— analogous to the surface code threshold theorem, but geometric rather than measurement-based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barrier scaling</w:t>
      </w:r>
      <w:r>
        <w:t xml:space="preserve"> </w:t>
      </w:r>
      <w:r>
        <w:t xml:space="preserve">— exponential growth with tree depth</w:t>
      </w:r>
    </w:p>
    <w:p>
      <w:pPr>
        <w:pStyle w:val="FirstParagraph"/>
      </w:pPr>
      <w:r>
        <w:t xml:space="preserve">A Lean proof that type-checks is unassailable — no reviewer, no gatekeeper.</w:t>
      </w:r>
    </w:p>
    <w:p>
      <w:r>
        <w:pict>
          <v:rect style="width:0;height:1.5pt" o:hralign="center" o:hrstd="t" o:hr="t"/>
        </w:pict>
      </w:r>
    </w:p>
    <w:bookmarkEnd w:id="9"/>
    <w:bookmarkStart w:id="10" w:name="collaboration-shapes"/>
    <w:p>
      <w:pPr>
        <w:pStyle w:val="Heading2"/>
      </w:pPr>
      <w:r>
        <w:t xml:space="preserve">2. Collaboration Shapes</w:t>
      </w:r>
    </w:p>
    <w:p>
      <w:pPr>
        <w:pStyle w:val="FirstParagraph"/>
      </w:pPr>
      <w:r>
        <w:t xml:space="preserve">Based on your email proposal, three shapes on the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08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Formalization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Co-authored paper + Lean repo proving specific QWAV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Ultrametric triangulation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Three-way program: QWAV p-adic + Veselov subspace lattices + HeytingLean topos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Substrate computation: LoF-to-physics bridge</w:t>
            </w:r>
          </w:p>
        </w:tc>
      </w:tr>
    </w:tbl>
    <w:p>
      <w:pPr>
        <w:pStyle w:val="BodyText"/>
      </w:pPr>
      <w:r>
        <w:t xml:space="preserve">Shape #1 seems like the natural starting point — concrete, scoped, produces a verifiable artifact.</w:t>
      </w:r>
    </w:p>
    <w:p>
      <w:r>
        <w:pict>
          <v:rect style="width:0;height:1.5pt" o:hralign="center" o:hrstd="t" o:hr="t"/>
        </w:pict>
      </w:r>
    </w:p>
    <w:bookmarkEnd w:id="10"/>
    <w:bookmarkStart w:id="11" w:name="what-qwav-brings"/>
    <w:p>
      <w:pPr>
        <w:pStyle w:val="Heading2"/>
      </w:pPr>
      <w:r>
        <w:t xml:space="preserve">3. What QWAV Brings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Bruhat-Tits tree data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in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triangle inequality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violations in 15,000 trials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confinement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LER=0 at depth 3+ for physical error rates up to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barrier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Barrier = 2^depth, verified exhaustively for small depths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experimental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Google/IBM/Quantinuum qubit coherence times, gate fidelities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UQC Release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citations, full mathematical definitions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re-theorem-to-formalize"/>
    <w:p>
      <w:pPr>
        <w:pStyle w:val="Heading2"/>
      </w:pPr>
      <w:r>
        <w:t xml:space="preserve">4. Core Theorem to Formalize</w:t>
      </w:r>
    </w:p>
    <w:p>
      <w:pPr>
        <w:pStyle w:val="BlockText"/>
      </w:pPr>
      <w:r>
        <w:rPr>
          <w:b/>
          <w:bCs/>
        </w:rPr>
        <w:t xml:space="preserve">Threshold Theorem for Ultrametric QEC (informal):</w:t>
      </w:r>
      <w:r>
        <w:t xml:space="preserve"> </w:t>
      </w:r>
      <w:r>
        <w:t xml:space="preserve">In a Bruhat-Tits tree encoding of depth d over p-adic numbers, with physical error rate per leaf qubit, the logical error rate at the root is bounded by C × (physical error rate)^(k × d) for constants C and k determined by tree structure and error model.</w:t>
      </w:r>
    </w:p>
    <w:p>
      <w:pPr>
        <w:pStyle w:val="BlockText"/>
      </w:pPr>
      <w:r>
        <w:rPr>
          <w:b/>
          <w:bCs/>
        </w:rPr>
        <w:t xml:space="preserve">Corollary:</w:t>
      </w:r>
      <w:r>
        <w:t xml:space="preserve"> </w:t>
      </w:r>
      <w:r>
        <w:t xml:space="preserve">There exists a threshold error rate such that for all physical error rates below it, the logical error rate approaches zero as tree depth increases. This threshold is geometric, not measurement-based.</w:t>
      </w:r>
    </w:p>
    <w:p>
      <w:pPr>
        <w:pStyle w:val="FirstParagraph"/>
      </w:pPr>
      <w:r>
        <w:t xml:space="preserve">This is formally verifiable (trees and probability bounds are definable in Lean), parameterizable with published experimental data, and publishable regardless of whether the bound holds.</w:t>
      </w:r>
    </w:p>
    <w:p>
      <w:r>
        <w:pict>
          <v:rect style="width:0;height:1.5pt" o:hralign="center" o:hrstd="t" o:hr="t"/>
        </w:pict>
      </w:r>
    </w:p>
    <w:bookmarkEnd w:id="12"/>
    <w:bookmarkStart w:id="13" w:name="proposed-deliverable"/>
    <w:p>
      <w:pPr>
        <w:pStyle w:val="Heading2"/>
      </w:pPr>
      <w:r>
        <w:t xml:space="preserve">5. Proposed Deliverable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i/>
          <w:iCs/>
        </w:rPr>
        <w:t xml:space="preserve">A Threshold Theorem for Ultrametric Quantum Error Correction: Formal Verification in Lean 4</w:t>
      </w:r>
    </w:p>
    <w:p>
      <w:pPr>
        <w:pStyle w:val="BodyText"/>
      </w:pPr>
      <w:r>
        <w:rPr>
          <w:b/>
          <w:bCs/>
        </w:rPr>
        <w:t xml:space="preserve">Content:</w:t>
      </w:r>
      <w:r>
        <w:t xml:space="preserve"> </w:t>
      </w:r>
      <w:r>
        <w:t xml:space="preserve">1. Formal definition of Bruhat-Tits tree encoding in Lean 4</w:t>
      </w:r>
      <w:r>
        <w:t xml:space="preserve"> </w:t>
      </w:r>
      <w:r>
        <w:t xml:space="preserve">2. Statement and proof of the strong triangle inequality for tree-encoded states</w:t>
      </w:r>
      <w:r>
        <w:t xml:space="preserve"> </w:t>
      </w:r>
      <w:r>
        <w:t xml:space="preserve">3. Derivation of error confinement bound</w:t>
      </w:r>
      <w:r>
        <w:t xml:space="preserve"> </w:t>
      </w:r>
      <w:r>
        <w:t xml:space="preserve">4. Proof of exponential suppression with tree depth</w:t>
      </w:r>
      <w:r>
        <w:t xml:space="preserve"> </w:t>
      </w:r>
      <w:r>
        <w:t xml:space="preserve">5. Parameterization with published experimental data</w:t>
      </w:r>
      <w:r>
        <w:t xml:space="preserve"> </w:t>
      </w:r>
      <w:r>
        <w:t xml:space="preserve">6. Machine-verified repository (zero “sorry”)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Co-authored paper + Lean repository (arXiv/Zenodo).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2–3 months for first theorem. Each additional claim is a new module.</w:t>
      </w:r>
    </w:p>
    <w:p>
      <w:pPr>
        <w:pStyle w:val="BodyText"/>
      </w:pPr>
      <w:r>
        <w:rPr>
          <w:b/>
          <w:bCs/>
        </w:rPr>
        <w:t xml:space="preserve">Roles: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Rowan:</w:t>
      </w:r>
      <w:r>
        <w:t xml:space="preserve"> </w:t>
      </w:r>
      <w:r>
        <w:t xml:space="preserve">Provide mathematical claims, tree structure definitions, error model specifications, experimental parameter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Richard:</w:t>
      </w:r>
      <w:r>
        <w:t xml:space="preserve"> </w:t>
      </w:r>
      <w:r>
        <w:t xml:space="preserve">Translate claims into Lean 4, build verified repository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Joint:</w:t>
      </w:r>
      <w:r>
        <w:t xml:space="preserve"> </w:t>
      </w:r>
      <w:r>
        <w:t xml:space="preserve">Write the paper, agree on scope</w:t>
      </w:r>
    </w:p>
    <w:p>
      <w:r>
        <w:pict>
          <v:rect style="width:0;height:1.5pt" o:hralign="center" o:hrstd="t" o:hr="t"/>
        </w:pict>
      </w:r>
    </w:p>
    <w:bookmarkEnd w:id="13"/>
    <w:bookmarkStart w:id="18" w:name="agenda"/>
    <w:p>
      <w:pPr>
        <w:pStyle w:val="Heading2"/>
      </w:pPr>
      <w:r>
        <w:t xml:space="preserve">6. Agenda</w:t>
      </w:r>
    </w:p>
    <w:bookmarkStart w:id="14" w:name="opening-5-min"/>
    <w:p>
      <w:pPr>
        <w:pStyle w:val="Heading3"/>
      </w:pPr>
      <w:r>
        <w:t xml:space="preserve">Opening (5 min)</w:t>
      </w:r>
    </w:p>
    <w:p>
      <w:pPr>
        <w:pStyle w:val="FirstParagraph"/>
      </w:pPr>
      <w:r>
        <w:t xml:space="preserve">State the goal: explore Shape #1 formalization transport for the ultrametric QEC threshold theorem.</w:t>
      </w:r>
    </w:p>
    <w:bookmarkEnd w:id="14"/>
    <w:bookmarkStart w:id="15" w:name="what-weve-built-10-min"/>
    <w:p>
      <w:pPr>
        <w:pStyle w:val="Heading3"/>
      </w:pPr>
      <w:r>
        <w:t xml:space="preserve">What We’ve Built (10 min)</w:t>
      </w:r>
    </w:p>
    <w:p>
      <w:pPr>
        <w:pStyle w:val="Compact"/>
        <w:numPr>
          <w:ilvl w:val="0"/>
          <w:numId w:val="1002"/>
        </w:numPr>
      </w:pPr>
      <w:r>
        <w:t xml:space="preserve">Tier 0 computational validation: 9 Python files demonstrating error confinement and barrier scaling</w:t>
      </w:r>
    </w:p>
    <w:p>
      <w:pPr>
        <w:pStyle w:val="Compact"/>
        <w:numPr>
          <w:ilvl w:val="0"/>
          <w:numId w:val="1002"/>
        </w:numPr>
      </w:pPr>
      <w:r>
        <w:t xml:space="preserve">Tree encoding: zero logical error at depth 3+ for physical error rates up to 40%, vs. flat encoding at 15% LER</w:t>
      </w:r>
    </w:p>
    <w:p>
      <w:pPr>
        <w:pStyle w:val="Compact"/>
        <w:numPr>
          <w:ilvl w:val="0"/>
          <w:numId w:val="1002"/>
        </w:numPr>
      </w:pPr>
      <w:r>
        <w:t xml:space="preserve">Energy barrier scales as 2^depth</w:t>
      </w:r>
    </w:p>
    <w:p>
      <w:pPr>
        <w:pStyle w:val="Compact"/>
        <w:numPr>
          <w:ilvl w:val="0"/>
          <w:numId w:val="1002"/>
        </w:numPr>
      </w:pPr>
      <w:r>
        <w:t xml:space="preserve">Strong triangle inequality: zero violations in 15,000 random trials</w:t>
      </w:r>
    </w:p>
    <w:bookmarkEnd w:id="15"/>
    <w:bookmarkStart w:id="16" w:name="core-theorem-10-min"/>
    <w:p>
      <w:pPr>
        <w:pStyle w:val="Heading3"/>
      </w:pPr>
      <w:r>
        <w:t xml:space="preserve">Core Theorem (10 min)</w:t>
      </w:r>
    </w:p>
    <w:p>
      <w:pPr>
        <w:pStyle w:val="FirstParagraph"/>
      </w:pPr>
      <w:r>
        <w:t xml:space="preserve">Present the threshold theorem concept. Discuss formalizability, parameterizability, and publishability.</w:t>
      </w:r>
    </w:p>
    <w:bookmarkEnd w:id="16"/>
    <w:bookmarkStart w:id="17" w:name="the-ask-10-min"/>
    <w:p>
      <w:pPr>
        <w:pStyle w:val="Heading3"/>
      </w:pPr>
      <w:r>
        <w:t xml:space="preserve">The Ask (10 min)</w:t>
      </w:r>
    </w:p>
    <w:p>
      <w:pPr>
        <w:pStyle w:val="Compact"/>
        <w:numPr>
          <w:ilvl w:val="0"/>
          <w:numId w:val="1003"/>
        </w:numPr>
      </w:pPr>
      <w:r>
        <w:t xml:space="preserve">Interest in formalizing this as Shape #1?</w:t>
      </w:r>
    </w:p>
    <w:p>
      <w:pPr>
        <w:pStyle w:val="Compact"/>
        <w:numPr>
          <w:ilvl w:val="0"/>
          <w:numId w:val="1003"/>
        </w:numPr>
      </w:pPr>
      <w:r>
        <w:t xml:space="preserve">Scope: start with strong triangle inequality → error confinement proof</w:t>
      </w:r>
    </w:p>
    <w:p>
      <w:pPr>
        <w:pStyle w:val="Compact"/>
        <w:numPr>
          <w:ilvl w:val="0"/>
          <w:numId w:val="1003"/>
        </w:numPr>
      </w:pPr>
      <w:r>
        <w:t xml:space="preserve">Timeline: Lean module would be “Generative/QuniAxiomatic.lean”</w:t>
      </w:r>
    </w:p>
    <w:p>
      <w:pPr>
        <w:pStyle w:val="Compact"/>
        <w:numPr>
          <w:ilvl w:val="0"/>
          <w:numId w:val="1003"/>
        </w:numPr>
      </w:pPr>
      <w:r>
        <w:t xml:space="preserve">What Richard needs from us: formal theorem statements, tree definitions, error models, experimental parameters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at-to-have-ready"/>
    <w:p>
      <w:pPr>
        <w:pStyle w:val="Heading2"/>
      </w:pPr>
      <w:r>
        <w:t xml:space="preserve">7. What to Have Ready</w:t>
      </w:r>
    </w:p>
    <w:p>
      <w:pPr>
        <w:pStyle w:val="Compact"/>
        <w:numPr>
          <w:ilvl w:val="0"/>
          <w:numId w:val="1004"/>
        </w:numPr>
      </w:pPr>
      <w:r>
        <w:t xml:space="preserve">Tier 0 simulation results (can screen-share)</w:t>
      </w:r>
    </w:p>
    <w:p>
      <w:pPr>
        <w:pStyle w:val="Compact"/>
        <w:numPr>
          <w:ilvl w:val="0"/>
          <w:numId w:val="1004"/>
        </w:numPr>
      </w:pPr>
      <w:r>
        <w:t xml:space="preserve">UQC Release document (57 citations)</w:t>
      </w:r>
    </w:p>
    <w:p>
      <w:pPr>
        <w:pStyle w:val="Compact"/>
        <w:numPr>
          <w:ilvl w:val="0"/>
          <w:numId w:val="1004"/>
        </w:numPr>
      </w:pPr>
      <w:r>
        <w:t xml:space="preserve">Formal theorem statement</w:t>
      </w:r>
    </w:p>
    <w:p>
      <w:pPr>
        <w:pStyle w:val="Compact"/>
        <w:numPr>
          <w:ilvl w:val="0"/>
          <w:numId w:val="1004"/>
        </w:numPr>
      </w:pPr>
      <w:r>
        <w:t xml:space="preserve">Published experimental parameters with citations</w:t>
      </w:r>
    </w:p>
    <w:p>
      <w:pPr>
        <w:pStyle w:val="Compact"/>
        <w:numPr>
          <w:ilvl w:val="0"/>
          <w:numId w:val="1004"/>
        </w:numPr>
      </w:pPr>
      <w:r>
        <w:t xml:space="preserve">This agenda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Shared ahead of time so we can spend the call on the actual conversation.</w:t>
      </w:r>
    </w:p>
    <w:bookmarkEnd w:id="19"/>
    <w:bookmarkEnd w:id="20"/>
    <w:sectPr>
      <w:footnotePr>
        <w:numRestart w:val="eachSect"/>
      </w:footnotePr>
      <w:pgMar w:top="1080" w:bottom="108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84" w:lineRule="auto" w:after="160"/>
    </w:pPr>
    <w:rPr>
      <w:rFonts w:ascii="Segoe UI" w:hAnsi="Segoe UI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Segoe UI" w:hAnsi="Segoe UI"/>
      <w:b/>
      <w:color w:val="1A1A1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Segoe UI" w:hAnsi="Segoe UI"/>
      <w:b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Segoe UI" w:hAnsi="Segoe UI"/>
      <w:b/>
      <w:color w:val="1A1A1A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Segoe UI" w:hAnsi="Segoe UI"/>
      <w:i/>
      <w:iCs/>
      <w:color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Segoe UI" w:hAnsi="Segoe UI"/>
      <w:color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Segoe UI" w:hAnsi="Segoe UI"/>
      <w:i/>
      <w:iCs/>
      <w:color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2026-05-12T04:19:30Z</dcterms:created>
  <dcterms:modified xsi:type="dcterms:W3CDTF">2026-05-12T04:19:30Z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