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44"/>
                <w:szCs w:val="44"/>
              </w:rPr>
              <w:t xml:space="preserve">SAOGEN</w:t>
            </w:r>
            <w:r>
              <w:rPr>
                <w:rFonts w:ascii="Arial" w:cs="Arial" w:eastAsia="Arial" w:hAnsi="Arial"/>
                <w:color w:val="B8D4DE"/>
                <w:sz w:val="28"/>
                <w:szCs w:val="28"/>
              </w:rPr>
              <w:t xml:space="preserve">  |  Symbiotic Autonomous Organisation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SIP-QOGE-PQC-01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B8D4DE"/>
                <w:sz w:val="26"/>
                <w:szCs w:val="26"/>
              </w:rPr>
              <w:t xml:space="preserve">QOGE Post-Quantum Cryptography Defence Architecture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SPHINCS Wallet  |  Single-Use Address Strategy  |  Two-Layer Token Architecture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SIP ID</w:t>
            </w:r>
          </w:p>
        </w:tc>
        <w:tc>
          <w:tcPr>
            <w:tcW w:type="dxa" w:w="57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SIP-QOGE-PQC-01</w:t>
            </w:r>
          </w:p>
        </w:tc>
        <w:tc>
          <w:tcPr>
            <w:tcW w:type="dxa" w:w="18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CANDIDATE</w:t>
            </w:r>
          </w:p>
        </w:tc>
      </w:tr>
      <w:tr>
        <w:tc>
          <w:tcPr>
            <w:tcW w:type="dxa" w:w="18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57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QOGE Post-Quantum Cryptography Defence: SPHINCS Wallet &amp; Single-Use Address Strategy</w:t>
            </w:r>
          </w:p>
        </w:tc>
        <w:tc>
          <w:tcPr>
            <w:tcW w:type="dxa" w:w="18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57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/ Cryptography / Wallet Infrastructure</w:t>
            </w:r>
          </w:p>
        </w:tc>
        <w:tc>
          <w:tcPr>
            <w:tcW w:type="dxa" w:w="18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</w:t>
            </w:r>
          </w:p>
        </w:tc>
        <w:tc>
          <w:tcPr>
            <w:tcW w:type="dxa" w:w="57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SAOGEN SAO (QOGE) — AI Node: Claude (Anthropic) — SIP-C v2.0</w:t>
            </w:r>
          </w:p>
        </w:tc>
        <w:tc>
          <w:tcPr>
            <w:tcW w:type="dxa" w:w="18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 June 2026</w:t>
            </w:r>
          </w:p>
        </w:tc>
        <w:tc>
          <w:tcPr>
            <w:tcW w:type="dxa" w:w="18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 1.0</w:t>
            </w:r>
          </w:p>
        </w:tc>
      </w:tr>
      <w:tr>
        <w:tc>
          <w:tcPr>
            <w:tcW w:type="dxa" w:w="18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Governance</w:t>
            </w:r>
          </w:p>
        </w:tc>
        <w:tc>
          <w:tcPr>
            <w:tcW w:type="dxa" w:w="57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SIP-C v2.0 — Candidate stage. Pending physics audit and SAS operability review.</w:t>
            </w:r>
          </w:p>
        </w:tc>
        <w:tc>
          <w:tcPr>
            <w:tcW w:type="dxa" w:w="18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C9A84C" w:sz="4"/>
        </w:pBdr>
        <w:shd w:fill="0D1B2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Abstract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This SIP formally specifies the post-quantum cryptography (PQC) defence architecture for the QOGE coin, a Bitcoin-derived Proof-of-Work gate token within the SAOGEN ecosystem. The primary threat addressed is the harvest-now-decrypt-later (HNDL) attack, in which classical public keys recorded on-chain are later decrypted by a cryptographically relevant quantum computer (CRQC). The defence combines two mechanisms: (1) a strict single-use address strategy enforced at wallet level, eliminating at-rest public key exposure; and (2) a custom SPHINCS wallet implementing SLH-DSA (FIPS 205) as the native signing algorithm, replacing secp256k1 ECDSA. The QOGE chain's 1-minute block time provides quantitative mempool-window protection against in-transit quantum attacks. QOGE is architecturally separated from all SAOGEN AI and SAS automation — it operates exclusively as a low-frequency human-initiated gate token, making the SLH-DSA transaction footprint operationally acceptable.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C9A84C" w:sz="4"/>
        </w:pBdr>
        <w:shd w:fill="0D1B2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Architectural Context &amp; Scope Boundary</w:t>
      </w:r>
    </w:p>
    <w:p>
      <w:pPr>
        <w:pStyle w:val="Heading2"/>
        <w:pBdr>
          <w:bottom w:val="single" w:color="1A6B8A" w:sz="2"/>
        </w:pBdr>
        <w:spacing w:after="12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2.1 SAOGEN Two-Layer Token Architecture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SAOGEN operates a strict two-layer token separation. This SIP governs Layer 1 (QOGE) only.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3400"/>
        <w:gridCol w:w="3400"/>
      </w:tblGrid>
      <w:tr>
        <w:trPr>
          <w:tblHeader/>
        </w:trPr>
        <w:tc>
          <w:tcPr>
            <w:tcW w:type="dxa" w:w="25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3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QOGE — Layer 1 (Gate)</w:t>
            </w:r>
          </w:p>
        </w:tc>
        <w:tc>
          <w:tcPr>
            <w:tcW w:type="dxa" w:w="3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SAOGEN Token — Layer 2 (Operations)</w:t>
            </w:r>
          </w:p>
        </w:tc>
      </w:tr>
      <w:tr>
        <w:tc>
          <w:tcPr>
            <w:tcW w:type="dxa" w:w="25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Chain type</w:t>
            </w:r>
          </w:p>
        </w:tc>
        <w:tc>
          <w:tcPr>
            <w:tcW w:type="dxa" w:w="34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Bitcoin-derived PoW</w:t>
            </w:r>
          </w:p>
        </w:tc>
        <w:tc>
          <w:tcPr>
            <w:tcW w:type="dxa" w:w="34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 (ETH / SOL / PQC-native)</w:t>
            </w:r>
          </w:p>
        </w:tc>
      </w:tr>
      <w:tr>
        <w:tc>
          <w:tcPr>
            <w:tcW w:type="dxa" w:w="25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time</w:t>
            </w:r>
          </w:p>
        </w:tc>
        <w:tc>
          <w:tcPr>
            <w:tcW w:type="dxa" w:w="34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 minute</w:t>
            </w:r>
          </w:p>
        </w:tc>
        <w:tc>
          <w:tcPr>
            <w:tcW w:type="dxa" w:w="34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Seconds</w:t>
            </w:r>
          </w:p>
        </w:tc>
      </w:tr>
      <w:tr>
        <w:tc>
          <w:tcPr>
            <w:tcW w:type="dxa" w:w="25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Signing algorithm</w:t>
            </w:r>
          </w:p>
        </w:tc>
        <w:tc>
          <w:tcPr>
            <w:tcW w:type="dxa" w:w="34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SLH-DSA (FIPS 205) — this SIP</w:t>
            </w:r>
          </w:p>
        </w:tc>
        <w:tc>
          <w:tcPr>
            <w:tcW w:type="dxa" w:w="34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ML-DSA / chain-native PQC</w:t>
            </w:r>
          </w:p>
        </w:tc>
      </w:tr>
      <w:tr>
        <w:tc>
          <w:tcPr>
            <w:tcW w:type="dxa" w:w="25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 strategy</w:t>
            </w:r>
          </w:p>
        </w:tc>
        <w:tc>
          <w:tcPr>
            <w:tcW w:type="dxa" w:w="34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Single-use enforced</w:t>
            </w:r>
          </w:p>
        </w:tc>
        <w:tc>
          <w:tcPr>
            <w:tcW w:type="dxa" w:w="34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Protocol-level PQC</w:t>
            </w:r>
          </w:p>
        </w:tc>
      </w:tr>
      <w:tr>
        <w:tc>
          <w:tcPr>
            <w:tcW w:type="dxa" w:w="25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Tx size</w:t>
            </w:r>
          </w:p>
        </w:tc>
        <w:tc>
          <w:tcPr>
            <w:tcW w:type="dxa" w:w="34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~17 KB (SLH-DSA fast params)</w:t>
            </w:r>
          </w:p>
        </w:tc>
        <w:tc>
          <w:tcPr>
            <w:tcW w:type="dxa" w:w="34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chain tx size</w:t>
            </w:r>
          </w:p>
        </w:tc>
      </w:tr>
      <w:tr>
        <w:tc>
          <w:tcPr>
            <w:tcW w:type="dxa" w:w="25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Usage frequency</w:t>
            </w:r>
          </w:p>
        </w:tc>
        <w:tc>
          <w:tcPr>
            <w:tcW w:type="dxa" w:w="34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— gate events only</w:t>
            </w:r>
          </w:p>
        </w:tc>
        <w:tc>
          <w:tcPr>
            <w:tcW w:type="dxa" w:w="34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— all SAS automation</w:t>
            </w:r>
          </w:p>
        </w:tc>
      </w:tr>
      <w:tr>
        <w:tc>
          <w:tcPr>
            <w:tcW w:type="dxa" w:w="25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Initiated by</w:t>
            </w:r>
          </w:p>
        </w:tc>
        <w:tc>
          <w:tcPr>
            <w:tcW w:type="dxa" w:w="34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 only</w:t>
            </w:r>
          </w:p>
        </w:tc>
        <w:tc>
          <w:tcPr>
            <w:tcW w:type="dxa" w:w="34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Nodes + SAS autonomous</w:t>
            </w:r>
          </w:p>
        </w:tc>
      </w:tr>
      <w:tr>
        <w:tc>
          <w:tcPr>
            <w:tcW w:type="dxa" w:w="25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SAS involvement</w:t>
            </w:r>
          </w:p>
        </w:tc>
        <w:tc>
          <w:tcPr>
            <w:tcW w:type="dxa" w:w="34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— fully excluded</w:t>
            </w:r>
          </w:p>
        </w:tc>
        <w:tc>
          <w:tcPr>
            <w:tcW w:type="dxa" w:w="34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operational layer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1A6B8A" w:sz="2"/>
        </w:pBdr>
        <w:spacing w:after="12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2.2 Why QOGE Is Excluded from SAS Automation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QOGE coin and addresses are explicitly excluded from all SAS and AI Node logic. QOGE serves one function: a decentralised access gate, allowing users to acquire SAOGEN tokens by purchasing with QOGE, or to pay for specific ecosystem services. This separation has two design consequences: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</w:rPr>
        <w:t xml:space="preserve">Low transaction frequency </w:t>
      </w:r>
      <w:r>
        <w:rPr>
          <w:rFonts w:ascii="Arial" w:cs="Arial" w:eastAsia="Arial" w:hAnsi="Arial"/>
        </w:rPr>
        <w:t xml:space="preserve">— the ~17 KB SLH-DSA transaction size is not a throughput problem at gate-event cadence.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</w:rPr>
        <w:t xml:space="preserve">No autonomous key management required </w:t>
      </w:r>
      <w:r>
        <w:rPr>
          <w:rFonts w:ascii="Arial" w:cs="Arial" w:eastAsia="Arial" w:hAnsi="Arial"/>
        </w:rPr>
        <w:t xml:space="preserve">— all QOGE signing is human-initiated, simplifying the key lifecycle and eliminating the SAS-specific attack surface entirely.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C9A84C" w:sz="4"/>
        </w:pBdr>
        <w:shd w:fill="0D1B2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Threat Model</w:t>
      </w:r>
    </w:p>
    <w:p>
      <w:pPr>
        <w:pStyle w:val="Heading2"/>
        <w:pBdr>
          <w:bottom w:val="single" w:color="1A6B8A" w:sz="2"/>
        </w:pBdr>
        <w:spacing w:after="12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3.1 Harvest-Now-Decrypt-Later (HNDL) — Primary Threat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The HNDL attack is the dominant long-term threat to any UTXO-based blockchain. An adversary records all on-chain public keys today, then decrypts them retroactively once a CRQC is operational. The public blockchain record is permanent and immutable — any public key that appears on-chain is permanently exposed.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8B250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792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Taproot (Bech32m / P2TR) encodes the public key directly in the address.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public key is exposed at rest, on-chain, permanently — before any spend.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Taproot MUST be disabled in the QOGE SPHINCS wallet. It is incompatible with HNDL defence.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1A6B8A" w:sz="2"/>
        </w:pBdr>
        <w:spacing w:after="12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3.2 At-Rest Exposure by Address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700"/>
        <w:gridCol w:w="1900"/>
        <w:gridCol w:w="9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Address Type</w:t>
            </w:r>
          </w:p>
        </w:tc>
        <w:tc>
          <w:tcPr>
            <w:tcW w:type="dxa" w:w="17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7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PubKey Hidden at Rest?</w:t>
            </w:r>
          </w:p>
        </w:tc>
        <w:tc>
          <w:tcPr>
            <w:tcW w:type="dxa" w:w="19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Exposure Point</w:t>
            </w:r>
          </w:p>
        </w:tc>
        <w:tc>
          <w:tcPr>
            <w:tcW w:type="dxa" w:w="9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HNDL Risk</w:t>
            </w:r>
          </w:p>
        </w:tc>
        <w:tc>
          <w:tcPr>
            <w:tcW w:type="dxa" w:w="15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16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Legacy P2PKH</w:t>
            </w:r>
          </w:p>
        </w:tc>
        <w:tc>
          <w:tcPr>
            <w:tcW w:type="dxa" w:w="17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Base58 (1...)</w:t>
            </w:r>
          </w:p>
        </w:tc>
        <w:tc>
          <w:tcPr>
            <w:tcW w:type="dxa" w:w="17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HASH160</w:t>
            </w:r>
          </w:p>
        </w:tc>
        <w:tc>
          <w:tcPr>
            <w:tcW w:type="dxa" w:w="19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Witness at spend</w:t>
            </w:r>
          </w:p>
        </w:tc>
        <w:tc>
          <w:tcPr>
            <w:tcW w:type="dxa" w:w="9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Low*</w:t>
            </w:r>
          </w:p>
        </w:tc>
        <w:tc>
          <w:tcPr>
            <w:tcW w:type="dxa" w:w="15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16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P2SH-SegWit</w:t>
            </w:r>
          </w:p>
        </w:tc>
        <w:tc>
          <w:tcPr>
            <w:tcW w:type="dxa" w:w="17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Base58 (3...)</w:t>
            </w:r>
          </w:p>
        </w:tc>
        <w:tc>
          <w:tcPr>
            <w:tcW w:type="dxa" w:w="17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HASH160</w:t>
            </w:r>
          </w:p>
        </w:tc>
        <w:tc>
          <w:tcPr>
            <w:tcW w:type="dxa" w:w="19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Witness at spend</w:t>
            </w:r>
          </w:p>
        </w:tc>
        <w:tc>
          <w:tcPr>
            <w:tcW w:type="dxa" w:w="9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Low*</w:t>
            </w:r>
          </w:p>
        </w:tc>
        <w:tc>
          <w:tcPr>
            <w:tcW w:type="dxa" w:w="15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16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SegWit P2WPKH</w:t>
            </w:r>
          </w:p>
        </w:tc>
        <w:tc>
          <w:tcPr>
            <w:tcW w:type="dxa" w:w="17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Bech32 (bc1q...)</w:t>
            </w:r>
          </w:p>
        </w:tc>
        <w:tc>
          <w:tcPr>
            <w:tcW w:type="dxa" w:w="17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HASH160</w:t>
            </w:r>
          </w:p>
        </w:tc>
        <w:tc>
          <w:tcPr>
            <w:tcW w:type="dxa" w:w="19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Witness at spend</w:t>
            </w:r>
          </w:p>
        </w:tc>
        <w:tc>
          <w:tcPr>
            <w:tcW w:type="dxa" w:w="9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Low*</w:t>
            </w:r>
          </w:p>
        </w:tc>
        <w:tc>
          <w:tcPr>
            <w:tcW w:type="dxa" w:w="15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PREFERRED</w:t>
            </w:r>
          </w:p>
        </w:tc>
      </w:tr>
      <w:tr>
        <w:tc>
          <w:tcPr>
            <w:tcW w:type="dxa" w:w="16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Taproot P2TR</w:t>
            </w:r>
          </w:p>
        </w:tc>
        <w:tc>
          <w:tcPr>
            <w:tcW w:type="dxa" w:w="17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Bech32m (bc1p...)</w:t>
            </w:r>
          </w:p>
        </w:tc>
        <w:tc>
          <w:tcPr>
            <w:tcW w:type="dxa" w:w="17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— raw pubkey</w:t>
            </w:r>
          </w:p>
        </w:tc>
        <w:tc>
          <w:tcPr>
            <w:tcW w:type="dxa" w:w="19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On-chain from creation</w:t>
            </w:r>
          </w:p>
        </w:tc>
        <w:tc>
          <w:tcPr>
            <w:tcW w:type="dxa" w:w="9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DISABLE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A6A7A"/>
          <w:sz w:val="18"/>
          <w:szCs w:val="18"/>
        </w:rPr>
        <w:t xml:space="preserve">* Low risk when combined with strict single-use address enforcement. Risk is HIGH if addresses are reused.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1A6B8A" w:sz="2"/>
        </w:pBdr>
        <w:spacing w:after="12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3.3 Mempool Window Attack — Secondary Threat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When a UTXO is spent, the public key is broadcast in the transaction witness field and visible in the mempool until the transaction is confirmed. A quantum adversary would need to derive the private key and broadcast a competing transaction within this window.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ANALYSIS</w:t>
            </w:r>
          </w:p>
        </w:tc>
        <w:tc>
          <w:tcPr>
            <w:tcW w:type="dxa" w:w="79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Breaking secp256k1 requires ~1,200-1,450 logical qubits and 70-90 million Toffoli gates (Project Eleven, 2026).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 QOGE's 1-minute block time, the mempool window is approximately 30-60 seconds.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quantum hardware projected within the next decade can execute this attack within that window.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1-minute block time is a quantitative, not merely heuristic, defence against mempool attacks.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Single-use addressing ensures the key is never exposed again after the confirmation window closes.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1A6B8A" w:sz="2"/>
        </w:pBdr>
        <w:spacing w:after="12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3.4 Threats Out of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</w:rPr>
        <w:t xml:space="preserve">Grover's algorithm on SHA-256 PoW </w:t>
      </w:r>
      <w:r>
        <w:rPr>
          <w:rFonts w:ascii="Arial" w:cs="Arial" w:eastAsia="Arial" w:hAnsi="Arial"/>
        </w:rPr>
        <w:t xml:space="preserve">— reduces effective hash security. Does not break consensus at current quantum scales. Separate SIP if required.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</w:rPr>
        <w:t xml:space="preserve">SAOGEN token chain security </w:t>
      </w:r>
      <w:r>
        <w:rPr>
          <w:rFonts w:ascii="Arial" w:cs="Arial" w:eastAsia="Arial" w:hAnsi="Arial"/>
        </w:rPr>
        <w:t xml:space="preserve">— governed by the respective PoS chain's PQC roadmap. Out of scope.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</w:rPr>
        <w:t xml:space="preserve">Bridge security (QOGE → SAOGEN) </w:t>
      </w:r>
      <w:r>
        <w:rPr>
          <w:rFonts w:ascii="Arial" w:cs="Arial" w:eastAsia="Arial" w:hAnsi="Arial"/>
        </w:rPr>
        <w:t xml:space="preserve">— covered under SAS bridge architecture documentation.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C9A84C" w:sz="4"/>
        </w:pBdr>
        <w:shd w:fill="0D1B2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Algorithm Selection</w:t>
      </w:r>
    </w:p>
    <w:p>
      <w:pPr>
        <w:pStyle w:val="Heading2"/>
        <w:pBdr>
          <w:bottom w:val="single" w:color="1A6B8A" w:sz="2"/>
        </w:pBdr>
        <w:spacing w:after="12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4.1 Selected Algorithm: SLH-DSA (FIPS 205 / SPHINCS+)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20"/>
        <w:gridCol w:w="2420"/>
        <w:gridCol w:w="2420"/>
      </w:tblGrid>
      <w:tr>
        <w:trPr>
          <w:tblHeader/>
        </w:trPr>
        <w:tc>
          <w:tcPr>
            <w:tcW w:type="dxa" w:w="2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242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SLH-DSA (FIPS 205)</w:t>
            </w:r>
          </w:p>
        </w:tc>
        <w:tc>
          <w:tcPr>
            <w:tcW w:type="dxa" w:w="242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FN-DSA / FALCON (Draft FIPS 206)</w:t>
            </w:r>
          </w:p>
        </w:tc>
        <w:tc>
          <w:tcPr>
            <w:tcW w:type="dxa" w:w="242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ML-DSA (FIPS 204)</w:t>
            </w:r>
          </w:p>
        </w:tc>
      </w:tr>
      <w:tr>
        <w:tc>
          <w:tcPr>
            <w:tcW w:type="dxa" w:w="21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NIST status</w:t>
            </w:r>
          </w:p>
        </w:tc>
        <w:tc>
          <w:tcPr>
            <w:tcW w:type="dxa" w:w="242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Finalized — August 2024</w:t>
            </w:r>
          </w:p>
        </w:tc>
        <w:tc>
          <w:tcPr>
            <w:tcW w:type="dxa" w:w="242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only — FIPS 206 pending</w:t>
            </w:r>
          </w:p>
        </w:tc>
        <w:tc>
          <w:tcPr>
            <w:tcW w:type="dxa" w:w="242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Finalized — August 2024</w:t>
            </w:r>
          </w:p>
        </w:tc>
      </w:tr>
      <w:tr>
        <w:tc>
          <w:tcPr>
            <w:tcW w:type="dxa" w:w="21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basis</w:t>
            </w:r>
          </w:p>
        </w:tc>
        <w:tc>
          <w:tcPr>
            <w:tcW w:type="dxa" w:w="242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Hash-based — minimal assumptions</w:t>
            </w:r>
          </w:p>
        </w:tc>
        <w:tc>
          <w:tcPr>
            <w:tcW w:type="dxa" w:w="242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NTRU lattice</w:t>
            </w:r>
          </w:p>
        </w:tc>
        <w:tc>
          <w:tcPr>
            <w:tcW w:type="dxa" w:w="242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lattice</w:t>
            </w:r>
          </w:p>
        </w:tc>
      </w:tr>
      <w:tr>
        <w:tc>
          <w:tcPr>
            <w:tcW w:type="dxa" w:w="21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Impl. risk</w:t>
            </w:r>
          </w:p>
        </w:tc>
        <w:tc>
          <w:tcPr>
            <w:tcW w:type="dxa" w:w="242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242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Elevated — known side-channel risk</w:t>
            </w:r>
          </w:p>
        </w:tc>
        <w:tc>
          <w:tcPr>
            <w:tcW w:type="dxa" w:w="242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1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key size</w:t>
            </w:r>
          </w:p>
        </w:tc>
        <w:tc>
          <w:tcPr>
            <w:tcW w:type="dxa" w:w="242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32-64 bytes</w:t>
            </w:r>
          </w:p>
        </w:tc>
        <w:tc>
          <w:tcPr>
            <w:tcW w:type="dxa" w:w="242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897-1,793 bytes</w:t>
            </w:r>
          </w:p>
        </w:tc>
        <w:tc>
          <w:tcPr>
            <w:tcW w:type="dxa" w:w="242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1,312-2,592 bytes</w:t>
            </w:r>
          </w:p>
        </w:tc>
      </w:tr>
      <w:tr>
        <w:tc>
          <w:tcPr>
            <w:tcW w:type="dxa" w:w="21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Signature size</w:t>
            </w:r>
          </w:p>
        </w:tc>
        <w:tc>
          <w:tcPr>
            <w:tcW w:type="dxa" w:w="242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~17 KB (fast params)</w:t>
            </w:r>
          </w:p>
        </w:tc>
        <w:tc>
          <w:tcPr>
            <w:tcW w:type="dxa" w:w="242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666-1,280 bytes</w:t>
            </w:r>
          </w:p>
        </w:tc>
        <w:tc>
          <w:tcPr>
            <w:tcW w:type="dxa" w:w="242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2,420-4,595 bytes</w:t>
            </w:r>
          </w:p>
        </w:tc>
      </w:tr>
      <w:tr>
        <w:tc>
          <w:tcPr>
            <w:tcW w:type="dxa" w:w="21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QOGE suitability</w:t>
            </w:r>
          </w:p>
        </w:tc>
        <w:tc>
          <w:tcPr>
            <w:tcW w:type="dxa" w:w="242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242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REJECTED — draft + impl. risk</w:t>
            </w:r>
          </w:p>
        </w:tc>
        <w:tc>
          <w:tcPr>
            <w:tcW w:type="dxa" w:w="242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Viable — not selected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</w:rPr>
        <w:t xml:space="preserve">FN-DSA (FALCON) is explicitly not selected. While its compact signature size is attractive, NIST and NSA have flagged elevated susceptibility to implementation errors. For a gate token where addresses may hold significant value and signing is infrequent, the conservative choice (SLH-DSA) is correct. FALCON may be reconsidered post-FIPS 206 finalisation and independent audit.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1A6B8A" w:sz="2"/>
        </w:pBdr>
        <w:spacing w:after="12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4.2 Selected Parameter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rPr>
          <w:tblHeader/>
        </w:trPr>
        <w:tc>
          <w:tcPr>
            <w:tcW w:type="dxa" w:w="2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Algorithm</w:t>
            </w:r>
          </w:p>
        </w:tc>
        <w:tc>
          <w:tcPr>
            <w:tcW w:type="dxa" w:w="33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SLH-DSA-SHA2-128f</w:t>
            </w:r>
          </w:p>
        </w:tc>
        <w:tc>
          <w:tcPr>
            <w:tcW w:type="dxa" w:w="38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 parameter set — optimises signing speed</w:t>
            </w:r>
          </w:p>
        </w:tc>
      </w:tr>
      <w:tr>
        <w:tc>
          <w:tcPr>
            <w:tcW w:type="dxa" w:w="22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level</w:t>
            </w:r>
          </w:p>
        </w:tc>
        <w:tc>
          <w:tcPr>
            <w:tcW w:type="dxa" w:w="33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 1 (AES-128 equiv)</w:t>
            </w:r>
          </w:p>
        </w:tc>
        <w:tc>
          <w:tcPr>
            <w:tcW w:type="dxa" w:w="38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Appropriate for gate token; upgradeable to Cat 3 post-review</w:t>
            </w:r>
          </w:p>
        </w:tc>
      </w:tr>
      <w:tr>
        <w:tc>
          <w:tcPr>
            <w:tcW w:type="dxa" w:w="22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Signature size</w:t>
            </w:r>
          </w:p>
        </w:tc>
        <w:tc>
          <w:tcPr>
            <w:tcW w:type="dxa" w:w="33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~17,088 bytes</w:t>
            </w:r>
          </w:p>
        </w:tc>
        <w:tc>
          <w:tcPr>
            <w:tcW w:type="dxa" w:w="38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Acceptable at QOGE gate-event frequency</w:t>
            </w:r>
          </w:p>
        </w:tc>
      </w:tr>
      <w:tr>
        <w:tc>
          <w:tcPr>
            <w:tcW w:type="dxa" w:w="22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key size</w:t>
            </w:r>
          </w:p>
        </w:tc>
        <w:tc>
          <w:tcPr>
            <w:tcW w:type="dxa" w:w="33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 bytes</w:t>
            </w:r>
          </w:p>
        </w:tc>
        <w:tc>
          <w:tcPr>
            <w:tcW w:type="dxa" w:w="38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Matches secp256k1 footprint — no address format redesign</w:t>
            </w:r>
          </w:p>
        </w:tc>
      </w:tr>
      <w:tr>
        <w:tc>
          <w:tcPr>
            <w:tcW w:type="dxa" w:w="22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liboqs version</w:t>
            </w:r>
          </w:p>
        </w:tc>
        <w:tc>
          <w:tcPr>
            <w:tcW w:type="dxa" w:w="33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FIPS 205 final param sets</w:t>
            </w:r>
          </w:p>
        </w:tc>
        <w:tc>
          <w:tcPr>
            <w:tcW w:type="dxa" w:w="38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update from Round 3 params in reference repos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A6A7A"/>
          <w:sz w:val="18"/>
          <w:szCs w:val="18"/>
        </w:rPr>
        <w:t xml:space="preserve">Alternative: SLH-DSA-SHA2-128s reduces signature to ~7,856 bytes at cost of slower signing. Available as a config parameter without architecture change.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C9A84C" w:sz="4"/>
        </w:pBdr>
        <w:shd w:fill="0D1B2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SPHINCS Wallet — Architecture Specification</w:t>
      </w:r>
    </w:p>
    <w:p>
      <w:pPr>
        <w:pStyle w:val="Heading2"/>
        <w:pBdr>
          <w:bottom w:val="single" w:color="1A6B8A" w:sz="2"/>
        </w:pBdr>
        <w:spacing w:after="12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5.1 Design Principles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</w:rPr>
        <w:t xml:space="preserve">Single-use enforcement </w:t>
      </w:r>
      <w:r>
        <w:rPr>
          <w:rFonts w:ascii="Arial" w:cs="Arial" w:eastAsia="Arial" w:hAnsi="Arial"/>
        </w:rPr>
        <w:t xml:space="preserve">— every address is generated, used exactly once, and permanently retired. No address is ever reused under any circumstances.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</w:rPr>
        <w:t xml:space="preserve">Key destruction after confirmation </w:t>
      </w:r>
      <w:r>
        <w:rPr>
          <w:rFonts w:ascii="Arial" w:cs="Arial" w:eastAsia="Arial" w:hAnsi="Arial"/>
        </w:rPr>
        <w:t xml:space="preserve">— private key material is securely zeroed from memory once the spend transaction achieves 1 confirmation.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</w:rPr>
        <w:t xml:space="preserve">No xpub exposure </w:t>
      </w:r>
      <w:r>
        <w:rPr>
          <w:rFonts w:ascii="Arial" w:cs="Arial" w:eastAsia="Arial" w:hAnsi="Arial"/>
        </w:rPr>
        <w:t xml:space="preserve">— the HD key tree root never leaves the signing device. Derived public keys are served individually, not as a derivable chain.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</w:rPr>
        <w:t xml:space="preserve">Taproot disabled at compile time </w:t>
      </w:r>
      <w:r>
        <w:rPr>
          <w:rFonts w:ascii="Arial" w:cs="Arial" w:eastAsia="Arial" w:hAnsi="Arial"/>
        </w:rPr>
        <w:t xml:space="preserve">— P2TR address generation is removed from the codebase entirely. It is not a user-configurable option.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</w:rPr>
        <w:t xml:space="preserve">Address pre-generation </w:t>
      </w:r>
      <w:r>
        <w:rPr>
          <w:rFonts w:ascii="Arial" w:cs="Arial" w:eastAsia="Arial" w:hAnsi="Arial"/>
        </w:rPr>
        <w:t xml:space="preserve">— the next N=20 addresses are pre-generated and indexed before they are needed, ensuring no latency at receive time.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</w:rPr>
        <w:t xml:space="preserve">Change routing </w:t>
      </w:r>
      <w:r>
        <w:rPr>
          <w:rFonts w:ascii="Arial" w:cs="Arial" w:eastAsia="Arial" w:hAnsi="Arial"/>
        </w:rPr>
        <w:t xml:space="preserve">— all change from a spend transaction automatically routes to the next fresh address in the index. No UTXO consolidation that re-exposes a key.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1A6B8A" w:sz="2"/>
        </w:pBdr>
        <w:spacing w:after="12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5.2 Address Derivation Scheme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Address Derivation — QOGE SPHINCS Wallet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8D4D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1.  Generate SLH-DSA keypair (SLH-DSA-SHA2-128f)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8D4DE"/>
                <w:sz w:val="18"/>
                <w:szCs w:val="18"/>
              </w:rPr>
              <w:t xml:space="preserve">      privkey  →  32 bytes (seed)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8D4DE"/>
                <w:sz w:val="18"/>
                <w:szCs w:val="18"/>
              </w:rPr>
              <w:t xml:space="preserve">      pubkey   →  32 bytes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8D4D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2.  Address derivation: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8D4DE"/>
                <w:sz w:val="18"/>
                <w:szCs w:val="18"/>
              </w:rPr>
              <w:t xml:space="preserve">      hash     =  SHA256(SHA256(pubkey))       // HASH256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8D4DE"/>
                <w:sz w:val="18"/>
                <w:szCs w:val="18"/>
              </w:rPr>
              <w:t xml:space="preserve">      address  =  Bech32(hrp='qoge', hash)     // custom HRP for QOGE chain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8D4D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3.  Address format example: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8D4DE"/>
                <w:sz w:val="18"/>
                <w:szCs w:val="18"/>
              </w:rPr>
              <w:t xml:space="preserve">      qoge1[bech32-encoded-hash]               // replaces bc1q prefix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8D4D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4.  Public key exposure timeline: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8D4DE"/>
                <w:sz w:val="18"/>
                <w:szCs w:val="18"/>
              </w:rPr>
              <w:t xml:space="preserve">      AT REST      → pubkey hidden behind HASH256 (quantum-safe)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8D4DE"/>
                <w:sz w:val="18"/>
                <w:szCs w:val="18"/>
              </w:rPr>
              <w:t xml:space="preserve">      AT SPEND     → pubkey in witness field for ~30-60s mempool window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8D4DE"/>
                <w:sz w:val="18"/>
                <w:szCs w:val="18"/>
              </w:rPr>
              <w:t xml:space="preserve">      POST-CONFIRM → privkey zeroed, address permanently retired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1A6B8A" w:sz="2"/>
        </w:pBdr>
        <w:spacing w:after="12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5.3 HD Key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 seed</w:t>
            </w:r>
          </w:p>
        </w:tc>
        <w:tc>
          <w:tcPr>
            <w:tcW w:type="dxa" w:w="69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256-bit entropy (hardware RNG). Never leaves signing device.</w:t>
            </w:r>
          </w:p>
        </w:tc>
      </w:tr>
      <w:tr>
        <w:tc>
          <w:tcPr>
            <w:tcW w:type="dxa" w:w="24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Derivation path</w:t>
            </w:r>
          </w:p>
        </w:tc>
        <w:tc>
          <w:tcPr>
            <w:tcW w:type="dxa" w:w="69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 / purpose' / coin_type' / account' / change / index</w:t>
            </w:r>
          </w:p>
        </w:tc>
      </w:tr>
      <w:tr>
        <w:tc>
          <w:tcPr>
            <w:tcW w:type="dxa" w:w="24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 counter</w:t>
            </w:r>
          </w:p>
        </w:tc>
        <w:tc>
          <w:tcPr>
            <w:tcW w:type="dxa" w:w="69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Monotonically incrementing. Never decrements. Persisted encrypted.</w:t>
            </w:r>
          </w:p>
        </w:tc>
      </w:tr>
      <w:tr>
        <w:tc>
          <w:tcPr>
            <w:tcW w:type="dxa" w:w="24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Pre-generation</w:t>
            </w:r>
          </w:p>
        </w:tc>
        <w:tc>
          <w:tcPr>
            <w:tcW w:type="dxa" w:w="69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 20 addresses pre-generated on wallet init and top-up.</w:t>
            </w:r>
          </w:p>
        </w:tc>
      </w:tr>
      <w:tr>
        <w:tc>
          <w:tcPr>
            <w:tcW w:type="dxa" w:w="24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 state</w:t>
            </w:r>
          </w:p>
        </w:tc>
        <w:tc>
          <w:tcPr>
            <w:tcW w:type="dxa" w:w="69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FRESH → PENDING (payment detected) → SPENT (1 confirmation) → RETIRED</w:t>
            </w:r>
          </w:p>
        </w:tc>
      </w:tr>
      <w:tr>
        <w:tc>
          <w:tcPr>
            <w:tcW w:type="dxa" w:w="24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Retirement</w:t>
            </w:r>
          </w:p>
        </w:tc>
        <w:tc>
          <w:tcPr>
            <w:tcW w:type="dxa" w:w="69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Private key securely zeroed. Address marked RETIRED in index DB. Irreversible.</w:t>
            </w:r>
          </w:p>
        </w:tc>
      </w:tr>
      <w:tr>
        <w:tc>
          <w:tcPr>
            <w:tcW w:type="dxa" w:w="24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 backup</w:t>
            </w:r>
          </w:p>
        </w:tc>
        <w:tc>
          <w:tcPr>
            <w:tcW w:type="dxa" w:w="69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Encrypted export to user-controlled offline storage. Required for wallet recovery.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1A6B8A" w:sz="2"/>
        </w:pBdr>
        <w:spacing w:after="12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5.4 Single-Use Address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State Machine — Single-Use Address Lifecycle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8D4D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6B8A"/>
                <w:sz w:val="18"/>
                <w:szCs w:val="18"/>
              </w:rPr>
              <w:t xml:space="preserve">  [FRESH] ──── payment detected ────────► [PENDING]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A6A7A"/>
                <w:sz w:val="18"/>
                <w:szCs w:val="18"/>
              </w:rPr>
              <w:t xml:space="preserve">                                              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A6A7A"/>
                <w:sz w:val="18"/>
                <w:szCs w:val="18"/>
              </w:rPr>
              <w:t xml:space="preserve">                                        tx confirmed (1 block)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A6A7A"/>
                <w:sz w:val="18"/>
                <w:szCs w:val="18"/>
              </w:rPr>
              <w:t xml:space="preserve">                                              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A6A7A"/>
                <w:sz w:val="18"/>
                <w:szCs w:val="18"/>
              </w:rPr>
              <w:t xml:space="preserve">                                               ▼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6B8A"/>
                <w:sz w:val="18"/>
                <w:szCs w:val="18"/>
              </w:rPr>
              <w:t xml:space="preserve">                                           [SPENT]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A6A7A"/>
                <w:sz w:val="18"/>
                <w:szCs w:val="18"/>
              </w:rPr>
              <w:t xml:space="preserve">                                              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A6A7A"/>
                <w:sz w:val="18"/>
                <w:szCs w:val="18"/>
              </w:rPr>
              <w:t xml:space="preserve">                                        privkey zeroed from memory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A6A7A"/>
                <w:sz w:val="18"/>
                <w:szCs w:val="18"/>
              </w:rPr>
              <w:t xml:space="preserve">                                              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A6A7A"/>
                <w:sz w:val="18"/>
                <w:szCs w:val="18"/>
              </w:rPr>
              <w:t xml:space="preserve">                                               ▼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6B8A"/>
                <w:sz w:val="18"/>
                <w:szCs w:val="18"/>
              </w:rPr>
              <w:t xml:space="preserve">  [INDEX++] ◄── next address generated ── [RETIRED]  (permanent)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8D4D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8B2500"/>
                <w:sz w:val="18"/>
                <w:szCs w:val="18"/>
              </w:rPr>
              <w:t xml:space="preserve">  INVARIANT: No address may transition FRESH → PENDING twice. EVER.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8B2500"/>
                <w:sz w:val="18"/>
                <w:szCs w:val="18"/>
              </w:rPr>
              <w:t xml:space="preserve">  INVARIANT: Change output ALWAYS routes to next FRESH address in index.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8B2500"/>
                <w:sz w:val="18"/>
                <w:szCs w:val="18"/>
              </w:rPr>
              <w:t xml:space="preserve">  INVARIANT: RETIRED state is irreversible. No recovery path exists.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C9A84C" w:sz="4"/>
        </w:pBdr>
        <w:shd w:fill="0D1B2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Implementation Plan</w:t>
      </w:r>
    </w:p>
    <w:p>
      <w:pPr>
        <w:pStyle w:val="Heading2"/>
        <w:pBdr>
          <w:bottom w:val="single" w:color="1A6B8A" w:sz="2"/>
        </w:pBdr>
        <w:spacing w:after="12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6.1 Starting Point Assessment: eomii/SPHINCS-Wallet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3360"/>
        <w:gridCol w:w="1700"/>
      </w:tblGrid>
      <w:tr>
        <w:trPr>
          <w:tblHeader/>
        </w:trPr>
        <w:tc>
          <w:tcPr>
            <w:tcW w:type="dxa" w:w="2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9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 Repo Status</w:t>
            </w:r>
          </w:p>
        </w:tc>
        <w:tc>
          <w:tcPr>
            <w:tcW w:type="dxa" w:w="3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 Required</w:t>
            </w:r>
          </w:p>
        </w:tc>
        <w:tc>
          <w:tcPr>
            <w:tcW w:type="dxa" w:w="17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SLH-DSA signing primitive</w:t>
            </w:r>
          </w:p>
        </w:tc>
        <w:tc>
          <w:tcPr>
            <w:tcW w:type="dxa" w:w="19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Present (Round 3 params)</w:t>
            </w:r>
          </w:p>
        </w:tc>
        <w:tc>
          <w:tcPr>
            <w:tcW w:type="dxa" w:w="33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liboqs-go to FIPS 205 final param sets</w:t>
            </w:r>
          </w:p>
        </w:tc>
        <w:tc>
          <w:tcPr>
            <w:tcW w:type="dxa" w:w="17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 — Blocker</w:t>
            </w:r>
          </w:p>
        </w:tc>
      </w:tr>
      <w:tr>
        <w:tc>
          <w:tcPr>
            <w:tcW w:type="dxa" w:w="24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generation</w:t>
            </w:r>
          </w:p>
        </w:tc>
        <w:tc>
          <w:tcPr>
            <w:tcW w:type="dxa" w:w="19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Present (stub)</w:t>
            </w:r>
          </w:p>
        </w:tc>
        <w:tc>
          <w:tcPr>
            <w:tcW w:type="dxa" w:w="33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Wrap in HD index counter + seed derivation</w:t>
            </w:r>
          </w:p>
        </w:tc>
        <w:tc>
          <w:tcPr>
            <w:tcW w:type="dxa" w:w="17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 — Blocker</w:t>
            </w:r>
          </w:p>
        </w:tc>
      </w:tr>
      <w:tr>
        <w:tc>
          <w:tcPr>
            <w:tcW w:type="dxa" w:w="24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 derivation</w:t>
            </w:r>
          </w:p>
        </w:tc>
        <w:tc>
          <w:tcPr>
            <w:tcW w:type="dxa" w:w="19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Absent</w:t>
            </w:r>
          </w:p>
        </w:tc>
        <w:tc>
          <w:tcPr>
            <w:tcW w:type="dxa" w:w="33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HASH256 → Bech32 with 'qoge' HRP</w:t>
            </w:r>
          </w:p>
        </w:tc>
        <w:tc>
          <w:tcPr>
            <w:tcW w:type="dxa" w:w="17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 — Blocker</w:t>
            </w:r>
          </w:p>
        </w:tc>
      </w:tr>
      <w:tr>
        <w:tc>
          <w:tcPr>
            <w:tcW w:type="dxa" w:w="24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HD key tree</w:t>
            </w:r>
          </w:p>
        </w:tc>
        <w:tc>
          <w:tcPr>
            <w:tcW w:type="dxa" w:w="19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Absent</w:t>
            </w:r>
          </w:p>
        </w:tc>
        <w:tc>
          <w:tcPr>
            <w:tcW w:type="dxa" w:w="33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BIP32-equivalent for SLH-DSA keypairs</w:t>
            </w:r>
          </w:p>
        </w:tc>
        <w:tc>
          <w:tcPr>
            <w:tcW w:type="dxa" w:w="17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 — Blocker</w:t>
            </w:r>
          </w:p>
        </w:tc>
      </w:tr>
      <w:tr>
        <w:tc>
          <w:tcPr>
            <w:tcW w:type="dxa" w:w="24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Single-use enforcement</w:t>
            </w:r>
          </w:p>
        </w:tc>
        <w:tc>
          <w:tcPr>
            <w:tcW w:type="dxa" w:w="19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Absent</w:t>
            </w:r>
          </w:p>
        </w:tc>
        <w:tc>
          <w:tcPr>
            <w:tcW w:type="dxa" w:w="33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 state machine + index DB</w:t>
            </w:r>
          </w:p>
        </w:tc>
        <w:tc>
          <w:tcPr>
            <w:tcW w:type="dxa" w:w="17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 — Blocker</w:t>
            </w:r>
          </w:p>
        </w:tc>
      </w:tr>
      <w:tr>
        <w:tc>
          <w:tcPr>
            <w:tcW w:type="dxa" w:w="24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destruction post-confirm</w:t>
            </w:r>
          </w:p>
        </w:tc>
        <w:tc>
          <w:tcPr>
            <w:tcW w:type="dxa" w:w="19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Absent</w:t>
            </w:r>
          </w:p>
        </w:tc>
        <w:tc>
          <w:tcPr>
            <w:tcW w:type="dxa" w:w="33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Secure zero on 1-confirmation callback</w:t>
            </w:r>
          </w:p>
        </w:tc>
        <w:tc>
          <w:tcPr>
            <w:tcW w:type="dxa" w:w="17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 — Blocker</w:t>
            </w:r>
          </w:p>
        </w:tc>
      </w:tr>
      <w:tr>
        <w:tc>
          <w:tcPr>
            <w:tcW w:type="dxa" w:w="24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QOGE tx format integration</w:t>
            </w:r>
          </w:p>
        </w:tc>
        <w:tc>
          <w:tcPr>
            <w:tcW w:type="dxa" w:w="19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Absent</w:t>
            </w:r>
          </w:p>
        </w:tc>
        <w:tc>
          <w:tcPr>
            <w:tcW w:type="dxa" w:w="33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 to QOGE chain transaction serialisation</w:t>
            </w:r>
          </w:p>
        </w:tc>
        <w:tc>
          <w:tcPr>
            <w:tcW w:type="dxa" w:w="17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 — Blocker</w:t>
            </w:r>
          </w:p>
        </w:tc>
      </w:tr>
      <w:tr>
        <w:tc>
          <w:tcPr>
            <w:tcW w:type="dxa" w:w="24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Taproot disable</w:t>
            </w:r>
          </w:p>
        </w:tc>
        <w:tc>
          <w:tcPr>
            <w:tcW w:type="dxa" w:w="19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Absent</w:t>
            </w:r>
          </w:p>
        </w:tc>
        <w:tc>
          <w:tcPr>
            <w:tcW w:type="dxa" w:w="33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P2TR from address type enum at compile time</w:t>
            </w:r>
          </w:p>
        </w:tc>
        <w:tc>
          <w:tcPr>
            <w:tcW w:type="dxa" w:w="17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 — Blocker</w:t>
            </w:r>
          </w:p>
        </w:tc>
      </w:tr>
      <w:tr>
        <w:tc>
          <w:tcPr>
            <w:tcW w:type="dxa" w:w="24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routing</w:t>
            </w:r>
          </w:p>
        </w:tc>
        <w:tc>
          <w:tcPr>
            <w:tcW w:type="dxa" w:w="19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Absent</w:t>
            </w:r>
          </w:p>
        </w:tc>
        <w:tc>
          <w:tcPr>
            <w:tcW w:type="dxa" w:w="33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Auto-route change output to next index address</w:t>
            </w:r>
          </w:p>
        </w:tc>
        <w:tc>
          <w:tcPr>
            <w:tcW w:type="dxa" w:w="17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 pre-generation</w:t>
            </w:r>
          </w:p>
        </w:tc>
        <w:tc>
          <w:tcPr>
            <w:tcW w:type="dxa" w:w="19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Absent</w:t>
            </w:r>
          </w:p>
        </w:tc>
        <w:tc>
          <w:tcPr>
            <w:tcW w:type="dxa" w:w="33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Pre-generate N=20 addresses on init</w:t>
            </w:r>
          </w:p>
        </w:tc>
        <w:tc>
          <w:tcPr>
            <w:tcW w:type="dxa" w:w="17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Encrypted index backup</w:t>
            </w:r>
          </w:p>
        </w:tc>
        <w:tc>
          <w:tcPr>
            <w:tcW w:type="dxa" w:w="19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Absent</w:t>
            </w:r>
          </w:p>
        </w:tc>
        <w:tc>
          <w:tcPr>
            <w:tcW w:type="dxa" w:w="33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Encrypted export/import for offline recovery</w:t>
            </w:r>
          </w:p>
        </w:tc>
        <w:tc>
          <w:tcPr>
            <w:tcW w:type="dxa" w:w="17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build environment</w:t>
            </w:r>
          </w:p>
        </w:tc>
        <w:tc>
          <w:tcPr>
            <w:tcW w:type="dxa" w:w="19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Present — functional</w:t>
            </w:r>
          </w:p>
        </w:tc>
        <w:tc>
          <w:tcPr>
            <w:tcW w:type="dxa" w:w="33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Extend for FIPS 205 dependencies</w:t>
            </w:r>
          </w:p>
        </w:tc>
        <w:tc>
          <w:tcPr>
            <w:tcW w:type="dxa" w:w="17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1A6B8A" w:sz="2"/>
        </w:pBdr>
        <w:spacing w:after="12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6.2 Development Phases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Phase 1 — Core Cryptographic Layer (P1 Blockers)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</w:rPr>
        <w:t xml:space="preserve">M1.1 </w:t>
      </w:r>
      <w:r>
        <w:rPr>
          <w:rFonts w:ascii="Arial" w:cs="Arial" w:eastAsia="Arial" w:hAnsi="Arial"/>
        </w:rPr>
        <w:t xml:space="preserve">Update liboqs-go to FIPS 205 SLH-DSA-SHA2-128f. Validate keygen/sign/verify round-trip.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</w:rPr>
        <w:t xml:space="preserve">M1.2 </w:t>
      </w:r>
      <w:r>
        <w:rPr>
          <w:rFonts w:ascii="Arial" w:cs="Arial" w:eastAsia="Arial" w:hAnsi="Arial"/>
        </w:rPr>
        <w:t xml:space="preserve">Implement HASH256(pubkey) → Bech32('qoge') address derivation with test vectors.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</w:rPr>
        <w:t xml:space="preserve">M1.3 </w:t>
      </w:r>
      <w:r>
        <w:rPr>
          <w:rFonts w:ascii="Arial" w:cs="Arial" w:eastAsia="Arial" w:hAnsi="Arial"/>
        </w:rPr>
        <w:t xml:space="preserve">Implement HD index counter with encrypted persistence and seed derivation chain.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</w:rPr>
        <w:t xml:space="preserve">M1.4 </w:t>
      </w:r>
      <w:r>
        <w:rPr>
          <w:rFonts w:ascii="Arial" w:cs="Arial" w:eastAsia="Arial" w:hAnsi="Arial"/>
        </w:rPr>
        <w:t xml:space="preserve">Implement address state machine (FRESH/PENDING/SPENT/RETIRED) with hard invariant checks.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</w:rPr>
        <w:t xml:space="preserve">M1.5 </w:t>
      </w:r>
      <w:r>
        <w:rPr>
          <w:rFonts w:ascii="Arial" w:cs="Arial" w:eastAsia="Arial" w:hAnsi="Arial"/>
        </w:rPr>
        <w:t xml:space="preserve">Implement secure key zeroing on 1-confirmation callback.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</w:rPr>
        <w:t xml:space="preserve">M1.6 </w:t>
      </w:r>
      <w:r>
        <w:rPr>
          <w:rFonts w:ascii="Arial" w:cs="Arial" w:eastAsia="Arial" w:hAnsi="Arial"/>
        </w:rPr>
        <w:t xml:space="preserve">Wire complete signing flow to QOGE transaction format. End-to-end test on testnet.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</w:rPr>
        <w:t xml:space="preserve">M1.7 </w:t>
      </w:r>
      <w:r>
        <w:rPr>
          <w:rFonts w:ascii="Arial" w:cs="Arial" w:eastAsia="Arial" w:hAnsi="Arial"/>
        </w:rPr>
        <w:t xml:space="preserve">Disable Taproot at compile time. Verify absence in all address generation code paths.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Phase 2 — Wallet Robustness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</w:rPr>
        <w:t xml:space="preserve">M2.1 </w:t>
      </w:r>
      <w:r>
        <w:rPr>
          <w:rFonts w:ascii="Arial" w:cs="Arial" w:eastAsia="Arial" w:hAnsi="Arial"/>
        </w:rPr>
        <w:t xml:space="preserve">Auto change-routing to next fresh address. Test UTXO consolidation prevention.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</w:rPr>
        <w:t xml:space="preserve">M2.2 </w:t>
      </w:r>
      <w:r>
        <w:rPr>
          <w:rFonts w:ascii="Arial" w:cs="Arial" w:eastAsia="Arial" w:hAnsi="Arial"/>
        </w:rPr>
        <w:t xml:space="preserve">Address pre-generation pool (N=20). No latency on receive address requests.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</w:rPr>
        <w:t xml:space="preserve">M2.3 </w:t>
      </w:r>
      <w:r>
        <w:rPr>
          <w:rFonts w:ascii="Arial" w:cs="Arial" w:eastAsia="Arial" w:hAnsi="Arial"/>
        </w:rPr>
        <w:t xml:space="preserve">Encrypted index backup/restore. Test full recovery from backup on fresh device.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Phase 3 — Hardening &amp; Audit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</w:rPr>
        <w:t xml:space="preserve">M3.1 </w:t>
      </w:r>
      <w:r>
        <w:rPr>
          <w:rFonts w:ascii="Arial" w:cs="Arial" w:eastAsia="Arial" w:hAnsi="Arial"/>
        </w:rPr>
        <w:t xml:space="preserve">Side-channel review of SLH-DSA signing (timing attacks, memory access patterns).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</w:rPr>
        <w:t xml:space="preserve">M3.2 </w:t>
      </w:r>
      <w:r>
        <w:rPr>
          <w:rFonts w:ascii="Arial" w:cs="Arial" w:eastAsia="Arial" w:hAnsi="Arial"/>
        </w:rPr>
        <w:t xml:space="preserve">Independent code audit mandatory before any mainnet deployment.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</w:rPr>
        <w:t xml:space="preserve">M3.3 </w:t>
      </w:r>
      <w:r>
        <w:rPr>
          <w:rFonts w:ascii="Arial" w:cs="Arial" w:eastAsia="Arial" w:hAnsi="Arial"/>
        </w:rPr>
        <w:t xml:space="preserve">Block size parameter verification — confirm QOGE chain config accommodates ~17 KB SLH-DSA transactions.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8B250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CHAIN CONFIG</w:t>
            </w:r>
          </w:p>
        </w:tc>
        <w:tc>
          <w:tcPr>
            <w:tcW w:type="dxa" w:w="792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SLH-DSA-SHA2-128f signatures are ~17,088 bytes — approximately 100x a secp256k1 transaction.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QOGE chain MAX_BLOCK_SIZE and per-transaction size limits MUST accommodate this from genesis.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Recommended: MAX_TX_SIZE &gt;= 25,000 bytes. Adjust MAX_BLOCK_SIZE to target TPS at gate frequency.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 gate-event cadence (low TPS), this is not a scaling constraint — it must be a deliberate config choice.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C9A84C" w:sz="4"/>
        </w:pBdr>
        <w:shd w:fill="0D1B2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Security Analysis</w:t>
      </w:r>
    </w:p>
    <w:p>
      <w:pPr>
        <w:pStyle w:val="Heading2"/>
        <w:pBdr>
          <w:bottom w:val="single" w:color="1A6B8A" w:sz="2"/>
        </w:pBdr>
        <w:spacing w:after="12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7.1 Combined Defence Effectiveness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1960"/>
        <w:gridCol w:w="1500"/>
      </w:tblGrid>
      <w:tr>
        <w:trPr>
          <w:tblHeader/>
        </w:trPr>
        <w:tc>
          <w:tcPr>
            <w:tcW w:type="dxa" w:w="2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Attack Vector</w:t>
            </w:r>
          </w:p>
        </w:tc>
        <w:tc>
          <w:tcPr>
            <w:tcW w:type="dxa" w:w="27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Mitigated By</w:t>
            </w:r>
          </w:p>
        </w:tc>
        <w:tc>
          <w:tcPr>
            <w:tcW w:type="dxa" w:w="19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Residual Risk</w:t>
            </w:r>
          </w:p>
        </w:tc>
        <w:tc>
          <w:tcPr>
            <w:tcW w:type="dxa" w:w="15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22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HNDL on stored UTXO</w:t>
            </w:r>
          </w:p>
        </w:tc>
        <w:tc>
          <w:tcPr>
            <w:tcW w:type="dxa" w:w="27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HASH256 hides pubkey at rest</w:t>
            </w:r>
          </w:p>
        </w:tc>
        <w:tc>
          <w:tcPr>
            <w:tcW w:type="dxa" w:w="19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while unspent</w:t>
            </w:r>
          </w:p>
        </w:tc>
        <w:tc>
          <w:tcPr>
            <w:tcW w:type="dxa" w:w="15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ELIMINATED</w:t>
            </w:r>
          </w:p>
        </w:tc>
      </w:tr>
      <w:tr>
        <w:tc>
          <w:tcPr>
            <w:tcW w:type="dxa" w:w="22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HNDL on reused address</w:t>
            </w:r>
          </w:p>
        </w:tc>
        <w:tc>
          <w:tcPr>
            <w:tcW w:type="dxa" w:w="27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Single-use enforcement — no reuse possible</w:t>
            </w:r>
          </w:p>
        </w:tc>
        <w:tc>
          <w:tcPr>
            <w:tcW w:type="dxa" w:w="19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ELIMINATED</w:t>
            </w:r>
          </w:p>
        </w:tc>
      </w:tr>
      <w:tr>
        <w:tc>
          <w:tcPr>
            <w:tcW w:type="dxa" w:w="22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Mempool window quantum</w:t>
            </w:r>
          </w:p>
        </w:tc>
        <w:tc>
          <w:tcPr>
            <w:tcW w:type="dxa" w:w="27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1-min block time + single-use (key never reused)</w:t>
            </w:r>
          </w:p>
        </w:tc>
        <w:tc>
          <w:tcPr>
            <w:tcW w:type="dxa" w:w="19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Negligible near-term</w:t>
            </w:r>
          </w:p>
        </w:tc>
        <w:tc>
          <w:tcPr>
            <w:tcW w:type="dxa" w:w="15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NEGLIGIBLE</w:t>
            </w:r>
          </w:p>
        </w:tc>
      </w:tr>
      <w:tr>
        <w:tc>
          <w:tcPr>
            <w:tcW w:type="dxa" w:w="22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Taproot pubkey exposure</w:t>
            </w:r>
          </w:p>
        </w:tc>
        <w:tc>
          <w:tcPr>
            <w:tcW w:type="dxa" w:w="27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Taproot disabled at compile time</w:t>
            </w:r>
          </w:p>
        </w:tc>
        <w:tc>
          <w:tcPr>
            <w:tcW w:type="dxa" w:w="19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ELIMINATED</w:t>
            </w:r>
          </w:p>
        </w:tc>
      </w:tr>
      <w:tr>
        <w:tc>
          <w:tcPr>
            <w:tcW w:type="dxa" w:w="22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xpub key tree exposure</w:t>
            </w:r>
          </w:p>
        </w:tc>
        <w:tc>
          <w:tcPr>
            <w:tcW w:type="dxa" w:w="27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xpub never exported or published</w:t>
            </w:r>
          </w:p>
        </w:tc>
        <w:tc>
          <w:tcPr>
            <w:tcW w:type="dxa" w:w="19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Operational discipline</w:t>
            </w:r>
          </w:p>
        </w:tc>
        <w:tc>
          <w:tcPr>
            <w:tcW w:type="dxa" w:w="15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MANAGED</w:t>
            </w:r>
          </w:p>
        </w:tc>
      </w:tr>
      <w:tr>
        <w:tc>
          <w:tcPr>
            <w:tcW w:type="dxa" w:w="22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Classical key theft</w:t>
            </w:r>
          </w:p>
        </w:tc>
        <w:tc>
          <w:tcPr>
            <w:tcW w:type="dxa" w:w="27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Outside PQC scope — standard key hygiene applies</w:t>
            </w:r>
          </w:p>
        </w:tc>
        <w:tc>
          <w:tcPr>
            <w:tcW w:type="dxa" w:w="19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15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 OF SCOPE</w:t>
            </w:r>
          </w:p>
        </w:tc>
      </w:tr>
      <w:tr>
        <w:tc>
          <w:tcPr>
            <w:tcW w:type="dxa" w:w="22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Grover on SHA-256 PoW</w:t>
            </w:r>
          </w:p>
        </w:tc>
        <w:tc>
          <w:tcPr>
            <w:tcW w:type="dxa" w:w="27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Outside scope of this SIP</w:t>
            </w:r>
          </w:p>
        </w:tc>
        <w:tc>
          <w:tcPr>
            <w:tcW w:type="dxa" w:w="19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Separate SIP if needed</w:t>
            </w:r>
          </w:p>
        </w:tc>
        <w:tc>
          <w:tcPr>
            <w:tcW w:type="dxa" w:w="15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 OF SCOPE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1A6B8A" w:sz="2"/>
        </w:pBdr>
        <w:spacing w:after="12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7.2 Known Limitations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</w:rPr>
        <w:t xml:space="preserve">Category 1 security </w:t>
      </w:r>
      <w:r>
        <w:rPr>
          <w:rFonts w:ascii="Arial" w:cs="Arial" w:eastAsia="Arial" w:hAnsi="Arial"/>
        </w:rPr>
        <w:t xml:space="preserve">— SLH-DSA-SHA2-128f is AES-128 equivalent. Upgrade to Cat 3/5 is a parameter change, not an architecture change.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</w:rPr>
        <w:t xml:space="preserve">liboqs-go not formally audited </w:t>
      </w:r>
      <w:r>
        <w:rPr>
          <w:rFonts w:ascii="Arial" w:cs="Arial" w:eastAsia="Arial" w:hAnsi="Arial"/>
        </w:rPr>
        <w:t xml:space="preserve">— Phase 3 independent audit is mandatory before mainnet.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</w:rPr>
        <w:t xml:space="preserve">Index counter loss = wallet loss </w:t>
      </w:r>
      <w:r>
        <w:rPr>
          <w:rFonts w:ascii="Arial" w:cs="Arial" w:eastAsia="Arial" w:hAnsi="Arial"/>
        </w:rPr>
        <w:t xml:space="preserve">— if index DB is destroyed without backup, address recovery is impossible. Encrypted backup (M2.3) is not optional.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</w:rPr>
        <w:t xml:space="preserve">Bridge security out of scope </w:t>
      </w:r>
      <w:r>
        <w:rPr>
          <w:rFonts w:ascii="Arial" w:cs="Arial" w:eastAsia="Arial" w:hAnsi="Arial"/>
        </w:rPr>
        <w:t xml:space="preserve">— QOGE to SAOGEN token bridge is a separate attack surface addressed in SAS bridge architecture documentation.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C9A84C" w:sz="4"/>
        </w:pBdr>
        <w:shd w:fill="0D1B2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Governance &amp; SIP-C v2.0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SIP-C Stage</w:t>
            </w:r>
          </w:p>
        </w:tc>
        <w:tc>
          <w:tcPr>
            <w:tcW w:type="dxa" w:w="67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Candidate — awaiting physics audit and SAS operability review</w:t>
            </w:r>
          </w:p>
        </w:tc>
      </w:tr>
      <w:tr>
        <w:tc>
          <w:tcPr>
            <w:tcW w:type="dxa" w:w="26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VRF-1.0 Status</w:t>
            </w:r>
          </w:p>
        </w:tc>
        <w:tc>
          <w:tcPr>
            <w:tcW w:type="dxa" w:w="67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yet registered — pending Candidate validation</w:t>
            </w:r>
          </w:p>
        </w:tc>
      </w:tr>
      <w:tr>
        <w:tc>
          <w:tcPr>
            <w:tcW w:type="dxa" w:w="26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Attribution</w:t>
            </w:r>
          </w:p>
        </w:tc>
        <w:tc>
          <w:tcPr>
            <w:tcW w:type="dxa" w:w="67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SAOGEN SAO (QOGE Architect) — AI Node: Claude (Anthropic)</w:t>
            </w:r>
          </w:p>
        </w:tc>
      </w:tr>
      <w:tr>
        <w:tc>
          <w:tcPr>
            <w:tcW w:type="dxa" w:w="26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Supersedes</w:t>
            </w:r>
          </w:p>
        </w:tc>
        <w:tc>
          <w:tcPr>
            <w:tcW w:type="dxa" w:w="67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— first PQC SIP for QOGE</w:t>
            </w:r>
          </w:p>
        </w:tc>
      </w:tr>
      <w:tr>
        <w:tc>
          <w:tcPr>
            <w:tcW w:type="dxa" w:w="26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Related SIPs</w:t>
            </w:r>
          </w:p>
        </w:tc>
        <w:tc>
          <w:tcPr>
            <w:tcW w:type="dxa" w:w="67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SIP-SPACE-03, SIP-C v2.0, VRF-1.0</w:t>
            </w:r>
          </w:p>
        </w:tc>
      </w:tr>
      <w:tr>
        <w:tc>
          <w:tcPr>
            <w:tcW w:type="dxa" w:w="26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Required</w:t>
            </w:r>
          </w:p>
        </w:tc>
        <w:tc>
          <w:tcPr>
            <w:tcW w:type="dxa" w:w="67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Physics audit (cryptographic parameter validation) + SAS operability review</w:t>
            </w:r>
          </w:p>
        </w:tc>
      </w:tr>
      <w:tr>
        <w:tc>
          <w:tcPr>
            <w:tcW w:type="dxa" w:w="26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Implementation Gate</w:t>
            </w:r>
          </w:p>
        </w:tc>
        <w:tc>
          <w:tcPr>
            <w:tcW w:type="dxa" w:w="67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 complete + independent code audit before any mainnet deployment</w:t>
            </w:r>
          </w:p>
        </w:tc>
      </w:tr>
      <w:tr>
        <w:tc>
          <w:tcPr>
            <w:tcW w:type="dxa" w:w="26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Rejection Criteria</w:t>
            </w:r>
          </w:p>
        </w:tc>
        <w:tc>
          <w:tcPr>
            <w:tcW w:type="dxa" w:w="67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FIPS 205 parameter sets found incompatible with QOGE tx format after Phase 1 engineering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C9A84C" w:sz="4"/>
        </w:pBdr>
        <w:shd w:fill="0D1B2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Appendix A — Reference Repository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700"/>
        <w:gridCol w:w="21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Repository</w:t>
            </w:r>
          </w:p>
        </w:tc>
        <w:tc>
          <w:tcPr>
            <w:tcW w:type="dxa" w:w="1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Algorithm</w:t>
            </w:r>
          </w:p>
        </w:tc>
        <w:tc>
          <w:tcPr>
            <w:tcW w:type="dxa" w:w="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Commits</w:t>
            </w:r>
          </w:p>
        </w:tc>
        <w:tc>
          <w:tcPr>
            <w:tcW w:type="dxa" w:w="7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Stars</w:t>
            </w:r>
          </w:p>
        </w:tc>
        <w:tc>
          <w:tcPr>
            <w:tcW w:type="dxa" w:w="2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  <w:tc>
          <w:tcPr>
            <w:tcW w:type="dxa" w:w="17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in QOGE</w:t>
            </w:r>
          </w:p>
        </w:tc>
      </w:tr>
      <w:tr>
        <w:tc>
          <w:tcPr>
            <w:tcW w:type="dxa" w:w="22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eomii/SPHINCS-Wallet</w:t>
            </w:r>
          </w:p>
        </w:tc>
        <w:tc>
          <w:tcPr>
            <w:tcW w:type="dxa" w:w="18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SPHINCS+ Round 3</w:t>
            </w:r>
          </w:p>
        </w:tc>
        <w:tc>
          <w:tcPr>
            <w:tcW w:type="dxa" w:w="8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 algorithm, minimal code</w:t>
            </w:r>
          </w:p>
        </w:tc>
        <w:tc>
          <w:tcPr>
            <w:tcW w:type="dxa" w:w="17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starting point</w:t>
            </w:r>
          </w:p>
        </w:tc>
      </w:tr>
      <w:tr>
        <w:tc>
          <w:tcPr>
            <w:tcW w:type="dxa" w:w="22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eomii/falconWallet</w:t>
            </w:r>
          </w:p>
        </w:tc>
        <w:tc>
          <w:tcPr>
            <w:tcW w:type="dxa" w:w="18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FALCON-512 Round 3</w:t>
            </w:r>
          </w:p>
        </w:tc>
        <w:tc>
          <w:tcPr>
            <w:tcW w:type="dxa" w:w="8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7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More developed, wrong algorithm</w:t>
            </w:r>
          </w:p>
        </w:tc>
        <w:tc>
          <w:tcPr>
            <w:tcW w:type="dxa" w:w="17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RETIRED — not used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</w:rPr>
        <w:t xml:space="preserve">falconWallet is retired from QOGE consideration. SPHINCS-Wallet uses the correct algorithm family; the liboqs-go bindings require updating from Round 3 to FIPS 205 final parameter sets before use.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C9A84C" w:sz="4"/>
        </w:pBdr>
        <w:shd w:fill="0D1B2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Appendix B — NIST PQC Standards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800"/>
        <w:gridCol w:w="19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tcW w:type="dxa" w:w="2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Algorithm</w:t>
            </w:r>
          </w:p>
        </w:tc>
        <w:tc>
          <w:tcPr>
            <w:tcW w:type="dxa" w:w="1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9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QOGE Relevance</w:t>
            </w:r>
          </w:p>
        </w:tc>
      </w:tr>
      <w:tr>
        <w:tc>
          <w:tcPr>
            <w:tcW w:type="dxa" w:w="12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FIPS 203</w:t>
            </w:r>
          </w:p>
        </w:tc>
        <w:tc>
          <w:tcPr>
            <w:tcW w:type="dxa" w:w="20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ML-KEM (Kyber)</w:t>
            </w:r>
          </w:p>
        </w:tc>
        <w:tc>
          <w:tcPr>
            <w:tcW w:type="dxa" w:w="18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encapsulation</w:t>
            </w:r>
          </w:p>
        </w:tc>
        <w:tc>
          <w:tcPr>
            <w:tcW w:type="dxa" w:w="19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Finalized Aug 2024</w:t>
            </w:r>
          </w:p>
        </w:tc>
        <w:tc>
          <w:tcPr>
            <w:tcW w:type="dxa" w:w="24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applicable — signatures only</w:t>
            </w:r>
          </w:p>
        </w:tc>
      </w:tr>
      <w:tr>
        <w:tc>
          <w:tcPr>
            <w:tcW w:type="dxa" w:w="12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FIPS 204</w:t>
            </w:r>
          </w:p>
        </w:tc>
        <w:tc>
          <w:tcPr>
            <w:tcW w:type="dxa" w:w="20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ML-DSA (Dilithium)</w:t>
            </w:r>
          </w:p>
        </w:tc>
        <w:tc>
          <w:tcPr>
            <w:tcW w:type="dxa" w:w="18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 signature</w:t>
            </w:r>
          </w:p>
        </w:tc>
        <w:tc>
          <w:tcPr>
            <w:tcW w:type="dxa" w:w="19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Finalized Aug 2024</w:t>
            </w:r>
          </w:p>
        </w:tc>
        <w:tc>
          <w:tcPr>
            <w:tcW w:type="dxa" w:w="24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Viable alternative — not selected</w:t>
            </w:r>
          </w:p>
        </w:tc>
      </w:tr>
      <w:tr>
        <w:tc>
          <w:tcPr>
            <w:tcW w:type="dxa" w:w="12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FIPS 205</w:t>
            </w:r>
          </w:p>
        </w:tc>
        <w:tc>
          <w:tcPr>
            <w:tcW w:type="dxa" w:w="20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SLH-DSA (SPHINCS+)</w:t>
            </w:r>
          </w:p>
        </w:tc>
        <w:tc>
          <w:tcPr>
            <w:tcW w:type="dxa" w:w="18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 signature</w:t>
            </w:r>
          </w:p>
        </w:tc>
        <w:tc>
          <w:tcPr>
            <w:tcW w:type="dxa" w:w="19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Finalized Aug 2024</w:t>
            </w:r>
          </w:p>
        </w:tc>
        <w:tc>
          <w:tcPr>
            <w:tcW w:type="dxa" w:w="24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SELECTED for QOGE</w:t>
            </w:r>
          </w:p>
        </w:tc>
      </w:tr>
      <w:tr>
        <w:tc>
          <w:tcPr>
            <w:tcW w:type="dxa" w:w="12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FIPS 206</w:t>
            </w:r>
          </w:p>
        </w:tc>
        <w:tc>
          <w:tcPr>
            <w:tcW w:type="dxa" w:w="20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FN-DSA (FALCON)</w:t>
            </w:r>
          </w:p>
        </w:tc>
        <w:tc>
          <w:tcPr>
            <w:tcW w:type="dxa" w:w="18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 signature</w:t>
            </w:r>
          </w:p>
        </w:tc>
        <w:tc>
          <w:tcPr>
            <w:tcW w:type="dxa" w:w="196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— pending</w:t>
            </w:r>
          </w:p>
        </w:tc>
        <w:tc>
          <w:tcPr>
            <w:tcW w:type="dxa" w:w="2400"/>
            <w:tcBorders>
              <w:top w:val="single" w:color="B8D4DE" w:sz="1"/>
              <w:left w:val="single" w:color="B8D4DE" w:sz="1"/>
              <w:bottom w:val="single" w:color="B8D4DE" w:sz="1"/>
              <w:right w:val="single" w:color="B8D4D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Rejected — see Section 4.1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SIP-QOGE-PQC-01 v1.0  —  SAOGEN SAO  |  13 June 2026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8D4DE"/>
                <w:sz w:val="18"/>
                <w:szCs w:val="18"/>
              </w:rPr>
              <w:t xml:space="preserve">Governed under SIP-C v2.0  |  AI Node Attribution: Claude (Anthropic)  |  Status: CANDIDATE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B8A" w:sz="2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5A6A7A"/>
        <w:sz w:val="16"/>
        <w:szCs w:val="16"/>
      </w:rPr>
      <w:t xml:space="preserve">Candidate — SIP-C v2.0  |  13 June 2026</w:t>
    </w:r>
    <w:r>
      <w:rPr>
        <w:color w:val="5A6A7A"/>
        <w:sz w:val="16"/>
        <w:szCs w:val="16"/>
      </w:rPr>
      <w:t xml:space="preserve">	Page </w:t>
    </w:r>
    <w:r>
      <w:rPr>
        <w:color w:val="5A6A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8A" w:sz="2"/>
      </w:pBdr>
      <w:spacing w:after="100" w:before="0"/>
    </w:pPr>
    <w:r>
      <w:rPr>
        <w:rFonts w:ascii="Arial" w:cs="Arial" w:eastAsia="Arial" w:hAnsi="Arial"/>
        <w:b/>
        <w:bCs/>
        <w:color w:val="0D1B2A"/>
        <w:sz w:val="18"/>
        <w:szCs w:val="18"/>
      </w:rPr>
      <w:t xml:space="preserve">SAOGEN  |  SIP-QOGE-PQC-01</w:t>
    </w:r>
    <w:r>
      <w:rPr>
        <w:rFonts w:ascii="Arial" w:cs="Arial" w:eastAsia="Arial" w:hAnsi="Arial"/>
        <w:color w:val="5A6A7A"/>
        <w:sz w:val="18"/>
        <w:szCs w:val="18"/>
      </w:rPr>
      <w:t xml:space="preserve">    QOGE Post-Quantum Cryptography Defence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D1B2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A6B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2026-06-13T09:13:53.489Z</dcterms:created>
  <dcterms:modified xsi:type="dcterms:W3CDTF">2026-06-13T09:13:53.489Z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