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F33" w:rsidRDefault="0079156F">
      <w:r>
        <w:rPr>
          <w:rStyle w:val="CommentReference"/>
        </w:rPr>
        <w:commentReference w:id="0"/>
      </w:r>
    </w:p>
    <w:p w:rsidR="00297F33" w:rsidRDefault="00297F33"/>
    <w:p w:rsidR="00297F33" w:rsidRDefault="00297F33"/>
    <w:p w:rsidR="00297F33" w:rsidRDefault="0049429F" w:rsidP="0049429F">
      <w:pPr>
        <w:jc w:val="center"/>
      </w:pPr>
      <w:r w:rsidRPr="0049429F">
        <w:t>** FREE PREVIEW VERSION **</w:t>
      </w:r>
    </w:p>
    <w:p w:rsidR="00297F33" w:rsidRDefault="00297F33"/>
    <w:p w:rsidR="00297F33" w:rsidRDefault="00297F33"/>
    <w:p w:rsidR="00297F33" w:rsidRDefault="00297F33" w:rsidP="00297F33">
      <w:pPr>
        <w:jc w:val="center"/>
      </w:pPr>
      <w:commentRangeStart w:id="1"/>
      <w:r>
        <w:t>[organization logo]</w:t>
      </w:r>
      <w:commentRangeEnd w:id="1"/>
      <w:r>
        <w:rPr>
          <w:rStyle w:val="CommentReference"/>
        </w:rPr>
        <w:commentReference w:id="1"/>
      </w:r>
    </w:p>
    <w:p w:rsidR="00297F33" w:rsidRDefault="00297F33" w:rsidP="00297F33">
      <w:pPr>
        <w:jc w:val="center"/>
      </w:pPr>
      <w:r>
        <w:t>[organization name]</w:t>
      </w:r>
    </w:p>
    <w:p w:rsidR="00297F33" w:rsidRDefault="00297F33" w:rsidP="00297F33">
      <w:pPr>
        <w:jc w:val="center"/>
      </w:pPr>
    </w:p>
    <w:p w:rsidR="00297F33" w:rsidRDefault="00297F33" w:rsidP="00297F33">
      <w:pPr>
        <w:jc w:val="center"/>
      </w:pPr>
    </w:p>
    <w:p w:rsidR="00297F33" w:rsidRDefault="00297F33" w:rsidP="00297F33">
      <w:pPr>
        <w:jc w:val="center"/>
        <w:rPr>
          <w:b/>
          <w:sz w:val="32"/>
          <w:szCs w:val="32"/>
        </w:rPr>
      </w:pPr>
      <w:r>
        <w:rPr>
          <w:b/>
          <w:sz w:val="32"/>
        </w:rPr>
        <w:t>BUSINESS CONTINUITY STRATEGY</w:t>
      </w:r>
    </w:p>
    <w:p w:rsidR="00297F33" w:rsidRDefault="00297F33" w:rsidP="00297F33">
      <w:pPr>
        <w:jc w:val="center"/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6912"/>
      </w:tblGrid>
      <w:tr w:rsidR="00297F33" w:rsidTr="00297F33">
        <w:tc>
          <w:tcPr>
            <w:tcW w:w="2376" w:type="dxa"/>
          </w:tcPr>
          <w:p w:rsidR="00297F33" w:rsidRDefault="00297F33" w:rsidP="00297F33">
            <w:commentRangeStart w:id="2"/>
            <w:r>
              <w:t>Code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:</w:t>
            </w:r>
          </w:p>
        </w:tc>
        <w:tc>
          <w:tcPr>
            <w:tcW w:w="6912" w:type="dxa"/>
          </w:tcPr>
          <w:p w:rsidR="00297F33" w:rsidRDefault="00297F33" w:rsidP="00297F33"/>
        </w:tc>
      </w:tr>
      <w:tr w:rsidR="00297F33" w:rsidTr="00297F33">
        <w:tc>
          <w:tcPr>
            <w:tcW w:w="2376" w:type="dxa"/>
          </w:tcPr>
          <w:p w:rsidR="00297F33" w:rsidRDefault="00297F33" w:rsidP="00297F33">
            <w:r>
              <w:t>Version:</w:t>
            </w:r>
          </w:p>
        </w:tc>
        <w:tc>
          <w:tcPr>
            <w:tcW w:w="6912" w:type="dxa"/>
          </w:tcPr>
          <w:p w:rsidR="00297F33" w:rsidRDefault="00297F33" w:rsidP="00297F33"/>
        </w:tc>
      </w:tr>
      <w:tr w:rsidR="00297F33" w:rsidTr="00297F33">
        <w:tc>
          <w:tcPr>
            <w:tcW w:w="2376" w:type="dxa"/>
          </w:tcPr>
          <w:p w:rsidR="00297F33" w:rsidRDefault="00297F33" w:rsidP="00297F33">
            <w:r>
              <w:t>Date of version:</w:t>
            </w:r>
          </w:p>
        </w:tc>
        <w:tc>
          <w:tcPr>
            <w:tcW w:w="6912" w:type="dxa"/>
          </w:tcPr>
          <w:p w:rsidR="00297F33" w:rsidRDefault="00297F33" w:rsidP="00297F33"/>
        </w:tc>
      </w:tr>
      <w:tr w:rsidR="00297F33" w:rsidTr="00297F33">
        <w:tc>
          <w:tcPr>
            <w:tcW w:w="2376" w:type="dxa"/>
          </w:tcPr>
          <w:p w:rsidR="00297F33" w:rsidRDefault="00297F33" w:rsidP="00297F33">
            <w:r>
              <w:t>Created by:</w:t>
            </w:r>
          </w:p>
        </w:tc>
        <w:tc>
          <w:tcPr>
            <w:tcW w:w="6912" w:type="dxa"/>
          </w:tcPr>
          <w:p w:rsidR="00297F33" w:rsidRDefault="00297F33" w:rsidP="00297F33"/>
        </w:tc>
      </w:tr>
      <w:tr w:rsidR="00297F33" w:rsidTr="00297F33">
        <w:tc>
          <w:tcPr>
            <w:tcW w:w="2376" w:type="dxa"/>
          </w:tcPr>
          <w:p w:rsidR="00297F33" w:rsidRDefault="00297F33" w:rsidP="00297F33">
            <w:r>
              <w:t>Approved by:</w:t>
            </w:r>
          </w:p>
        </w:tc>
        <w:tc>
          <w:tcPr>
            <w:tcW w:w="6912" w:type="dxa"/>
          </w:tcPr>
          <w:p w:rsidR="00297F33" w:rsidRDefault="00297F33" w:rsidP="00297F33"/>
        </w:tc>
      </w:tr>
      <w:tr w:rsidR="00297F33" w:rsidTr="00297F33">
        <w:tc>
          <w:tcPr>
            <w:tcW w:w="2376" w:type="dxa"/>
          </w:tcPr>
          <w:p w:rsidR="00297F33" w:rsidRDefault="00297F33" w:rsidP="00297F33">
            <w:r>
              <w:t>Confidentiality level:</w:t>
            </w:r>
          </w:p>
        </w:tc>
        <w:tc>
          <w:tcPr>
            <w:tcW w:w="6912" w:type="dxa"/>
          </w:tcPr>
          <w:p w:rsidR="00297F33" w:rsidRDefault="00297F33" w:rsidP="00297F33"/>
        </w:tc>
      </w:tr>
    </w:tbl>
    <w:p w:rsidR="00297F33" w:rsidRDefault="00297F33" w:rsidP="00297F33"/>
    <w:p w:rsidR="00297F33" w:rsidRDefault="00297F33" w:rsidP="00297F33"/>
    <w:p w:rsidR="00297F33" w:rsidRPr="00DB37F7" w:rsidRDefault="00297F33" w:rsidP="00297F33">
      <w:pPr>
        <w:rPr>
          <w:b/>
          <w:sz w:val="28"/>
          <w:szCs w:val="28"/>
        </w:rPr>
      </w:pPr>
      <w:r>
        <w:br w:type="page"/>
      </w:r>
      <w:r>
        <w:rPr>
          <w:b/>
          <w:sz w:val="28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992"/>
        <w:gridCol w:w="1560"/>
        <w:gridCol w:w="5352"/>
      </w:tblGrid>
      <w:tr w:rsidR="00297F33" w:rsidRPr="006571EC" w:rsidTr="00297F33">
        <w:tc>
          <w:tcPr>
            <w:tcW w:w="1384" w:type="dxa"/>
            <w:shd w:val="clear" w:color="auto" w:fill="D9D9D9"/>
          </w:tcPr>
          <w:p w:rsidR="00297F33" w:rsidRPr="006571EC" w:rsidRDefault="00297F33" w:rsidP="00297F33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2" w:type="dxa"/>
            <w:shd w:val="clear" w:color="auto" w:fill="D9D9D9"/>
          </w:tcPr>
          <w:p w:rsidR="00297F33" w:rsidRPr="006571EC" w:rsidRDefault="00297F33" w:rsidP="00297F33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60" w:type="dxa"/>
            <w:shd w:val="clear" w:color="auto" w:fill="D9D9D9"/>
          </w:tcPr>
          <w:p w:rsidR="00297F33" w:rsidRPr="006571EC" w:rsidRDefault="00297F33" w:rsidP="00297F33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5352" w:type="dxa"/>
            <w:shd w:val="clear" w:color="auto" w:fill="D9D9D9"/>
          </w:tcPr>
          <w:p w:rsidR="00297F33" w:rsidRPr="006571EC" w:rsidRDefault="00297F33" w:rsidP="00297F33">
            <w:pPr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297F33" w:rsidTr="00297F33">
        <w:tc>
          <w:tcPr>
            <w:tcW w:w="1384" w:type="dxa"/>
          </w:tcPr>
          <w:p w:rsidR="00297F33" w:rsidRDefault="005D7494" w:rsidP="00297F33">
            <w:r>
              <w:t>25/08</w:t>
            </w:r>
            <w:r w:rsidR="00297F33">
              <w:t>/2010</w:t>
            </w:r>
          </w:p>
        </w:tc>
        <w:tc>
          <w:tcPr>
            <w:tcW w:w="992" w:type="dxa"/>
          </w:tcPr>
          <w:p w:rsidR="00297F33" w:rsidRDefault="00297F33" w:rsidP="00297F33">
            <w:r>
              <w:t>0.1</w:t>
            </w:r>
          </w:p>
        </w:tc>
        <w:tc>
          <w:tcPr>
            <w:tcW w:w="1560" w:type="dxa"/>
          </w:tcPr>
          <w:p w:rsidR="00297F33" w:rsidRDefault="00297F33" w:rsidP="00297F33">
            <w:r>
              <w:t>Deja</w:t>
            </w:r>
            <w:r w:rsidR="00D633CC">
              <w:t>n Kos</w:t>
            </w:r>
            <w:r>
              <w:t>uti</w:t>
            </w:r>
            <w:r w:rsidR="00D633CC">
              <w:t>c</w:t>
            </w:r>
          </w:p>
        </w:tc>
        <w:tc>
          <w:tcPr>
            <w:tcW w:w="5352" w:type="dxa"/>
          </w:tcPr>
          <w:p w:rsidR="00297F33" w:rsidRDefault="00297F33" w:rsidP="00297F33">
            <w:r>
              <w:t>Basic document ou</w:t>
            </w:r>
            <w:r w:rsidR="004B5FE3">
              <w:t>t</w:t>
            </w:r>
            <w:r>
              <w:t>line</w:t>
            </w:r>
          </w:p>
        </w:tc>
      </w:tr>
      <w:tr w:rsidR="00297F33" w:rsidTr="00297F33">
        <w:tc>
          <w:tcPr>
            <w:tcW w:w="1384" w:type="dxa"/>
          </w:tcPr>
          <w:p w:rsidR="00297F33" w:rsidRDefault="00297F33" w:rsidP="00297F33"/>
        </w:tc>
        <w:tc>
          <w:tcPr>
            <w:tcW w:w="992" w:type="dxa"/>
          </w:tcPr>
          <w:p w:rsidR="00297F33" w:rsidRDefault="00297F33" w:rsidP="00297F33"/>
        </w:tc>
        <w:tc>
          <w:tcPr>
            <w:tcW w:w="1560" w:type="dxa"/>
          </w:tcPr>
          <w:p w:rsidR="00297F33" w:rsidRDefault="00297F33" w:rsidP="00297F33"/>
        </w:tc>
        <w:tc>
          <w:tcPr>
            <w:tcW w:w="5352" w:type="dxa"/>
          </w:tcPr>
          <w:p w:rsidR="00297F33" w:rsidRDefault="00297F33" w:rsidP="00297F33"/>
        </w:tc>
      </w:tr>
      <w:tr w:rsidR="00297F33" w:rsidTr="00297F33">
        <w:tc>
          <w:tcPr>
            <w:tcW w:w="1384" w:type="dxa"/>
          </w:tcPr>
          <w:p w:rsidR="00297F33" w:rsidRDefault="00297F33" w:rsidP="00297F33"/>
        </w:tc>
        <w:tc>
          <w:tcPr>
            <w:tcW w:w="992" w:type="dxa"/>
          </w:tcPr>
          <w:p w:rsidR="00297F33" w:rsidRDefault="00297F33" w:rsidP="00297F33"/>
        </w:tc>
        <w:tc>
          <w:tcPr>
            <w:tcW w:w="1560" w:type="dxa"/>
          </w:tcPr>
          <w:p w:rsidR="00297F33" w:rsidRDefault="00297F33" w:rsidP="00297F33"/>
        </w:tc>
        <w:tc>
          <w:tcPr>
            <w:tcW w:w="5352" w:type="dxa"/>
          </w:tcPr>
          <w:p w:rsidR="00297F33" w:rsidRDefault="00297F33" w:rsidP="00297F33"/>
        </w:tc>
      </w:tr>
      <w:tr w:rsidR="00297F33" w:rsidTr="00297F33">
        <w:tc>
          <w:tcPr>
            <w:tcW w:w="1384" w:type="dxa"/>
          </w:tcPr>
          <w:p w:rsidR="00297F33" w:rsidRDefault="00297F33" w:rsidP="00297F33"/>
        </w:tc>
        <w:tc>
          <w:tcPr>
            <w:tcW w:w="992" w:type="dxa"/>
          </w:tcPr>
          <w:p w:rsidR="00297F33" w:rsidRDefault="00297F33" w:rsidP="00297F33"/>
        </w:tc>
        <w:tc>
          <w:tcPr>
            <w:tcW w:w="1560" w:type="dxa"/>
          </w:tcPr>
          <w:p w:rsidR="00297F33" w:rsidRDefault="00297F33" w:rsidP="00297F33"/>
        </w:tc>
        <w:tc>
          <w:tcPr>
            <w:tcW w:w="5352" w:type="dxa"/>
          </w:tcPr>
          <w:p w:rsidR="00297F33" w:rsidRDefault="00297F33" w:rsidP="00297F33"/>
        </w:tc>
      </w:tr>
    </w:tbl>
    <w:p w:rsidR="00297F33" w:rsidRDefault="00297F33" w:rsidP="00297F33"/>
    <w:p w:rsidR="00297F33" w:rsidRPr="00DB37F7" w:rsidRDefault="00297F33" w:rsidP="00297F33">
      <w:pPr>
        <w:rPr>
          <w:b/>
          <w:sz w:val="28"/>
          <w:szCs w:val="28"/>
        </w:rPr>
      </w:pPr>
      <w:r>
        <w:rPr>
          <w:b/>
          <w:sz w:val="28"/>
        </w:rPr>
        <w:t>Table of contents</w:t>
      </w:r>
    </w:p>
    <w:p w:rsidR="006035C1" w:rsidRDefault="00F46D3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>
        <w:fldChar w:fldCharType="begin"/>
      </w:r>
      <w:r w:rsidR="00297F33">
        <w:instrText xml:space="preserve"> TOC \o "1-3" \h \z \u </w:instrText>
      </w:r>
      <w:r>
        <w:fldChar w:fldCharType="separate"/>
      </w:r>
      <w:hyperlink w:anchor="_Toc325043702" w:history="1">
        <w:r w:rsidR="006035C1" w:rsidRPr="0004334F">
          <w:rPr>
            <w:rStyle w:val="Hyperlink"/>
            <w:noProof/>
          </w:rPr>
          <w:t>1.</w:t>
        </w:r>
        <w:r w:rsidR="006035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Purpose, scope and users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3703" w:history="1">
        <w:r w:rsidR="006035C1" w:rsidRPr="0004334F">
          <w:rPr>
            <w:rStyle w:val="Hyperlink"/>
            <w:noProof/>
          </w:rPr>
          <w:t>2.</w:t>
        </w:r>
        <w:r w:rsidR="006035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Reference documents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3704" w:history="1">
        <w:r w:rsidR="006035C1" w:rsidRPr="0004334F">
          <w:rPr>
            <w:rStyle w:val="Hyperlink"/>
            <w:noProof/>
          </w:rPr>
          <w:t>3.</w:t>
        </w:r>
        <w:r w:rsidR="006035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Strategy input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05" w:history="1">
        <w:r w:rsidR="006035C1" w:rsidRPr="0004334F">
          <w:rPr>
            <w:rStyle w:val="Hyperlink"/>
            <w:noProof/>
          </w:rPr>
          <w:t>3.1.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Business Impact Analysis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06" w:history="1">
        <w:r w:rsidR="006035C1" w:rsidRPr="0004334F">
          <w:rPr>
            <w:rStyle w:val="Hyperlink"/>
            <w:noProof/>
          </w:rPr>
          <w:t>3.2.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Risk management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3707" w:history="1">
        <w:r w:rsidR="006035C1" w:rsidRPr="0004334F">
          <w:rPr>
            <w:rStyle w:val="Hyperlink"/>
            <w:noProof/>
          </w:rPr>
          <w:t>4.</w:t>
        </w:r>
        <w:r w:rsidR="006035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Incident response structure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08" w:history="1">
        <w:r w:rsidR="006035C1" w:rsidRPr="0004334F">
          <w:rPr>
            <w:rStyle w:val="Hyperlink"/>
            <w:noProof/>
          </w:rPr>
          <w:t>4.1.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Crisis Management Team and Crisis Management Support Team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3709" w:history="1">
        <w:r w:rsidR="006035C1" w:rsidRPr="0004334F">
          <w:rPr>
            <w:rStyle w:val="Hyperlink"/>
            <w:noProof/>
          </w:rPr>
          <w:t>4.1.1.</w:t>
        </w:r>
        <w:r w:rsidR="006035C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Crisis Management Team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3710" w:history="1">
        <w:r w:rsidR="006035C1" w:rsidRPr="0004334F">
          <w:rPr>
            <w:rStyle w:val="Hyperlink"/>
            <w:noProof/>
          </w:rPr>
          <w:t>4.1.2.</w:t>
        </w:r>
        <w:r w:rsidR="006035C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Crisis Management Support Team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25043711" w:history="1">
        <w:r w:rsidR="006035C1" w:rsidRPr="0004334F">
          <w:rPr>
            <w:rStyle w:val="Hyperlink"/>
            <w:noProof/>
          </w:rPr>
          <w:t>4.1.3.</w:t>
        </w:r>
        <w:r w:rsidR="006035C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Command Centre Equipment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12" w:history="1">
        <w:r w:rsidR="006035C1" w:rsidRPr="0004334F">
          <w:rPr>
            <w:rStyle w:val="Hyperlink"/>
            <w:noProof/>
          </w:rPr>
          <w:t>4.2.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Reporting and decision making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13" w:history="1">
        <w:r w:rsidR="006035C1" w:rsidRPr="0004334F">
          <w:rPr>
            <w:rStyle w:val="Hyperlink"/>
            <w:noProof/>
          </w:rPr>
          <w:t>4.3.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Cooperation with authorities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14" w:history="1">
        <w:r w:rsidR="006035C1" w:rsidRPr="0004334F">
          <w:rPr>
            <w:rStyle w:val="Hyperlink"/>
            <w:noProof/>
          </w:rPr>
          <w:t>4.4.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Building evacuation and assembly points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15" w:history="1">
        <w:r w:rsidR="006035C1" w:rsidRPr="0004334F">
          <w:rPr>
            <w:rStyle w:val="Hyperlink"/>
            <w:noProof/>
          </w:rPr>
          <w:t>4.5.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Means of communication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16" w:history="1">
        <w:r w:rsidR="006035C1" w:rsidRPr="0004334F">
          <w:rPr>
            <w:rStyle w:val="Hyperlink"/>
            <w:noProof/>
          </w:rPr>
          <w:t>4.6.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Transportation to alternative sites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17" w:history="1">
        <w:r w:rsidR="006035C1" w:rsidRPr="0004334F">
          <w:rPr>
            <w:rStyle w:val="Hyperlink"/>
            <w:noProof/>
          </w:rPr>
          <w:t>4.7.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Communicating with interested parties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3718" w:history="1">
        <w:r w:rsidR="006035C1" w:rsidRPr="0004334F">
          <w:rPr>
            <w:rStyle w:val="Hyperlink"/>
            <w:noProof/>
          </w:rPr>
          <w:t>5.</w:t>
        </w:r>
        <w:r w:rsidR="006035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Resource Strategy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19" w:history="1">
        <w:r w:rsidR="006035C1" w:rsidRPr="0004334F">
          <w:rPr>
            <w:rStyle w:val="Hyperlink"/>
            <w:noProof/>
          </w:rPr>
          <w:t>5.1.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Sites and infrastructure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20" w:history="1">
        <w:r w:rsidR="006035C1" w:rsidRPr="0004334F">
          <w:rPr>
            <w:rStyle w:val="Hyperlink"/>
            <w:noProof/>
          </w:rPr>
          <w:t>5.2.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Suppliers and outsourcing partners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21" w:history="1">
        <w:r w:rsidR="006035C1" w:rsidRPr="0004334F">
          <w:rPr>
            <w:rStyle w:val="Hyperlink"/>
            <w:noProof/>
          </w:rPr>
          <w:t>5.3.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Applications/databases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22" w:history="1">
        <w:r w:rsidR="006035C1" w:rsidRPr="0004334F">
          <w:rPr>
            <w:rStyle w:val="Hyperlink"/>
            <w:noProof/>
          </w:rPr>
          <w:t>5.4.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Data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23" w:history="1">
        <w:r w:rsidR="006035C1" w:rsidRPr="0004334F">
          <w:rPr>
            <w:rStyle w:val="Hyperlink"/>
            <w:noProof/>
          </w:rPr>
          <w:t>5.5.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Avoiding a single point of failure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3724" w:history="1">
        <w:r w:rsidR="006035C1" w:rsidRPr="0004334F">
          <w:rPr>
            <w:rStyle w:val="Hyperlink"/>
            <w:noProof/>
          </w:rPr>
          <w:t>5.6.</w:t>
        </w:r>
        <w:r w:rsidR="006035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Providing financial resources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3725" w:history="1">
        <w:r w:rsidR="006035C1" w:rsidRPr="0004334F">
          <w:rPr>
            <w:rStyle w:val="Hyperlink"/>
            <w:noProof/>
          </w:rPr>
          <w:t>6.</w:t>
        </w:r>
        <w:r w:rsidR="006035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Recovery strategy for individual activities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3726" w:history="1">
        <w:r w:rsidR="006035C1" w:rsidRPr="0004334F">
          <w:rPr>
            <w:rStyle w:val="Hyperlink"/>
            <w:noProof/>
          </w:rPr>
          <w:t>7.</w:t>
        </w:r>
        <w:r w:rsidR="006035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Implementing all necessary preparations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3727" w:history="1">
        <w:r w:rsidR="006035C1" w:rsidRPr="0004334F">
          <w:rPr>
            <w:rStyle w:val="Hyperlink"/>
            <w:noProof/>
          </w:rPr>
          <w:t>8.</w:t>
        </w:r>
        <w:r w:rsidR="006035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Managing records kept on the basis of this document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3728" w:history="1">
        <w:r w:rsidR="006035C1" w:rsidRPr="0004334F">
          <w:rPr>
            <w:rStyle w:val="Hyperlink"/>
            <w:noProof/>
          </w:rPr>
          <w:t>9.</w:t>
        </w:r>
        <w:r w:rsidR="006035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Validity and document management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035C1" w:rsidRDefault="00F46D32">
      <w:pPr>
        <w:pStyle w:val="TOC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3729" w:history="1">
        <w:r w:rsidR="006035C1" w:rsidRPr="0004334F">
          <w:rPr>
            <w:rStyle w:val="Hyperlink"/>
            <w:noProof/>
          </w:rPr>
          <w:t>10.</w:t>
        </w:r>
        <w:r w:rsidR="006035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6035C1" w:rsidRPr="0004334F">
          <w:rPr>
            <w:rStyle w:val="Hyperlink"/>
            <w:noProof/>
          </w:rPr>
          <w:t>Appendices</w:t>
        </w:r>
        <w:r w:rsidR="006035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35C1">
          <w:rPr>
            <w:noProof/>
            <w:webHidden/>
          </w:rPr>
          <w:instrText xml:space="preserve"> PAGEREF _Toc325043729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35C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97F33" w:rsidRDefault="00F46D32" w:rsidP="001A41BE">
      <w:pPr>
        <w:pStyle w:val="TOC1"/>
        <w:tabs>
          <w:tab w:val="left" w:pos="440"/>
          <w:tab w:val="right" w:leader="dot" w:pos="9062"/>
        </w:tabs>
      </w:pPr>
      <w:r>
        <w:fldChar w:fldCharType="end"/>
      </w:r>
    </w:p>
    <w:p w:rsidR="00297F33" w:rsidRPr="00DB37F7" w:rsidRDefault="00297F33" w:rsidP="00297F33">
      <w:pPr>
        <w:pStyle w:val="Heading1"/>
      </w:pPr>
      <w:r>
        <w:br w:type="page"/>
      </w:r>
      <w:bookmarkStart w:id="3" w:name="_Toc263097439"/>
      <w:bookmarkStart w:id="4" w:name="_Toc325043702"/>
      <w:r>
        <w:lastRenderedPageBreak/>
        <w:t>Purpose, scope and users</w:t>
      </w:r>
      <w:bookmarkEnd w:id="3"/>
      <w:bookmarkEnd w:id="4"/>
    </w:p>
    <w:p w:rsidR="00297F33" w:rsidRDefault="00297F33" w:rsidP="00297F33">
      <w:r>
        <w:t xml:space="preserve">The purpose of this document is to define how [organization name] will ensure that all conditions for the resumption of business activities in the case of disaster or other </w:t>
      </w:r>
      <w:r w:rsidR="00E47C0C">
        <w:t>disruptive incident</w:t>
      </w:r>
      <w:r>
        <w:t xml:space="preserve"> are met. It forms the basis for preparing the Business Continuity Plan and recovery plans. </w:t>
      </w:r>
    </w:p>
    <w:p w:rsidR="00297F33" w:rsidRDefault="00297F33" w:rsidP="00297F33">
      <w:r>
        <w:t>This document is applied to the entire BCMS scope as defined in the Business Continuity Management Policy.</w:t>
      </w:r>
    </w:p>
    <w:p w:rsidR="00297F33" w:rsidRDefault="00297F33" w:rsidP="00297F33">
      <w:r>
        <w:t>Users of this document are members of top management and persons implementing the business continuity management project.</w:t>
      </w:r>
    </w:p>
    <w:p w:rsidR="00297F33" w:rsidRDefault="00297F33" w:rsidP="00297F33"/>
    <w:p w:rsidR="00297F33" w:rsidRDefault="00297F33" w:rsidP="00297F33">
      <w:pPr>
        <w:pStyle w:val="Heading1"/>
      </w:pPr>
      <w:bookmarkStart w:id="5" w:name="_Toc263097440"/>
      <w:bookmarkStart w:id="6" w:name="_Toc325043703"/>
      <w:r>
        <w:t>Reference documents</w:t>
      </w:r>
      <w:bookmarkEnd w:id="5"/>
      <w:bookmarkEnd w:id="6"/>
    </w:p>
    <w:p w:rsidR="006A4ABD" w:rsidRDefault="006A4ABD" w:rsidP="00297F33">
      <w:pPr>
        <w:numPr>
          <w:ilvl w:val="0"/>
          <w:numId w:val="4"/>
        </w:numPr>
        <w:spacing w:after="0"/>
      </w:pPr>
      <w:r>
        <w:t>ISO 22301 standard, clauses 8.3 and 8.4.2</w:t>
      </w:r>
    </w:p>
    <w:p w:rsidR="00297F33" w:rsidRDefault="00297F33" w:rsidP="00297F33">
      <w:pPr>
        <w:numPr>
          <w:ilvl w:val="0"/>
          <w:numId w:val="4"/>
        </w:numPr>
        <w:spacing w:after="0"/>
      </w:pPr>
      <w:r>
        <w:t>BS 25999-2 standard, clauses 4.1.1 and 4.2</w:t>
      </w:r>
    </w:p>
    <w:p w:rsidR="00297F33" w:rsidRDefault="00297F33" w:rsidP="00297F33">
      <w:pPr>
        <w:numPr>
          <w:ilvl w:val="0"/>
          <w:numId w:val="4"/>
        </w:numPr>
        <w:spacing w:after="0"/>
      </w:pPr>
      <w:r>
        <w:t>Business Continuity Management Policy</w:t>
      </w:r>
    </w:p>
    <w:p w:rsidR="00297F33" w:rsidRDefault="00297F33" w:rsidP="00297F33">
      <w:pPr>
        <w:numPr>
          <w:ilvl w:val="0"/>
          <w:numId w:val="4"/>
        </w:numPr>
        <w:spacing w:after="0"/>
      </w:pPr>
      <w:r>
        <w:t>Business Impact Analysis questionnaires</w:t>
      </w:r>
    </w:p>
    <w:p w:rsidR="00297F33" w:rsidRDefault="00297F33" w:rsidP="00297F33">
      <w:pPr>
        <w:numPr>
          <w:ilvl w:val="0"/>
          <w:numId w:val="4"/>
        </w:numPr>
        <w:spacing w:after="0"/>
      </w:pPr>
      <w:r>
        <w:t>[Risk assessment document]</w:t>
      </w:r>
    </w:p>
    <w:p w:rsidR="00297F33" w:rsidRDefault="00297F33" w:rsidP="00297F33">
      <w:pPr>
        <w:numPr>
          <w:ilvl w:val="0"/>
          <w:numId w:val="4"/>
        </w:numPr>
        <w:spacing w:after="0"/>
      </w:pPr>
      <w:r>
        <w:t>[Risk treatment document]</w:t>
      </w:r>
    </w:p>
    <w:p w:rsidR="00297F33" w:rsidRDefault="00297F33" w:rsidP="00297F33">
      <w:pPr>
        <w:numPr>
          <w:ilvl w:val="0"/>
          <w:numId w:val="4"/>
        </w:numPr>
      </w:pPr>
      <w:r>
        <w:t>Business Continuity Plan containing the Incident Response Plan and recovery plans.</w:t>
      </w:r>
    </w:p>
    <w:p w:rsidR="00297F33" w:rsidRDefault="00297F33" w:rsidP="00297F33"/>
    <w:p w:rsidR="00297F33" w:rsidRDefault="00297F33" w:rsidP="00297F33">
      <w:pPr>
        <w:pStyle w:val="Heading1"/>
      </w:pPr>
      <w:bookmarkStart w:id="7" w:name="_Toc263097441"/>
      <w:bookmarkStart w:id="8" w:name="_Toc325043704"/>
      <w:r>
        <w:t>Strategy input</w:t>
      </w:r>
      <w:bookmarkEnd w:id="7"/>
      <w:bookmarkEnd w:id="8"/>
    </w:p>
    <w:p w:rsidR="00297F33" w:rsidRDefault="00297F33" w:rsidP="00297F33">
      <w:r>
        <w:t>This Strategy is written based on Business Impact Analysis results and results of risk assessment and risk treatment.</w:t>
      </w:r>
    </w:p>
    <w:p w:rsidR="00297F33" w:rsidRDefault="00297F33" w:rsidP="00297F33">
      <w:pPr>
        <w:pStyle w:val="Heading2"/>
      </w:pPr>
      <w:bookmarkStart w:id="9" w:name="_Toc263097442"/>
      <w:bookmarkStart w:id="10" w:name="_Toc325043705"/>
      <w:r>
        <w:t>Business Impact Analysis</w:t>
      </w:r>
      <w:bookmarkEnd w:id="9"/>
      <w:bookmarkEnd w:id="10"/>
    </w:p>
    <w:p w:rsidR="00297F33" w:rsidRDefault="00297F33" w:rsidP="00297F33">
      <w:r>
        <w:t>The Business Impact Analysis established that [specify how many] activities support key products and services - please see Appendix 1 for a list of such activities.</w:t>
      </w:r>
    </w:p>
    <w:p w:rsidR="00297F33" w:rsidRDefault="00297F33" w:rsidP="00297F33">
      <w:r>
        <w:t xml:space="preserve">The maximum tolerable period </w:t>
      </w:r>
      <w:r w:rsidR="003C1FFA">
        <w:t>of disruption</w:t>
      </w:r>
      <w:r>
        <w:t xml:space="preserve"> </w:t>
      </w:r>
      <w:r w:rsidR="00655C52">
        <w:t xml:space="preserve">(maximum acceptable outage) </w:t>
      </w:r>
      <w:r w:rsidR="003C1FFA">
        <w:t xml:space="preserve">for </w:t>
      </w:r>
      <w:r>
        <w:t>each activity has been determined in the Business Impact Analysis Questionnaire - please see Appendix 2</w:t>
      </w:r>
      <w:r w:rsidR="003C1FFA">
        <w:t xml:space="preserve"> </w:t>
      </w:r>
      <w:r>
        <w:t xml:space="preserve">. </w:t>
      </w:r>
    </w:p>
    <w:p w:rsidR="00297F33" w:rsidRDefault="00297F33" w:rsidP="00297F33">
      <w:r>
        <w:t>Appendix 3 determines recovery time objectives for each activity, taking into account dependencies on other activities.</w:t>
      </w:r>
    </w:p>
    <w:p w:rsidR="00297F33" w:rsidRDefault="00297F33" w:rsidP="00297F33">
      <w:pPr>
        <w:pStyle w:val="Heading2"/>
      </w:pPr>
      <w:bookmarkStart w:id="11" w:name="_Toc263097443"/>
      <w:bookmarkStart w:id="12" w:name="_Toc325043706"/>
      <w:r>
        <w:t>Risk management</w:t>
      </w:r>
      <w:bookmarkEnd w:id="11"/>
      <w:bookmarkEnd w:id="12"/>
    </w:p>
    <w:p w:rsidR="00297F33" w:rsidRDefault="00297F33" w:rsidP="00297F33">
      <w:r>
        <w:t xml:space="preserve">Assessment of risks which could affect business continuity is described in [name of document]. The highest risks which could lead to a </w:t>
      </w:r>
      <w:r w:rsidR="00655C52">
        <w:t xml:space="preserve">disruptive </w:t>
      </w:r>
      <w:r>
        <w:t>incident, i.e.</w:t>
      </w:r>
      <w:r w:rsidR="00E323AB">
        <w:t>,</w:t>
      </w:r>
      <w:r>
        <w:t xml:space="preserve"> business disruption identified during risk assessment are the following:</w:t>
      </w:r>
    </w:p>
    <w:p w:rsidR="00297F33" w:rsidRDefault="00297F33" w:rsidP="00297F33">
      <w:pPr>
        <w:numPr>
          <w:ilvl w:val="0"/>
          <w:numId w:val="9"/>
        </w:numPr>
      </w:pPr>
      <w:commentRangeStart w:id="13"/>
      <w:r>
        <w:t xml:space="preserve">  </w:t>
      </w:r>
      <w:commentRangeEnd w:id="13"/>
      <w:r>
        <w:rPr>
          <w:rStyle w:val="CommentReference"/>
        </w:rPr>
        <w:commentReference w:id="13"/>
      </w:r>
    </w:p>
    <w:p w:rsidR="00297F33" w:rsidRDefault="00297F33" w:rsidP="00297F33">
      <w:r>
        <w:lastRenderedPageBreak/>
        <w:t xml:space="preserve">For all mentioned risks </w:t>
      </w:r>
      <w:r w:rsidR="00733F6D">
        <w:t xml:space="preserve">/ </w:t>
      </w:r>
      <w:r>
        <w:t>incidents it is necessary:</w:t>
      </w:r>
    </w:p>
    <w:p w:rsidR="0049429F" w:rsidRDefault="0049429F" w:rsidP="00297F33">
      <w:r>
        <w:t>...</w:t>
      </w:r>
    </w:p>
    <w:p w:rsidR="0049429F" w:rsidRDefault="0049429F" w:rsidP="00297F33"/>
    <w:p w:rsidR="0049429F" w:rsidRDefault="0049429F" w:rsidP="0049429F">
      <w:pPr>
        <w:jc w:val="center"/>
      </w:pPr>
      <w:r>
        <w:t>** END OF FREE PREVIEW **</w:t>
      </w:r>
    </w:p>
    <w:p w:rsidR="0049429F" w:rsidRDefault="0049429F" w:rsidP="0049429F">
      <w:pPr>
        <w:jc w:val="center"/>
      </w:pPr>
      <w:r>
        <w:t>To download full version of this document click here: http://www.iso27001standard.com/en/documentation/Business-Continuity-Strategy</w:t>
      </w:r>
    </w:p>
    <w:p w:rsidR="0049429F" w:rsidRDefault="0049429F" w:rsidP="00297F33"/>
    <w:sectPr w:rsidR="0049429F" w:rsidSect="00297F33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jan Kosutic" w:date="2012-05-14T11:45:00Z" w:initials="DK">
    <w:p w:rsidR="007007AD" w:rsidRDefault="007007AD" w:rsidP="0079156F">
      <w:pPr>
        <w:pStyle w:val="CommentText"/>
      </w:pPr>
      <w:r>
        <w:rPr>
          <w:rStyle w:val="CommentReference"/>
        </w:rPr>
        <w:annotationRef/>
      </w:r>
      <w:r>
        <w:t>To learn how to fill in this document see:</w:t>
      </w:r>
    </w:p>
    <w:p w:rsidR="007007AD" w:rsidRDefault="007007AD" w:rsidP="0079156F">
      <w:pPr>
        <w:pStyle w:val="CommentText"/>
      </w:pPr>
    </w:p>
    <w:p w:rsidR="007007AD" w:rsidRDefault="007007AD" w:rsidP="0079156F">
      <w:pPr>
        <w:pStyle w:val="CommentText"/>
      </w:pPr>
      <w:r w:rsidRPr="0079156F">
        <w:rPr>
          <w:b/>
        </w:rPr>
        <w:t>Webinar</w:t>
      </w:r>
      <w:r>
        <w:t xml:space="preserve"> '</w:t>
      </w:r>
      <w:r w:rsidRPr="0079156F">
        <w:t>BS 25999-2 Foundations Part 2: Business Continuity Strategy</w:t>
      </w:r>
      <w:r>
        <w:t>' http://www.iso27001standard.com/webinars</w:t>
      </w:r>
    </w:p>
  </w:comment>
  <w:comment w:id="1" w:author="Dejan Košutić" w:date="2012-05-14T11:45:00Z" w:initials="DK">
    <w:p w:rsidR="007007AD" w:rsidRDefault="007007AD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2" w:author="Dejan Košutić" w:date="2012-05-14T11:45:00Z" w:initials="DK">
    <w:p w:rsidR="007007AD" w:rsidRDefault="007007AD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13" w:author="Dejan Košutić" w:date="2012-05-14T11:45:00Z" w:initials="DK">
    <w:p w:rsidR="007007AD" w:rsidRDefault="007007AD">
      <w:pPr>
        <w:pStyle w:val="CommentText"/>
      </w:pPr>
      <w:r>
        <w:rPr>
          <w:rStyle w:val="CommentReference"/>
        </w:rPr>
        <w:annotationRef/>
      </w:r>
      <w:r>
        <w:t>List all unacceptable risks or five to ten highest risks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951" w:rsidRDefault="00182951" w:rsidP="00297F33">
      <w:pPr>
        <w:spacing w:after="0" w:line="240" w:lineRule="auto"/>
      </w:pPr>
      <w:r>
        <w:separator/>
      </w:r>
    </w:p>
  </w:endnote>
  <w:endnote w:type="continuationSeparator" w:id="1">
    <w:p w:rsidR="00182951" w:rsidRDefault="00182951" w:rsidP="00297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3227"/>
      <w:gridCol w:w="2410"/>
      <w:gridCol w:w="3685"/>
    </w:tblGrid>
    <w:tr w:rsidR="007007AD" w:rsidRPr="006571EC" w:rsidTr="00D633CC">
      <w:tc>
        <w:tcPr>
          <w:tcW w:w="3227" w:type="dxa"/>
        </w:tcPr>
        <w:p w:rsidR="007007AD" w:rsidRPr="00CB2178" w:rsidRDefault="007007AD" w:rsidP="00297F33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Business Continuity Strategy</w:t>
          </w:r>
        </w:p>
      </w:tc>
      <w:tc>
        <w:tcPr>
          <w:tcW w:w="2410" w:type="dxa"/>
        </w:tcPr>
        <w:p w:rsidR="007007AD" w:rsidRPr="00CB2178" w:rsidRDefault="007007AD" w:rsidP="00297F3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685" w:type="dxa"/>
        </w:tcPr>
        <w:p w:rsidR="007007AD" w:rsidRPr="00CB2178" w:rsidRDefault="007007AD" w:rsidP="00297F33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F46D32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F46D32">
            <w:rPr>
              <w:b/>
              <w:sz w:val="18"/>
            </w:rPr>
            <w:fldChar w:fldCharType="separate"/>
          </w:r>
          <w:r w:rsidR="0049429F">
            <w:rPr>
              <w:b/>
              <w:noProof/>
              <w:sz w:val="18"/>
            </w:rPr>
            <w:t>4</w:t>
          </w:r>
          <w:r w:rsidR="00F46D32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F46D32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F46D32">
            <w:rPr>
              <w:b/>
              <w:sz w:val="18"/>
            </w:rPr>
            <w:fldChar w:fldCharType="separate"/>
          </w:r>
          <w:r w:rsidR="0049429F">
            <w:rPr>
              <w:b/>
              <w:noProof/>
              <w:sz w:val="18"/>
            </w:rPr>
            <w:t>4</w:t>
          </w:r>
          <w:r w:rsidR="00F46D32">
            <w:rPr>
              <w:b/>
              <w:sz w:val="18"/>
            </w:rPr>
            <w:fldChar w:fldCharType="end"/>
          </w:r>
        </w:p>
      </w:tc>
    </w:tr>
  </w:tbl>
  <w:p w:rsidR="007007AD" w:rsidRPr="004B1E43" w:rsidRDefault="007007AD" w:rsidP="00297F3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©2012 This template may be used by clients of EPPS Services Ltd. </w:t>
    </w:r>
    <w:r w:rsidRPr="001B2B3E">
      <w:rPr>
        <w:sz w:val="16"/>
      </w:rPr>
      <w:t>www.iso27001standard.com</w:t>
    </w:r>
    <w:r>
      <w:rPr>
        <w:sz w:val="16"/>
      </w:rPr>
      <w:t xml:space="preserve"> in accordance with the Licence Agreement.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7AD" w:rsidRPr="004B1E43" w:rsidRDefault="007007AD" w:rsidP="00297F3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©2012 This template may be used by clients of EPPS Services Ltd. </w:t>
    </w:r>
    <w:r w:rsidRPr="001B2B3E">
      <w:rPr>
        <w:sz w:val="16"/>
      </w:rPr>
      <w:t>www.iso27001standard.com</w:t>
    </w:r>
    <w:r>
      <w:rPr>
        <w:sz w:val="16"/>
      </w:rPr>
      <w:t xml:space="preserve"> in accordance with the Licence 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951" w:rsidRDefault="00182951" w:rsidP="00297F33">
      <w:pPr>
        <w:spacing w:after="0" w:line="240" w:lineRule="auto"/>
      </w:pPr>
      <w:r>
        <w:separator/>
      </w:r>
    </w:p>
  </w:footnote>
  <w:footnote w:type="continuationSeparator" w:id="1">
    <w:p w:rsidR="00182951" w:rsidRDefault="00182951" w:rsidP="00297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2517"/>
    </w:tblGrid>
    <w:tr w:rsidR="007007AD" w:rsidRPr="006571EC" w:rsidTr="00297F33">
      <w:tc>
        <w:tcPr>
          <w:tcW w:w="6771" w:type="dxa"/>
        </w:tcPr>
        <w:p w:rsidR="007007AD" w:rsidRPr="00CB2178" w:rsidRDefault="007007AD" w:rsidP="00297F33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7007AD" w:rsidRPr="00CB2178" w:rsidRDefault="007007AD" w:rsidP="00297F33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7007AD" w:rsidRPr="003056B2" w:rsidRDefault="007007AD" w:rsidP="00297F33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F184D14"/>
    <w:multiLevelType w:val="hybridMultilevel"/>
    <w:tmpl w:val="B3E883CC"/>
    <w:lvl w:ilvl="0" w:tplc="4DCC1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1A606E" w:tentative="1">
      <w:start w:val="1"/>
      <w:numFmt w:val="lowerLetter"/>
      <w:lvlText w:val="%2."/>
      <w:lvlJc w:val="left"/>
      <w:pPr>
        <w:ind w:left="1440" w:hanging="360"/>
      </w:pPr>
    </w:lvl>
    <w:lvl w:ilvl="2" w:tplc="F2D6BBD0" w:tentative="1">
      <w:start w:val="1"/>
      <w:numFmt w:val="lowerRoman"/>
      <w:lvlText w:val="%3."/>
      <w:lvlJc w:val="right"/>
      <w:pPr>
        <w:ind w:left="2160" w:hanging="180"/>
      </w:pPr>
    </w:lvl>
    <w:lvl w:ilvl="3" w:tplc="B89E341A" w:tentative="1">
      <w:start w:val="1"/>
      <w:numFmt w:val="decimal"/>
      <w:lvlText w:val="%4."/>
      <w:lvlJc w:val="left"/>
      <w:pPr>
        <w:ind w:left="2880" w:hanging="360"/>
      </w:pPr>
    </w:lvl>
    <w:lvl w:ilvl="4" w:tplc="1708123E" w:tentative="1">
      <w:start w:val="1"/>
      <w:numFmt w:val="lowerLetter"/>
      <w:lvlText w:val="%5."/>
      <w:lvlJc w:val="left"/>
      <w:pPr>
        <w:ind w:left="3600" w:hanging="360"/>
      </w:pPr>
    </w:lvl>
    <w:lvl w:ilvl="5" w:tplc="4500983A" w:tentative="1">
      <w:start w:val="1"/>
      <w:numFmt w:val="lowerRoman"/>
      <w:lvlText w:val="%6."/>
      <w:lvlJc w:val="right"/>
      <w:pPr>
        <w:ind w:left="4320" w:hanging="180"/>
      </w:pPr>
    </w:lvl>
    <w:lvl w:ilvl="6" w:tplc="77764794" w:tentative="1">
      <w:start w:val="1"/>
      <w:numFmt w:val="decimal"/>
      <w:lvlText w:val="%7."/>
      <w:lvlJc w:val="left"/>
      <w:pPr>
        <w:ind w:left="5040" w:hanging="360"/>
      </w:pPr>
    </w:lvl>
    <w:lvl w:ilvl="7" w:tplc="7B7A9E0C" w:tentative="1">
      <w:start w:val="1"/>
      <w:numFmt w:val="lowerLetter"/>
      <w:lvlText w:val="%8."/>
      <w:lvlJc w:val="left"/>
      <w:pPr>
        <w:ind w:left="5760" w:hanging="360"/>
      </w:pPr>
    </w:lvl>
    <w:lvl w:ilvl="8" w:tplc="D92AB6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5243"/>
    <w:multiLevelType w:val="hybridMultilevel"/>
    <w:tmpl w:val="18B66EA6"/>
    <w:lvl w:ilvl="0" w:tplc="D056153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ECCA4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0299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E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A8E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8081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A0B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C30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6CD2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B6A77"/>
    <w:multiLevelType w:val="hybridMultilevel"/>
    <w:tmpl w:val="D66CA80E"/>
    <w:lvl w:ilvl="0" w:tplc="A3987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C81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503C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68B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AD4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064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1AAD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218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AA9F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0DE0B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663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B89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068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F04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FA3F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C1F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A6D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728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D42AD"/>
    <w:multiLevelType w:val="hybridMultilevel"/>
    <w:tmpl w:val="478E6896"/>
    <w:lvl w:ilvl="0" w:tplc="8912E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4B7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2083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666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429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76DB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EEC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4C8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E801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44F83"/>
    <w:multiLevelType w:val="hybridMultilevel"/>
    <w:tmpl w:val="3E129AE4"/>
    <w:lvl w:ilvl="0" w:tplc="304E7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5837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B0A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CD0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44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B0A0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7AE5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87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663D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9618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06A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C02E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98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43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E3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9AF0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449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509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E04F6"/>
    <w:multiLevelType w:val="hybridMultilevel"/>
    <w:tmpl w:val="F7F86D04"/>
    <w:lvl w:ilvl="0" w:tplc="024C5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9A97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E049DEE" w:tentative="1">
      <w:start w:val="1"/>
      <w:numFmt w:val="lowerRoman"/>
      <w:lvlText w:val="%3."/>
      <w:lvlJc w:val="right"/>
      <w:pPr>
        <w:ind w:left="2160" w:hanging="180"/>
      </w:pPr>
    </w:lvl>
    <w:lvl w:ilvl="3" w:tplc="4466519C" w:tentative="1">
      <w:start w:val="1"/>
      <w:numFmt w:val="decimal"/>
      <w:lvlText w:val="%4."/>
      <w:lvlJc w:val="left"/>
      <w:pPr>
        <w:ind w:left="2880" w:hanging="360"/>
      </w:pPr>
    </w:lvl>
    <w:lvl w:ilvl="4" w:tplc="52CE1ACA" w:tentative="1">
      <w:start w:val="1"/>
      <w:numFmt w:val="lowerLetter"/>
      <w:lvlText w:val="%5."/>
      <w:lvlJc w:val="left"/>
      <w:pPr>
        <w:ind w:left="3600" w:hanging="360"/>
      </w:pPr>
    </w:lvl>
    <w:lvl w:ilvl="5" w:tplc="41B4F252" w:tentative="1">
      <w:start w:val="1"/>
      <w:numFmt w:val="lowerRoman"/>
      <w:lvlText w:val="%6."/>
      <w:lvlJc w:val="right"/>
      <w:pPr>
        <w:ind w:left="4320" w:hanging="180"/>
      </w:pPr>
    </w:lvl>
    <w:lvl w:ilvl="6" w:tplc="CC42A994" w:tentative="1">
      <w:start w:val="1"/>
      <w:numFmt w:val="decimal"/>
      <w:lvlText w:val="%7."/>
      <w:lvlJc w:val="left"/>
      <w:pPr>
        <w:ind w:left="5040" w:hanging="360"/>
      </w:pPr>
    </w:lvl>
    <w:lvl w:ilvl="7" w:tplc="3C8AF4F6" w:tentative="1">
      <w:start w:val="1"/>
      <w:numFmt w:val="lowerLetter"/>
      <w:lvlText w:val="%8."/>
      <w:lvlJc w:val="left"/>
      <w:pPr>
        <w:ind w:left="5760" w:hanging="360"/>
      </w:pPr>
    </w:lvl>
    <w:lvl w:ilvl="8" w:tplc="329AC1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13337D"/>
    <w:multiLevelType w:val="hybridMultilevel"/>
    <w:tmpl w:val="2458CE32"/>
    <w:lvl w:ilvl="0" w:tplc="2AB6E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E7B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F20E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25C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0DF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F8EA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CCAA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88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9EA5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C3E11"/>
    <w:multiLevelType w:val="hybridMultilevel"/>
    <w:tmpl w:val="C6148D18"/>
    <w:lvl w:ilvl="0" w:tplc="6178A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A66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E48F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EB4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CA9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F6FA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6CE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E4A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E0CE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F85D64"/>
    <w:multiLevelType w:val="hybridMultilevel"/>
    <w:tmpl w:val="1CAE9B3C"/>
    <w:lvl w:ilvl="0" w:tplc="3FAC2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61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7E65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C5C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8DE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A4E3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C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66A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6866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B3408"/>
    <w:multiLevelType w:val="hybridMultilevel"/>
    <w:tmpl w:val="BC50BECA"/>
    <w:lvl w:ilvl="0" w:tplc="E2BCEA78">
      <w:start w:val="1"/>
      <w:numFmt w:val="decimal"/>
      <w:lvlText w:val="%1."/>
      <w:lvlJc w:val="left"/>
      <w:pPr>
        <w:ind w:left="720" w:hanging="360"/>
      </w:pPr>
    </w:lvl>
    <w:lvl w:ilvl="1" w:tplc="7F823CA2" w:tentative="1">
      <w:start w:val="1"/>
      <w:numFmt w:val="lowerLetter"/>
      <w:lvlText w:val="%2."/>
      <w:lvlJc w:val="left"/>
      <w:pPr>
        <w:ind w:left="1440" w:hanging="360"/>
      </w:pPr>
    </w:lvl>
    <w:lvl w:ilvl="2" w:tplc="7F485360" w:tentative="1">
      <w:start w:val="1"/>
      <w:numFmt w:val="lowerRoman"/>
      <w:lvlText w:val="%3."/>
      <w:lvlJc w:val="right"/>
      <w:pPr>
        <w:ind w:left="2160" w:hanging="180"/>
      </w:pPr>
    </w:lvl>
    <w:lvl w:ilvl="3" w:tplc="ECC6E6E6" w:tentative="1">
      <w:start w:val="1"/>
      <w:numFmt w:val="decimal"/>
      <w:lvlText w:val="%4."/>
      <w:lvlJc w:val="left"/>
      <w:pPr>
        <w:ind w:left="2880" w:hanging="360"/>
      </w:pPr>
    </w:lvl>
    <w:lvl w:ilvl="4" w:tplc="AE12793C" w:tentative="1">
      <w:start w:val="1"/>
      <w:numFmt w:val="lowerLetter"/>
      <w:lvlText w:val="%5."/>
      <w:lvlJc w:val="left"/>
      <w:pPr>
        <w:ind w:left="3600" w:hanging="360"/>
      </w:pPr>
    </w:lvl>
    <w:lvl w:ilvl="5" w:tplc="92485EAE" w:tentative="1">
      <w:start w:val="1"/>
      <w:numFmt w:val="lowerRoman"/>
      <w:lvlText w:val="%6."/>
      <w:lvlJc w:val="right"/>
      <w:pPr>
        <w:ind w:left="4320" w:hanging="180"/>
      </w:pPr>
    </w:lvl>
    <w:lvl w:ilvl="6" w:tplc="B36CCA54" w:tentative="1">
      <w:start w:val="1"/>
      <w:numFmt w:val="decimal"/>
      <w:lvlText w:val="%7."/>
      <w:lvlJc w:val="left"/>
      <w:pPr>
        <w:ind w:left="5040" w:hanging="360"/>
      </w:pPr>
    </w:lvl>
    <w:lvl w:ilvl="7" w:tplc="868C39E0" w:tentative="1">
      <w:start w:val="1"/>
      <w:numFmt w:val="lowerLetter"/>
      <w:lvlText w:val="%8."/>
      <w:lvlJc w:val="left"/>
      <w:pPr>
        <w:ind w:left="5760" w:hanging="360"/>
      </w:pPr>
    </w:lvl>
    <w:lvl w:ilvl="8" w:tplc="D20A4EC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10"/>
  </w:num>
  <w:num w:numId="8">
    <w:abstractNumId w:val="8"/>
  </w:num>
  <w:num w:numId="9">
    <w:abstractNumId w:val="3"/>
  </w:num>
  <w:num w:numId="10">
    <w:abstractNumId w:val="12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DFD"/>
    <w:rsid w:val="00007430"/>
    <w:rsid w:val="00024332"/>
    <w:rsid w:val="000405A3"/>
    <w:rsid w:val="00056E4E"/>
    <w:rsid w:val="00066E46"/>
    <w:rsid w:val="0008494B"/>
    <w:rsid w:val="000B2DEC"/>
    <w:rsid w:val="000E2C91"/>
    <w:rsid w:val="000F5E28"/>
    <w:rsid w:val="001255D0"/>
    <w:rsid w:val="001706A1"/>
    <w:rsid w:val="00182951"/>
    <w:rsid w:val="00193A94"/>
    <w:rsid w:val="00196AE3"/>
    <w:rsid w:val="001A41BE"/>
    <w:rsid w:val="001B0852"/>
    <w:rsid w:val="001B2B3E"/>
    <w:rsid w:val="001D1EEF"/>
    <w:rsid w:val="001D5A18"/>
    <w:rsid w:val="002048F3"/>
    <w:rsid w:val="0022578C"/>
    <w:rsid w:val="002571BB"/>
    <w:rsid w:val="00264A83"/>
    <w:rsid w:val="002666F9"/>
    <w:rsid w:val="00271800"/>
    <w:rsid w:val="00272211"/>
    <w:rsid w:val="00297F33"/>
    <w:rsid w:val="002A6877"/>
    <w:rsid w:val="003005BB"/>
    <w:rsid w:val="00305935"/>
    <w:rsid w:val="00326865"/>
    <w:rsid w:val="00336169"/>
    <w:rsid w:val="003851C2"/>
    <w:rsid w:val="003C1FFA"/>
    <w:rsid w:val="003D7956"/>
    <w:rsid w:val="00400E99"/>
    <w:rsid w:val="00453010"/>
    <w:rsid w:val="004579D4"/>
    <w:rsid w:val="004677C0"/>
    <w:rsid w:val="00475F84"/>
    <w:rsid w:val="0049429F"/>
    <w:rsid w:val="004A7108"/>
    <w:rsid w:val="004B0717"/>
    <w:rsid w:val="004B5FE3"/>
    <w:rsid w:val="0050434E"/>
    <w:rsid w:val="00512AE6"/>
    <w:rsid w:val="00513B51"/>
    <w:rsid w:val="00533A5C"/>
    <w:rsid w:val="00541E5D"/>
    <w:rsid w:val="0058157D"/>
    <w:rsid w:val="005B28A2"/>
    <w:rsid w:val="005D7494"/>
    <w:rsid w:val="005D7B71"/>
    <w:rsid w:val="006035C1"/>
    <w:rsid w:val="00633A21"/>
    <w:rsid w:val="006503B8"/>
    <w:rsid w:val="00655C52"/>
    <w:rsid w:val="006A4ABD"/>
    <w:rsid w:val="006A5A65"/>
    <w:rsid w:val="006B7B47"/>
    <w:rsid w:val="006C2EF9"/>
    <w:rsid w:val="006D5FAE"/>
    <w:rsid w:val="006E3F5E"/>
    <w:rsid w:val="007007AD"/>
    <w:rsid w:val="00733F6D"/>
    <w:rsid w:val="00737745"/>
    <w:rsid w:val="0077207E"/>
    <w:rsid w:val="00777DF9"/>
    <w:rsid w:val="00787925"/>
    <w:rsid w:val="0079156F"/>
    <w:rsid w:val="00793834"/>
    <w:rsid w:val="007A3D44"/>
    <w:rsid w:val="007B75E0"/>
    <w:rsid w:val="00843DDF"/>
    <w:rsid w:val="0085776C"/>
    <w:rsid w:val="008655B3"/>
    <w:rsid w:val="00883BE3"/>
    <w:rsid w:val="008C0712"/>
    <w:rsid w:val="009137E4"/>
    <w:rsid w:val="00927234"/>
    <w:rsid w:val="00927DFD"/>
    <w:rsid w:val="00955817"/>
    <w:rsid w:val="00963E51"/>
    <w:rsid w:val="00975C24"/>
    <w:rsid w:val="009A1EFE"/>
    <w:rsid w:val="00A05683"/>
    <w:rsid w:val="00A14E99"/>
    <w:rsid w:val="00A17054"/>
    <w:rsid w:val="00A63A62"/>
    <w:rsid w:val="00A71A55"/>
    <w:rsid w:val="00AA793A"/>
    <w:rsid w:val="00AF65F3"/>
    <w:rsid w:val="00B172C5"/>
    <w:rsid w:val="00B224E4"/>
    <w:rsid w:val="00B30772"/>
    <w:rsid w:val="00B5314E"/>
    <w:rsid w:val="00B6652B"/>
    <w:rsid w:val="00B711FB"/>
    <w:rsid w:val="00B805AA"/>
    <w:rsid w:val="00B84C83"/>
    <w:rsid w:val="00B85F76"/>
    <w:rsid w:val="00B91CF3"/>
    <w:rsid w:val="00BB68F8"/>
    <w:rsid w:val="00C1534E"/>
    <w:rsid w:val="00C25CC1"/>
    <w:rsid w:val="00C3302F"/>
    <w:rsid w:val="00C54AAE"/>
    <w:rsid w:val="00CA51AB"/>
    <w:rsid w:val="00CE11C3"/>
    <w:rsid w:val="00D058B2"/>
    <w:rsid w:val="00D2355A"/>
    <w:rsid w:val="00D567D5"/>
    <w:rsid w:val="00D633CC"/>
    <w:rsid w:val="00D8281F"/>
    <w:rsid w:val="00DD0B01"/>
    <w:rsid w:val="00DD4F03"/>
    <w:rsid w:val="00DE1616"/>
    <w:rsid w:val="00DF09BA"/>
    <w:rsid w:val="00E323AB"/>
    <w:rsid w:val="00E478FD"/>
    <w:rsid w:val="00E47C0C"/>
    <w:rsid w:val="00E936AE"/>
    <w:rsid w:val="00EB25FA"/>
    <w:rsid w:val="00F35BC9"/>
    <w:rsid w:val="00F46D32"/>
    <w:rsid w:val="00F5368C"/>
    <w:rsid w:val="00F67E99"/>
    <w:rsid w:val="00F92EA6"/>
    <w:rsid w:val="00F97C00"/>
    <w:rsid w:val="00FB20AC"/>
    <w:rsid w:val="00FE3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3CC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CF5E-727D-41AC-BF2C-6F7872D0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Business Continuity Strategy</vt:lpstr>
      <vt:lpstr>Business Continuity Strategy</vt:lpstr>
    </vt:vector>
  </TitlesOfParts>
  <Company>EPPS Services Ltd</Company>
  <LinksUpToDate>false</LinksUpToDate>
  <CharactersWithSpaces>5040</CharactersWithSpaces>
  <SharedDoc>false</SharedDoc>
  <HLinks>
    <vt:vector size="162" baseType="variant"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_Toc268171715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_Toc268171714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_Toc268171713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_Toc268171712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_Toc268171711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_Toc268171710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_Toc268171709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_Toc268171708</vt:lpwstr>
      </vt:variant>
      <vt:variant>
        <vt:i4>1114170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_Toc268171707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_Toc268171706</vt:lpwstr>
      </vt:variant>
      <vt:variant>
        <vt:i4>1114170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_Toc268171705</vt:lpwstr>
      </vt:variant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_Toc268171704</vt:lpwstr>
      </vt:variant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_Toc268171703</vt:lpwstr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_Toc268171702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_Toc268171701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_Toc268171700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_Toc268171699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_Toc268171698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_Toc268171697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_Toc268171696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_Toc268171695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_Toc268171694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_Toc268171693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_Toc268171692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_Toc268171691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_Toc268171690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_Toc268171689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Continuity Strategy</dc:title>
  <dc:creator>Dejan Kosutic</dc:creator>
  <dc:description>©2012 This template may be used by clients of EPPS services Ltd. www.iso27001standard.com in accordance with the Licence Agreement.</dc:description>
  <cp:lastModifiedBy>korisnik</cp:lastModifiedBy>
  <cp:revision>2</cp:revision>
  <dcterms:created xsi:type="dcterms:W3CDTF">2012-05-20T03:04:00Z</dcterms:created>
  <dcterms:modified xsi:type="dcterms:W3CDTF">2012-05-20T03:04:00Z</dcterms:modified>
</cp:coreProperties>
</file>