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93" w:rsidRPr="00E321E5" w:rsidRDefault="00DD20B0">
      <w:pPr>
        <w:rPr>
          <w:lang w:val="en-US"/>
        </w:rPr>
      </w:pPr>
      <w:r w:rsidRPr="00E321E5">
        <w:rPr>
          <w:rStyle w:val="CommentReference"/>
          <w:lang w:val="en-US"/>
        </w:rPr>
        <w:commentReference w:id="0"/>
      </w:r>
    </w:p>
    <w:p w:rsidR="00C41893" w:rsidRPr="00E321E5" w:rsidRDefault="00C41893">
      <w:pPr>
        <w:rPr>
          <w:lang w:val="en-US"/>
        </w:rPr>
      </w:pPr>
    </w:p>
    <w:p w:rsidR="00C41893" w:rsidRPr="00E321E5" w:rsidRDefault="00C41893">
      <w:pPr>
        <w:rPr>
          <w:lang w:val="en-US"/>
        </w:rPr>
      </w:pPr>
    </w:p>
    <w:p w:rsidR="00C41893" w:rsidRPr="00E321E5" w:rsidRDefault="00B148BD" w:rsidP="00B148BD">
      <w:pPr>
        <w:jc w:val="center"/>
        <w:rPr>
          <w:lang w:val="en-US"/>
        </w:rPr>
      </w:pPr>
      <w:r w:rsidRPr="005751EF">
        <w:t>** FREE PREVIEW VERSION **</w:t>
      </w:r>
    </w:p>
    <w:p w:rsidR="00C41893" w:rsidRPr="00E321E5" w:rsidRDefault="00C41893">
      <w:pPr>
        <w:rPr>
          <w:lang w:val="en-US"/>
        </w:rPr>
      </w:pPr>
    </w:p>
    <w:p w:rsidR="00C41893" w:rsidRPr="00E321E5" w:rsidRDefault="00C41893">
      <w:pPr>
        <w:rPr>
          <w:lang w:val="en-US"/>
        </w:rPr>
      </w:pPr>
    </w:p>
    <w:p w:rsidR="00C41893" w:rsidRPr="00E321E5" w:rsidRDefault="00C41893" w:rsidP="00C41893">
      <w:pPr>
        <w:jc w:val="center"/>
        <w:rPr>
          <w:lang w:val="en-US"/>
        </w:rPr>
      </w:pPr>
      <w:commentRangeStart w:id="1"/>
      <w:r w:rsidRPr="00E321E5">
        <w:rPr>
          <w:lang w:val="en-US"/>
        </w:rPr>
        <w:t>[</w:t>
      </w:r>
      <w:proofErr w:type="gramStart"/>
      <w:r w:rsidRPr="00E321E5">
        <w:rPr>
          <w:lang w:val="en-US"/>
        </w:rPr>
        <w:t>organization</w:t>
      </w:r>
      <w:proofErr w:type="gramEnd"/>
      <w:r w:rsidRPr="00E321E5">
        <w:rPr>
          <w:lang w:val="en-US"/>
        </w:rPr>
        <w:t xml:space="preserve"> logo]</w:t>
      </w:r>
      <w:commentRangeEnd w:id="1"/>
      <w:r w:rsidRPr="00E321E5">
        <w:rPr>
          <w:rStyle w:val="CommentReference"/>
          <w:lang w:val="en-US"/>
        </w:rPr>
        <w:commentReference w:id="1"/>
      </w:r>
    </w:p>
    <w:p w:rsidR="00C41893" w:rsidRPr="00E321E5" w:rsidRDefault="00C41893" w:rsidP="00C41893">
      <w:pPr>
        <w:jc w:val="center"/>
        <w:rPr>
          <w:lang w:val="en-US"/>
        </w:rPr>
      </w:pPr>
      <w:r w:rsidRPr="00E321E5">
        <w:rPr>
          <w:lang w:val="en-US"/>
        </w:rPr>
        <w:t>[</w:t>
      </w:r>
      <w:proofErr w:type="gramStart"/>
      <w:r w:rsidRPr="00E321E5">
        <w:rPr>
          <w:lang w:val="en-US"/>
        </w:rPr>
        <w:t>organization</w:t>
      </w:r>
      <w:proofErr w:type="gramEnd"/>
      <w:r w:rsidRPr="00E321E5">
        <w:rPr>
          <w:lang w:val="en-US"/>
        </w:rPr>
        <w:t xml:space="preserve"> name]</w:t>
      </w:r>
    </w:p>
    <w:p w:rsidR="00C41893" w:rsidRPr="00E321E5" w:rsidRDefault="00C41893" w:rsidP="00C41893">
      <w:pPr>
        <w:jc w:val="center"/>
        <w:rPr>
          <w:lang w:val="en-US"/>
        </w:rPr>
      </w:pPr>
    </w:p>
    <w:p w:rsidR="00C41893" w:rsidRPr="00E321E5" w:rsidRDefault="00C41893" w:rsidP="00C41893">
      <w:pPr>
        <w:jc w:val="center"/>
        <w:rPr>
          <w:lang w:val="en-US"/>
        </w:rPr>
      </w:pPr>
    </w:p>
    <w:p w:rsidR="00C41893" w:rsidRPr="00E321E5" w:rsidRDefault="00365F9F" w:rsidP="00C41893">
      <w:pPr>
        <w:jc w:val="center"/>
        <w:rPr>
          <w:b/>
          <w:sz w:val="32"/>
          <w:szCs w:val="32"/>
          <w:lang w:val="en-US"/>
        </w:rPr>
      </w:pPr>
      <w:r w:rsidRPr="00E321E5">
        <w:rPr>
          <w:b/>
          <w:sz w:val="32"/>
          <w:lang w:val="en-US"/>
        </w:rPr>
        <w:t>STATEMENT OF APPLICABILITY</w:t>
      </w:r>
    </w:p>
    <w:p w:rsidR="00C41893" w:rsidRPr="00E321E5" w:rsidRDefault="00C41893" w:rsidP="00C4189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41893" w:rsidRPr="00E321E5" w:rsidTr="00C41893">
        <w:tc>
          <w:tcPr>
            <w:tcW w:w="2376" w:type="dxa"/>
          </w:tcPr>
          <w:p w:rsidR="00C41893" w:rsidRPr="00E321E5" w:rsidRDefault="00C41893" w:rsidP="00C41893">
            <w:pPr>
              <w:rPr>
                <w:lang w:val="en-US"/>
              </w:rPr>
            </w:pPr>
            <w:commentRangeStart w:id="2"/>
            <w:r w:rsidRPr="00E321E5">
              <w:rPr>
                <w:lang w:val="en-US"/>
              </w:rPr>
              <w:t>Code</w:t>
            </w:r>
            <w:commentRangeEnd w:id="2"/>
            <w:r w:rsidRPr="00E321E5">
              <w:rPr>
                <w:rStyle w:val="CommentReference"/>
                <w:lang w:val="en-US"/>
              </w:rPr>
              <w:commentReference w:id="2"/>
            </w:r>
            <w:r w:rsidRPr="00E321E5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2376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2376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2376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2376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2376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</w:tbl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lang w:val="en-US"/>
        </w:rPr>
        <w:br w:type="page"/>
      </w:r>
      <w:r w:rsidRPr="00E321E5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41893" w:rsidRPr="00E321E5" w:rsidTr="00C41893">
        <w:tc>
          <w:tcPr>
            <w:tcW w:w="1384" w:type="dxa"/>
          </w:tcPr>
          <w:p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b/>
                <w:lang w:val="en-US"/>
              </w:rPr>
            </w:pPr>
            <w:r w:rsidRPr="00E321E5">
              <w:rPr>
                <w:b/>
                <w:lang w:val="en-US"/>
              </w:rPr>
              <w:t>Description of change</w:t>
            </w:r>
          </w:p>
        </w:tc>
      </w:tr>
      <w:tr w:rsidR="00C41893" w:rsidRPr="00E321E5" w:rsidTr="00C41893">
        <w:tc>
          <w:tcPr>
            <w:tcW w:w="1384" w:type="dxa"/>
          </w:tcPr>
          <w:p w:rsidR="00C41893" w:rsidRPr="00E321E5" w:rsidRDefault="00E321E5" w:rsidP="00C41893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lang w:val="en-US"/>
              </w:rPr>
            </w:pPr>
            <w:r w:rsidRPr="00E321E5">
              <w:rPr>
                <w:lang w:val="en-US"/>
              </w:rPr>
              <w:t>Basic document outline</w:t>
            </w:r>
          </w:p>
        </w:tc>
      </w:tr>
      <w:tr w:rsidR="00C41893" w:rsidRPr="00E321E5" w:rsidTr="00C41893">
        <w:tc>
          <w:tcPr>
            <w:tcW w:w="1384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1384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1384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1384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1384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  <w:tr w:rsidR="00C41893" w:rsidRPr="00E321E5" w:rsidTr="00C41893">
        <w:tc>
          <w:tcPr>
            <w:tcW w:w="1384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41893" w:rsidRPr="00E321E5" w:rsidRDefault="00C41893" w:rsidP="00C41893">
            <w:pPr>
              <w:rPr>
                <w:lang w:val="en-US"/>
              </w:rPr>
            </w:pPr>
          </w:p>
        </w:tc>
      </w:tr>
    </w:tbl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rPr>
          <w:b/>
          <w:sz w:val="28"/>
          <w:szCs w:val="28"/>
          <w:lang w:val="en-US"/>
        </w:rPr>
      </w:pPr>
      <w:r w:rsidRPr="00E321E5">
        <w:rPr>
          <w:b/>
          <w:sz w:val="28"/>
          <w:lang w:val="en-US"/>
        </w:rPr>
        <w:t>Table of contents</w:t>
      </w:r>
    </w:p>
    <w:p w:rsidR="007835A1" w:rsidRDefault="007C50C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E321E5">
        <w:rPr>
          <w:lang w:val="en-US"/>
        </w:rPr>
        <w:fldChar w:fldCharType="begin"/>
      </w:r>
      <w:r w:rsidR="00365F9F" w:rsidRPr="00E321E5">
        <w:rPr>
          <w:lang w:val="en-US"/>
        </w:rPr>
        <w:instrText xml:space="preserve"> TOC \o "1-3" \h \z \u </w:instrText>
      </w:r>
      <w:r w:rsidRPr="00E321E5">
        <w:rPr>
          <w:lang w:val="en-US"/>
        </w:rPr>
        <w:fldChar w:fldCharType="separate"/>
      </w:r>
      <w:hyperlink w:anchor="_Toc368134451" w:history="1">
        <w:r w:rsidR="007835A1" w:rsidRPr="007B5E6A">
          <w:rPr>
            <w:rStyle w:val="Hyperlink"/>
            <w:noProof/>
            <w:lang w:val="en-US"/>
          </w:rPr>
          <w:t>1.</w:t>
        </w:r>
        <w:r w:rsidR="007835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835A1" w:rsidRPr="007B5E6A">
          <w:rPr>
            <w:rStyle w:val="Hyperlink"/>
            <w:noProof/>
            <w:lang w:val="en-US"/>
          </w:rPr>
          <w:t>Purpose, scope and users</w:t>
        </w:r>
        <w:r w:rsidR="007835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35A1">
          <w:rPr>
            <w:noProof/>
            <w:webHidden/>
          </w:rPr>
          <w:instrText xml:space="preserve"> PAGEREF _Toc368134451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5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35A1" w:rsidRDefault="00B071B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4452" w:history="1">
        <w:r w:rsidR="007835A1" w:rsidRPr="007B5E6A">
          <w:rPr>
            <w:rStyle w:val="Hyperlink"/>
            <w:noProof/>
            <w:lang w:val="en-US"/>
          </w:rPr>
          <w:t>2.</w:t>
        </w:r>
        <w:r w:rsidR="007835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835A1" w:rsidRPr="007B5E6A">
          <w:rPr>
            <w:rStyle w:val="Hyperlink"/>
            <w:noProof/>
            <w:lang w:val="en-US"/>
          </w:rPr>
          <w:t>Reference documents</w:t>
        </w:r>
        <w:r w:rsidR="007835A1">
          <w:rPr>
            <w:noProof/>
            <w:webHidden/>
          </w:rPr>
          <w:tab/>
        </w:r>
        <w:r w:rsidR="007C50C7">
          <w:rPr>
            <w:noProof/>
            <w:webHidden/>
          </w:rPr>
          <w:fldChar w:fldCharType="begin"/>
        </w:r>
        <w:r w:rsidR="007835A1">
          <w:rPr>
            <w:noProof/>
            <w:webHidden/>
          </w:rPr>
          <w:instrText xml:space="preserve"> PAGEREF _Toc368134452 \h </w:instrText>
        </w:r>
        <w:r w:rsidR="007C50C7">
          <w:rPr>
            <w:noProof/>
            <w:webHidden/>
          </w:rPr>
        </w:r>
        <w:r w:rsidR="007C50C7">
          <w:rPr>
            <w:noProof/>
            <w:webHidden/>
          </w:rPr>
          <w:fldChar w:fldCharType="separate"/>
        </w:r>
        <w:r w:rsidR="007835A1">
          <w:rPr>
            <w:noProof/>
            <w:webHidden/>
          </w:rPr>
          <w:t>3</w:t>
        </w:r>
        <w:r w:rsidR="007C50C7">
          <w:rPr>
            <w:noProof/>
            <w:webHidden/>
          </w:rPr>
          <w:fldChar w:fldCharType="end"/>
        </w:r>
      </w:hyperlink>
    </w:p>
    <w:p w:rsidR="007835A1" w:rsidRDefault="00B071B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4453" w:history="1">
        <w:r w:rsidR="007835A1" w:rsidRPr="007B5E6A">
          <w:rPr>
            <w:rStyle w:val="Hyperlink"/>
            <w:noProof/>
            <w:lang w:val="en-US"/>
          </w:rPr>
          <w:t>3.</w:t>
        </w:r>
        <w:r w:rsidR="007835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835A1" w:rsidRPr="007B5E6A">
          <w:rPr>
            <w:rStyle w:val="Hyperlink"/>
            <w:noProof/>
            <w:lang w:val="en-US"/>
          </w:rPr>
          <w:t>Applicability of controls</w:t>
        </w:r>
        <w:r w:rsidR="007835A1">
          <w:rPr>
            <w:noProof/>
            <w:webHidden/>
          </w:rPr>
          <w:tab/>
        </w:r>
        <w:r w:rsidR="007C50C7">
          <w:rPr>
            <w:noProof/>
            <w:webHidden/>
          </w:rPr>
          <w:fldChar w:fldCharType="begin"/>
        </w:r>
        <w:r w:rsidR="007835A1">
          <w:rPr>
            <w:noProof/>
            <w:webHidden/>
          </w:rPr>
          <w:instrText xml:space="preserve"> PAGEREF _Toc368134453 \h </w:instrText>
        </w:r>
        <w:r w:rsidR="007C50C7">
          <w:rPr>
            <w:noProof/>
            <w:webHidden/>
          </w:rPr>
        </w:r>
        <w:r w:rsidR="007C50C7">
          <w:rPr>
            <w:noProof/>
            <w:webHidden/>
          </w:rPr>
          <w:fldChar w:fldCharType="separate"/>
        </w:r>
        <w:r w:rsidR="007835A1">
          <w:rPr>
            <w:noProof/>
            <w:webHidden/>
          </w:rPr>
          <w:t>3</w:t>
        </w:r>
        <w:r w:rsidR="007C50C7">
          <w:rPr>
            <w:noProof/>
            <w:webHidden/>
          </w:rPr>
          <w:fldChar w:fldCharType="end"/>
        </w:r>
      </w:hyperlink>
    </w:p>
    <w:p w:rsidR="007835A1" w:rsidRDefault="00B071B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4454" w:history="1">
        <w:r w:rsidR="007835A1" w:rsidRPr="007B5E6A">
          <w:rPr>
            <w:rStyle w:val="Hyperlink"/>
            <w:noProof/>
            <w:lang w:val="en-US"/>
          </w:rPr>
          <w:t>4.</w:t>
        </w:r>
        <w:r w:rsidR="007835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835A1" w:rsidRPr="007B5E6A">
          <w:rPr>
            <w:rStyle w:val="Hyperlink"/>
            <w:noProof/>
            <w:lang w:val="en-US"/>
          </w:rPr>
          <w:t>Acceptance of Residual Risks</w:t>
        </w:r>
        <w:r w:rsidR="007835A1">
          <w:rPr>
            <w:noProof/>
            <w:webHidden/>
          </w:rPr>
          <w:tab/>
        </w:r>
        <w:r w:rsidR="007C50C7">
          <w:rPr>
            <w:noProof/>
            <w:webHidden/>
          </w:rPr>
          <w:fldChar w:fldCharType="begin"/>
        </w:r>
        <w:r w:rsidR="007835A1">
          <w:rPr>
            <w:noProof/>
            <w:webHidden/>
          </w:rPr>
          <w:instrText xml:space="preserve"> PAGEREF _Toc368134454 \h </w:instrText>
        </w:r>
        <w:r w:rsidR="007C50C7">
          <w:rPr>
            <w:noProof/>
            <w:webHidden/>
          </w:rPr>
        </w:r>
        <w:r w:rsidR="007C50C7">
          <w:rPr>
            <w:noProof/>
            <w:webHidden/>
          </w:rPr>
          <w:fldChar w:fldCharType="separate"/>
        </w:r>
        <w:r w:rsidR="007835A1">
          <w:rPr>
            <w:noProof/>
            <w:webHidden/>
          </w:rPr>
          <w:t>22</w:t>
        </w:r>
        <w:r w:rsidR="007C50C7">
          <w:rPr>
            <w:noProof/>
            <w:webHidden/>
          </w:rPr>
          <w:fldChar w:fldCharType="end"/>
        </w:r>
      </w:hyperlink>
    </w:p>
    <w:p w:rsidR="007835A1" w:rsidRDefault="00B071B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134456" w:history="1">
        <w:r w:rsidR="007835A1" w:rsidRPr="007B5E6A">
          <w:rPr>
            <w:rStyle w:val="Hyperlink"/>
            <w:noProof/>
            <w:lang w:val="en-US"/>
          </w:rPr>
          <w:t>5.</w:t>
        </w:r>
        <w:r w:rsidR="007835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835A1" w:rsidRPr="007B5E6A">
          <w:rPr>
            <w:rStyle w:val="Hyperlink"/>
            <w:noProof/>
            <w:lang w:val="en-US"/>
          </w:rPr>
          <w:t>Validity and document management</w:t>
        </w:r>
        <w:r w:rsidR="007835A1">
          <w:rPr>
            <w:noProof/>
            <w:webHidden/>
          </w:rPr>
          <w:tab/>
        </w:r>
        <w:r w:rsidR="007C50C7">
          <w:rPr>
            <w:noProof/>
            <w:webHidden/>
          </w:rPr>
          <w:fldChar w:fldCharType="begin"/>
        </w:r>
        <w:r w:rsidR="007835A1">
          <w:rPr>
            <w:noProof/>
            <w:webHidden/>
          </w:rPr>
          <w:instrText xml:space="preserve"> PAGEREF _Toc368134456 \h </w:instrText>
        </w:r>
        <w:r w:rsidR="007C50C7">
          <w:rPr>
            <w:noProof/>
            <w:webHidden/>
          </w:rPr>
        </w:r>
        <w:r w:rsidR="007C50C7">
          <w:rPr>
            <w:noProof/>
            <w:webHidden/>
          </w:rPr>
          <w:fldChar w:fldCharType="separate"/>
        </w:r>
        <w:r w:rsidR="007835A1">
          <w:rPr>
            <w:noProof/>
            <w:webHidden/>
          </w:rPr>
          <w:t>23</w:t>
        </w:r>
        <w:r w:rsidR="007C50C7">
          <w:rPr>
            <w:noProof/>
            <w:webHidden/>
          </w:rPr>
          <w:fldChar w:fldCharType="end"/>
        </w:r>
      </w:hyperlink>
    </w:p>
    <w:p w:rsidR="00365F9F" w:rsidRPr="00E321E5" w:rsidRDefault="007C50C7">
      <w:pPr>
        <w:rPr>
          <w:lang w:val="en-US"/>
        </w:rPr>
      </w:pPr>
      <w:r w:rsidRPr="00E321E5">
        <w:rPr>
          <w:lang w:val="en-US"/>
        </w:rPr>
        <w:fldChar w:fldCharType="end"/>
      </w:r>
    </w:p>
    <w:p w:rsidR="00C41893" w:rsidRPr="00E321E5" w:rsidRDefault="00C41893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pStyle w:val="Heading1"/>
        <w:rPr>
          <w:lang w:val="en-US"/>
        </w:rPr>
      </w:pPr>
      <w:r w:rsidRPr="00E321E5">
        <w:rPr>
          <w:lang w:val="en-US"/>
        </w:rPr>
        <w:br w:type="page"/>
      </w:r>
      <w:bookmarkStart w:id="3" w:name="_Toc270318689"/>
      <w:bookmarkStart w:id="4" w:name="_Toc368134451"/>
      <w:r w:rsidRPr="00E321E5">
        <w:rPr>
          <w:lang w:val="en-US"/>
        </w:rPr>
        <w:lastRenderedPageBreak/>
        <w:t>Purpose, scope and users</w:t>
      </w:r>
      <w:bookmarkEnd w:id="3"/>
      <w:bookmarkEnd w:id="4"/>
    </w:p>
    <w:p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>The purpose of this document is to define which controls are appropriate to be implemented in [organization name], the objectives of these controls</w:t>
      </w:r>
      <w:r w:rsidR="003973D5">
        <w:rPr>
          <w:lang w:val="en-US"/>
        </w:rPr>
        <w:t xml:space="preserve"> and</w:t>
      </w:r>
      <w:r w:rsidRPr="00E321E5">
        <w:rPr>
          <w:lang w:val="en-US"/>
        </w:rPr>
        <w:t xml:space="preserve"> how they are implemented, as well as to approve residual risks and formally approve the implementation of said controls. </w:t>
      </w:r>
    </w:p>
    <w:p w:rsidR="00C41893" w:rsidRPr="00E321E5" w:rsidRDefault="00C41893" w:rsidP="00C41893">
      <w:pPr>
        <w:numPr>
          <w:ilvl w:val="1"/>
          <w:numId w:val="0"/>
        </w:numPr>
        <w:spacing w:line="240" w:lineRule="auto"/>
        <w:rPr>
          <w:lang w:val="en-US"/>
        </w:rPr>
      </w:pPr>
      <w:r w:rsidRPr="00E321E5">
        <w:rPr>
          <w:lang w:val="en-US"/>
        </w:rPr>
        <w:t>This document includes all controls listed in Annex A of the ISO 27001 standard.  Controls are applicable to the entire Information Security Management System (ISMS) scope.</w:t>
      </w:r>
    </w:p>
    <w:p w:rsidR="00C41893" w:rsidRPr="00E321E5" w:rsidRDefault="00C41893" w:rsidP="00C41893">
      <w:pPr>
        <w:rPr>
          <w:lang w:val="en-US"/>
        </w:rPr>
      </w:pPr>
      <w:r w:rsidRPr="00E321E5">
        <w:rPr>
          <w:lang w:val="en-US"/>
        </w:rPr>
        <w:t xml:space="preserve">Users of this document are all employees of [organization name] who have a role in the ISMS. </w:t>
      </w:r>
    </w:p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pStyle w:val="Heading1"/>
        <w:rPr>
          <w:lang w:val="en-US"/>
        </w:rPr>
      </w:pPr>
      <w:bookmarkStart w:id="5" w:name="_Toc270318690"/>
      <w:bookmarkStart w:id="6" w:name="_Toc368134452"/>
      <w:r w:rsidRPr="00E321E5">
        <w:rPr>
          <w:lang w:val="en-US"/>
        </w:rPr>
        <w:t>Reference documents</w:t>
      </w:r>
      <w:bookmarkEnd w:id="5"/>
      <w:bookmarkEnd w:id="6"/>
    </w:p>
    <w:p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 xml:space="preserve">ISO/IEC 27001 standard, clause </w:t>
      </w:r>
      <w:r w:rsidR="007835A1">
        <w:rPr>
          <w:lang w:val="en-US"/>
        </w:rPr>
        <w:t>6.1.3 d)</w:t>
      </w:r>
    </w:p>
    <w:p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Information Security Policy</w:t>
      </w:r>
    </w:p>
    <w:p w:rsidR="00C41893" w:rsidRPr="00E321E5" w:rsidRDefault="00C41893" w:rsidP="00C41893">
      <w:pPr>
        <w:numPr>
          <w:ilvl w:val="0"/>
          <w:numId w:val="4"/>
        </w:numPr>
        <w:spacing w:after="0"/>
        <w:rPr>
          <w:lang w:val="en-US"/>
        </w:rPr>
      </w:pPr>
      <w:r w:rsidRPr="00E321E5">
        <w:rPr>
          <w:lang w:val="en-US"/>
        </w:rPr>
        <w:t>Risk Assessment and Risk Treatment Methodology</w:t>
      </w:r>
    </w:p>
    <w:p w:rsidR="00C41893" w:rsidRPr="00E321E5" w:rsidRDefault="00C41893" w:rsidP="00C41893">
      <w:pPr>
        <w:numPr>
          <w:ilvl w:val="0"/>
          <w:numId w:val="4"/>
        </w:numPr>
        <w:rPr>
          <w:lang w:val="en-US"/>
        </w:rPr>
      </w:pPr>
      <w:r w:rsidRPr="00E321E5">
        <w:rPr>
          <w:lang w:val="en-US"/>
        </w:rPr>
        <w:t xml:space="preserve">Risk Assessment </w:t>
      </w:r>
      <w:r w:rsidR="0047345A">
        <w:rPr>
          <w:lang w:val="en-US"/>
        </w:rPr>
        <w:t xml:space="preserve">and Risk Treatment </w:t>
      </w:r>
      <w:r w:rsidRPr="00E321E5">
        <w:rPr>
          <w:lang w:val="en-US"/>
        </w:rPr>
        <w:t>Report</w:t>
      </w:r>
    </w:p>
    <w:p w:rsidR="00C41893" w:rsidRPr="00E321E5" w:rsidRDefault="00C41893" w:rsidP="00C41893">
      <w:pPr>
        <w:rPr>
          <w:lang w:val="en-US"/>
        </w:rPr>
      </w:pPr>
    </w:p>
    <w:p w:rsidR="00C41893" w:rsidRPr="00E321E5" w:rsidRDefault="00C41893" w:rsidP="00C41893">
      <w:pPr>
        <w:pStyle w:val="Heading1"/>
        <w:spacing w:line="240" w:lineRule="auto"/>
        <w:rPr>
          <w:lang w:val="en-US"/>
        </w:rPr>
      </w:pPr>
      <w:bookmarkStart w:id="7" w:name="_Toc270318691"/>
      <w:bookmarkStart w:id="8" w:name="_Toc368134453"/>
      <w:r w:rsidRPr="00E321E5">
        <w:rPr>
          <w:lang w:val="en-US"/>
        </w:rPr>
        <w:t>Applicability of controls</w:t>
      </w:r>
      <w:bookmarkEnd w:id="7"/>
      <w:bookmarkEnd w:id="8"/>
    </w:p>
    <w:p w:rsidR="00C41893" w:rsidRDefault="00C41893" w:rsidP="00C41893">
      <w:pPr>
        <w:rPr>
          <w:lang w:val="en-US"/>
        </w:rPr>
      </w:pPr>
      <w:r w:rsidRPr="00E321E5">
        <w:rPr>
          <w:lang w:val="en-US"/>
        </w:rPr>
        <w:t xml:space="preserve">The following controls from ISO 27001 Annex A are applicable: </w:t>
      </w:r>
    </w:p>
    <w:tbl>
      <w:tblPr>
        <w:tblW w:w="91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3"/>
        <w:gridCol w:w="2313"/>
        <w:gridCol w:w="992"/>
        <w:gridCol w:w="1276"/>
        <w:gridCol w:w="1275"/>
        <w:gridCol w:w="1560"/>
        <w:gridCol w:w="816"/>
      </w:tblGrid>
      <w:tr w:rsidR="000B3B2A" w:rsidRPr="00E321E5" w:rsidTr="00942026">
        <w:trPr>
          <w:cantSplit/>
          <w:trHeight w:val="255"/>
          <w:tblHeader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vAlign w:val="bottom"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ID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  <w:noWrap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E321E5">
              <w:rPr>
                <w:color w:val="000000"/>
                <w:sz w:val="20"/>
                <w:lang w:val="en-US"/>
              </w:rPr>
              <w:t>Controls according to ISO/IEC 27001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proofErr w:type="spellStart"/>
            <w:r w:rsidRPr="00E321E5">
              <w:rPr>
                <w:color w:val="000000"/>
                <w:sz w:val="20"/>
                <w:lang w:val="en-US"/>
              </w:rPr>
              <w:t>Appli</w:t>
            </w:r>
            <w:r>
              <w:rPr>
                <w:color w:val="000000"/>
                <w:sz w:val="20"/>
                <w:lang w:val="en-US"/>
              </w:rPr>
              <w:t>-</w:t>
            </w:r>
            <w:r w:rsidRPr="00E321E5">
              <w:rPr>
                <w:color w:val="000000"/>
                <w:sz w:val="20"/>
                <w:lang w:val="en-US"/>
              </w:rPr>
              <w:t>cability</w:t>
            </w:r>
            <w:proofErr w:type="spellEnd"/>
            <w:r w:rsidRPr="00E321E5">
              <w:rPr>
                <w:color w:val="000000"/>
                <w:sz w:val="20"/>
                <w:lang w:val="en-US"/>
              </w:rPr>
              <w:t xml:space="preserve"> (YES/NO)</w:t>
            </w: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Justification</w:t>
            </w:r>
            <w:r w:rsidRPr="00E321E5">
              <w:rPr>
                <w:color w:val="000000"/>
                <w:sz w:val="20"/>
                <w:lang w:val="en-US"/>
              </w:rPr>
              <w:t xml:space="preserve"> for </w:t>
            </w:r>
            <w:commentRangeStart w:id="9"/>
            <w:r w:rsidRPr="00E321E5">
              <w:rPr>
                <w:color w:val="000000"/>
                <w:sz w:val="20"/>
                <w:lang w:val="en-US"/>
              </w:rPr>
              <w:t>selection/ non-selection</w:t>
            </w:r>
            <w:commentRangeEnd w:id="9"/>
            <w:r w:rsidRPr="00E321E5">
              <w:rPr>
                <w:rStyle w:val="CommentReference"/>
                <w:lang w:val="en-US"/>
              </w:rPr>
              <w:commentReference w:id="9"/>
            </w: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0"/>
            <w:r w:rsidRPr="00E321E5">
              <w:rPr>
                <w:color w:val="000000"/>
                <w:sz w:val="20"/>
                <w:lang w:val="en-US"/>
              </w:rPr>
              <w:t>Control objectives</w:t>
            </w:r>
            <w:commentRangeEnd w:id="10"/>
            <w:r w:rsidRPr="00E321E5">
              <w:rPr>
                <w:rStyle w:val="CommentReference"/>
                <w:lang w:val="en-US"/>
              </w:rPr>
              <w:commentReference w:id="10"/>
            </w: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1"/>
            <w:r w:rsidRPr="00E321E5">
              <w:rPr>
                <w:color w:val="000000"/>
                <w:sz w:val="20"/>
                <w:lang w:val="en-US"/>
              </w:rPr>
              <w:t>Implementation method</w:t>
            </w:r>
            <w:commentRangeEnd w:id="11"/>
            <w:r w:rsidRPr="00E321E5">
              <w:rPr>
                <w:rStyle w:val="CommentReference"/>
                <w:lang w:val="en-US"/>
              </w:rPr>
              <w:commentReference w:id="11"/>
            </w: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70C0"/>
          </w:tcPr>
          <w:p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  <w:commentRangeStart w:id="12"/>
            <w:r>
              <w:rPr>
                <w:color w:val="000000"/>
                <w:sz w:val="20"/>
                <w:lang w:val="en-US"/>
              </w:rPr>
              <w:t>Status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0B3B2A" w:rsidRPr="00E321E5" w:rsidTr="0094202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Information security policies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Management direction for information 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0B3B2A" w:rsidRPr="000B3B2A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Policies for information</w:t>
            </w:r>
          </w:p>
          <w:p w:rsidR="000B3B2A" w:rsidRPr="00E321E5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D513A2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All</w:t>
            </w:r>
            <w:r w:rsidR="000B3B2A">
              <w:rPr>
                <w:rFonts w:cs="Arial"/>
                <w:color w:val="000000"/>
                <w:sz w:val="20"/>
                <w:lang w:val="en-US"/>
              </w:rPr>
              <w:t xml:space="preserve"> policies referred to below in this column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A.5.1.2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0B3B2A" w:rsidRPr="000B3B2A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Review of the policies</w:t>
            </w:r>
          </w:p>
          <w:p w:rsidR="000B3B2A" w:rsidRPr="000B3B2A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for information</w:t>
            </w:r>
          </w:p>
          <w:p w:rsidR="000B3B2A" w:rsidRPr="00E321E5" w:rsidRDefault="000B3B2A" w:rsidP="000B3B2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0B3B2A">
              <w:rPr>
                <w:rFonts w:cs="Arial"/>
                <w:color w:val="000000"/>
                <w:sz w:val="20"/>
                <w:lang w:val="en-US"/>
              </w:rPr>
              <w:t>security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Each policy has a designated owner who has to review the document at planned interval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0B3B2A" w:rsidRPr="00E321E5" w:rsidRDefault="000B3B2A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0B3B2A" w:rsidRPr="00E321E5" w:rsidTr="00942026">
        <w:trPr>
          <w:cantSplit/>
          <w:trHeight w:val="255"/>
        </w:trPr>
        <w:tc>
          <w:tcPr>
            <w:tcW w:w="9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</w:t>
            </w:r>
          </w:p>
        </w:tc>
        <w:tc>
          <w:tcPr>
            <w:tcW w:w="231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  <w:noWrap/>
            <w:vAlign w:val="bottom"/>
            <w:hideMark/>
          </w:tcPr>
          <w:p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Organization of information security</w:t>
            </w:r>
          </w:p>
        </w:tc>
        <w:tc>
          <w:tcPr>
            <w:tcW w:w="99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0B3B2A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:rsidR="000B3B2A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Internal organization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0B3B2A" w:rsidRPr="00E321E5" w:rsidRDefault="000B3B2A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42026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A.6.1.1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942026" w:rsidRPr="00942026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942026">
              <w:rPr>
                <w:rFonts w:cs="Arial"/>
                <w:color w:val="000000"/>
                <w:sz w:val="20"/>
                <w:lang w:val="en-US"/>
              </w:rPr>
              <w:t>roles and responsibilities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706BB7" w:rsidP="00706BB7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Responsibilities for information security are listed in various ISMS documents.  </w:t>
            </w:r>
            <w:r>
              <w:rPr>
                <w:rFonts w:cs="Arial"/>
                <w:color w:val="000000"/>
                <w:sz w:val="20"/>
                <w:lang w:val="en-US"/>
              </w:rPr>
              <w:t>I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f required, [job title] defines additional responsibilities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484B46" w:rsidRPr="00E321E5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Segregation of duties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706BB7" w:rsidP="00706BB7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706BB7">
              <w:rPr>
                <w:rFonts w:cs="Arial"/>
                <w:color w:val="000000"/>
                <w:sz w:val="20"/>
                <w:lang w:val="en-US"/>
              </w:rPr>
              <w:t xml:space="preserve">Any 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activity that includes </w:t>
            </w:r>
            <w:r w:rsidRPr="00706BB7">
              <w:rPr>
                <w:rFonts w:cs="Arial"/>
                <w:color w:val="000000"/>
                <w:sz w:val="20"/>
                <w:lang w:val="en-US"/>
              </w:rPr>
              <w:t>sensitive information is approved by one person and implemented by another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484B46" w:rsidRPr="00E321E5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A.6.1.3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authorities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706BB7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3"/>
            <w:r w:rsidRPr="00E321E5">
              <w:rPr>
                <w:color w:val="000000"/>
                <w:sz w:val="20"/>
                <w:lang w:val="en-US"/>
              </w:rPr>
              <w:t>[Business Continuity Strategy], [Incident Response Plan]</w:t>
            </w:r>
            <w:commentRangeEnd w:id="13"/>
            <w:r w:rsidRPr="00E321E5">
              <w:rPr>
                <w:rStyle w:val="CommentReference"/>
                <w:lang w:val="en-US"/>
              </w:rPr>
              <w:commentReference w:id="13"/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484B46" w:rsidRPr="00E321E5" w:rsidTr="005D68D0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A.6.1.4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Contact with special</w:t>
            </w:r>
          </w:p>
          <w:p w:rsidR="00484B46" w:rsidRPr="00E321E5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interest groups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706BB7" w:rsidP="005D68D0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commentRangeStart w:id="14"/>
            <w:r w:rsidRPr="00E321E5">
              <w:rPr>
                <w:color w:val="000000"/>
                <w:sz w:val="20"/>
                <w:lang w:val="en-US"/>
              </w:rPr>
              <w:t>[job title] is responsible for monitoring [list names of interest groups and security forums]</w:t>
            </w:r>
            <w:commentRangeEnd w:id="14"/>
            <w:r w:rsidRPr="00E321E5">
              <w:rPr>
                <w:rStyle w:val="CommentReference"/>
                <w:lang w:val="en-US"/>
              </w:rPr>
              <w:commentReference w:id="14"/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484B46" w:rsidRPr="00E321E5" w:rsidRDefault="00484B46" w:rsidP="005D68D0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A.6.1.5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484B46" w:rsidRPr="00484B46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Information security</w:t>
            </w:r>
          </w:p>
          <w:p w:rsidR="00942026" w:rsidRPr="00E321E5" w:rsidRDefault="00484B46" w:rsidP="00484B4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in project management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4421DB" w:rsidP="00403771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 xml:space="preserve">Project manager </w:t>
            </w:r>
            <w:r w:rsidR="00403771">
              <w:rPr>
                <w:rFonts w:cs="Arial"/>
                <w:color w:val="000000"/>
                <w:sz w:val="20"/>
                <w:lang w:val="en-US"/>
              </w:rPr>
              <w:t>is</w:t>
            </w:r>
            <w:r>
              <w:rPr>
                <w:rFonts w:cs="Arial"/>
                <w:color w:val="000000"/>
                <w:sz w:val="20"/>
                <w:lang w:val="en-US"/>
              </w:rPr>
              <w:t xml:space="preserve"> required to include applicable information security rules in every project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  <w:noWrap/>
            <w:vAlign w:val="bottom"/>
            <w:hideMark/>
          </w:tcPr>
          <w:p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84B46">
              <w:rPr>
                <w:rFonts w:cs="Arial"/>
                <w:color w:val="000000"/>
                <w:sz w:val="20"/>
                <w:lang w:val="en-US"/>
              </w:rPr>
              <w:t>Mobile devices and teleworking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42026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lastRenderedPageBreak/>
              <w:t>A.6.2.1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Mobile device policy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4421DB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  <w:r w:rsidR="00916540">
              <w:rPr>
                <w:rFonts w:cs="Arial"/>
                <w:color w:val="000000"/>
                <w:sz w:val="20"/>
                <w:lang w:val="en-US"/>
              </w:rPr>
              <w:t xml:space="preserve">, </w:t>
            </w:r>
            <w:r w:rsidR="00112543">
              <w:rPr>
                <w:rFonts w:cs="Arial"/>
                <w:color w:val="000000"/>
                <w:sz w:val="20"/>
                <w:lang w:val="en-US"/>
              </w:rPr>
              <w:t>[Bring Your Own D</w:t>
            </w:r>
            <w:r w:rsidR="00916540">
              <w:rPr>
                <w:rFonts w:cs="Arial"/>
                <w:color w:val="000000"/>
                <w:sz w:val="20"/>
                <w:lang w:val="en-US"/>
              </w:rPr>
              <w:t>evice (BYOD)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  <w:tr w:rsidR="00942026" w:rsidRPr="00E321E5" w:rsidTr="00942026">
        <w:trPr>
          <w:cantSplit/>
          <w:trHeight w:val="255"/>
        </w:trPr>
        <w:tc>
          <w:tcPr>
            <w:tcW w:w="963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A.6.2.2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942026" w:rsidRPr="00E321E5" w:rsidRDefault="00484B4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>
              <w:rPr>
                <w:rFonts w:cs="Arial"/>
                <w:color w:val="000000"/>
                <w:sz w:val="20"/>
                <w:lang w:val="en-US"/>
              </w:rPr>
              <w:t>Teleworking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4421DB" w:rsidP="009310BA">
            <w:pPr>
              <w:spacing w:after="0"/>
              <w:rPr>
                <w:rFonts w:cs="Arial"/>
                <w:color w:val="000000"/>
                <w:sz w:val="20"/>
                <w:lang w:val="en-US"/>
              </w:rPr>
            </w:pPr>
            <w:r w:rsidRPr="004421DB">
              <w:rPr>
                <w:rFonts w:cs="Arial"/>
                <w:color w:val="000000"/>
                <w:sz w:val="20"/>
                <w:lang w:val="en-US"/>
              </w:rPr>
              <w:t>[Acceptable Use Policy]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>/</w:t>
            </w:r>
            <w:r w:rsidR="003908D0">
              <w:rPr>
                <w:rFonts w:cs="Arial"/>
                <w:color w:val="000000"/>
                <w:sz w:val="20"/>
                <w:lang w:val="en-US"/>
              </w:rPr>
              <w:t xml:space="preserve"> 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[Mobile </w:t>
            </w:r>
            <w:r>
              <w:rPr>
                <w:rFonts w:cs="Arial"/>
                <w:color w:val="000000"/>
                <w:sz w:val="20"/>
                <w:lang w:val="en-US"/>
              </w:rPr>
              <w:t>Device</w:t>
            </w:r>
            <w:r w:rsidRPr="004421DB">
              <w:rPr>
                <w:rFonts w:cs="Arial"/>
                <w:color w:val="000000"/>
                <w:sz w:val="20"/>
                <w:lang w:val="en-US"/>
              </w:rPr>
              <w:t xml:space="preserve"> and Teleworking Policy]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42026" w:rsidRPr="00E321E5" w:rsidRDefault="00942026" w:rsidP="00942026">
            <w:pPr>
              <w:spacing w:after="0"/>
              <w:rPr>
                <w:color w:val="000000"/>
                <w:sz w:val="20"/>
                <w:lang w:val="en-US"/>
              </w:rPr>
            </w:pPr>
          </w:p>
        </w:tc>
      </w:tr>
    </w:tbl>
    <w:p w:rsidR="00C41893" w:rsidRDefault="00C41893" w:rsidP="00B148BD">
      <w:pPr>
        <w:spacing w:after="0"/>
        <w:rPr>
          <w:lang w:val="en-US"/>
        </w:rPr>
      </w:pPr>
    </w:p>
    <w:p w:rsidR="00B148BD" w:rsidRDefault="00B148BD" w:rsidP="00B148BD">
      <w:pPr>
        <w:spacing w:after="0"/>
        <w:rPr>
          <w:lang w:val="en-US"/>
        </w:rPr>
      </w:pPr>
    </w:p>
    <w:p w:rsidR="00B148BD" w:rsidRDefault="00B148BD" w:rsidP="00B148BD">
      <w:pPr>
        <w:spacing w:after="0"/>
        <w:rPr>
          <w:lang w:val="en-US"/>
        </w:rPr>
      </w:pPr>
    </w:p>
    <w:p w:rsidR="00B148BD" w:rsidRDefault="00B148BD" w:rsidP="00B148BD">
      <w:pPr>
        <w:spacing w:after="0"/>
        <w:rPr>
          <w:lang w:val="en-US"/>
        </w:rPr>
      </w:pPr>
    </w:p>
    <w:p w:rsidR="00B148BD" w:rsidRDefault="00B148BD" w:rsidP="00B148BD">
      <w:pPr>
        <w:spacing w:after="0"/>
        <w:rPr>
          <w:lang w:val="en-US"/>
        </w:rPr>
      </w:pPr>
    </w:p>
    <w:p w:rsidR="00B148BD" w:rsidRDefault="00B148BD" w:rsidP="00B148BD">
      <w:pPr>
        <w:spacing w:after="0"/>
        <w:jc w:val="center"/>
      </w:pPr>
      <w:r w:rsidRPr="006C6B48">
        <w:t>** END OF FREE PREVIEW **</w:t>
      </w:r>
    </w:p>
    <w:p w:rsidR="00B148BD" w:rsidRDefault="00B148BD" w:rsidP="00B148BD">
      <w:pPr>
        <w:spacing w:after="0"/>
        <w:jc w:val="center"/>
      </w:pPr>
    </w:p>
    <w:p w:rsidR="00B148BD" w:rsidRPr="00E321E5" w:rsidRDefault="00B148BD" w:rsidP="00B148BD">
      <w:pPr>
        <w:spacing w:after="0"/>
        <w:jc w:val="center"/>
        <w:rPr>
          <w:lang w:val="en-US"/>
        </w:rPr>
      </w:pPr>
      <w:r w:rsidRPr="006C6B48">
        <w:t>To download full version of this document click here:</w:t>
      </w:r>
      <w:r>
        <w:t xml:space="preserve"> </w:t>
      </w:r>
      <w:hyperlink r:id="rId10" w:history="1">
        <w:r w:rsidRPr="00B148BD">
          <w:rPr>
            <w:rStyle w:val="Hyperlink"/>
          </w:rPr>
          <w:t>http://www.iso27001standard.com/en/documentation/Statemen</w:t>
        </w:r>
        <w:bookmarkStart w:id="15" w:name="_GoBack"/>
        <w:bookmarkEnd w:id="15"/>
        <w:r w:rsidRPr="00B148BD">
          <w:rPr>
            <w:rStyle w:val="Hyperlink"/>
          </w:rPr>
          <w:t>t</w:t>
        </w:r>
        <w:r w:rsidRPr="00B148BD">
          <w:rPr>
            <w:rStyle w:val="Hyperlink"/>
          </w:rPr>
          <w:t>-of-Applicability</w:t>
        </w:r>
      </w:hyperlink>
    </w:p>
    <w:sectPr w:rsidR="00B148BD" w:rsidRPr="00E321E5" w:rsidSect="00C41893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7:33:00Z" w:initials="DK">
    <w:p w:rsidR="009310BA" w:rsidRPr="003B5806" w:rsidRDefault="009310BA" w:rsidP="00DD20B0">
      <w:pPr>
        <w:pStyle w:val="CommentText"/>
      </w:pPr>
      <w:r w:rsidRPr="003B5806">
        <w:rPr>
          <w:rStyle w:val="CommentReference"/>
        </w:rPr>
        <w:annotationRef/>
      </w:r>
      <w:r w:rsidRPr="003B5806">
        <w:t>To learn how to fill in this document see:</w:t>
      </w:r>
    </w:p>
    <w:p w:rsidR="009310BA" w:rsidRPr="003B5806" w:rsidRDefault="009310BA" w:rsidP="00DD20B0">
      <w:pPr>
        <w:pStyle w:val="CommentText"/>
      </w:pPr>
    </w:p>
    <w:p w:rsidR="009310BA" w:rsidRPr="003B5806" w:rsidRDefault="009310BA" w:rsidP="00DD20B0">
      <w:pPr>
        <w:pStyle w:val="CommentText"/>
      </w:pPr>
      <w:r w:rsidRPr="003B5806">
        <w:t>1) Video tutorial “How to Write ISO 27001 Statement of Applicability” http://www.iso27001standard.com/video-tutorials</w:t>
      </w:r>
    </w:p>
    <w:p w:rsidR="009310BA" w:rsidRPr="003B5806" w:rsidRDefault="009310BA" w:rsidP="00DD20B0">
      <w:pPr>
        <w:pStyle w:val="CommentText"/>
      </w:pPr>
    </w:p>
    <w:p w:rsidR="009310BA" w:rsidRPr="003B5806" w:rsidRDefault="009310BA" w:rsidP="00DD20B0">
      <w:pPr>
        <w:pStyle w:val="CommentText"/>
      </w:pPr>
      <w:r w:rsidRPr="003B5806">
        <w:t>2) Webinar “ISO 27001 Foundations Part 1: ISMS planning phase, documentation and records control” http://www.iso27001standard.com/webinars</w:t>
      </w:r>
    </w:p>
  </w:comment>
  <w:comment w:id="1" w:author="Dejan Košutić" w:date="2013-09-20T12:57:00Z" w:initials="DK">
    <w:p w:rsidR="009310BA" w:rsidRDefault="009310BA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date="2013-09-20T12:57:00Z" w:initials="DK">
    <w:p w:rsidR="009310BA" w:rsidRDefault="009310BA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9" w:author="Dejan" w:date="2013-09-22T12:26:00Z" w:initials="D">
    <w:p w:rsidR="009310BA" w:rsidRDefault="009310BA" w:rsidP="000B3B2A">
      <w:pPr>
        <w:pStyle w:val="CommentText"/>
      </w:pPr>
      <w:r>
        <w:rPr>
          <w:rStyle w:val="CommentReference"/>
        </w:rPr>
        <w:annotationRef/>
      </w:r>
      <w:r>
        <w:t>Based on risk assessment results, contractual and legal obligations</w:t>
      </w:r>
    </w:p>
  </w:comment>
  <w:comment w:id="10" w:author="Dejan" w:date="2013-09-28T12:38:00Z" w:initials="D">
    <w:p w:rsidR="009310BA" w:rsidRDefault="009310BA" w:rsidP="000B3B2A">
      <w:pPr>
        <w:pStyle w:val="CommentText"/>
      </w:pPr>
      <w:r>
        <w:rPr>
          <w:rStyle w:val="CommentReference"/>
        </w:rPr>
        <w:annotationRef/>
      </w:r>
      <w:r>
        <w:t xml:space="preserve">They should be defined for each of your controls and made measurable if possible; however, you can also copy objectives listed in clauses categories in Annex A. </w:t>
      </w:r>
    </w:p>
    <w:p w:rsidR="009310BA" w:rsidRDefault="009310BA" w:rsidP="000B3B2A">
      <w:pPr>
        <w:pStyle w:val="CommentText"/>
      </w:pPr>
    </w:p>
    <w:p w:rsidR="009310BA" w:rsidRDefault="009310BA" w:rsidP="000B3B2A">
      <w:pPr>
        <w:pStyle w:val="CommentText"/>
      </w:pPr>
      <w:r>
        <w:t xml:space="preserve">Leave blank if the control is marked as inapplicable. </w:t>
      </w:r>
    </w:p>
  </w:comment>
  <w:comment w:id="11" w:author="Dejan Košutić" w:date="2013-09-28T12:39:00Z" w:initials="DK">
    <w:p w:rsidR="009310BA" w:rsidRDefault="009310BA" w:rsidP="000B3B2A">
      <w:pPr>
        <w:pStyle w:val="CommentText"/>
      </w:pPr>
      <w:r>
        <w:rPr>
          <w:rStyle w:val="CommentReference"/>
        </w:rPr>
        <w:annotationRef/>
      </w:r>
      <w:r>
        <w:t>Implementation method – specify document, technical control or describe the process. Leave blank if the control is marked as inapplicable.</w:t>
      </w:r>
    </w:p>
    <w:p w:rsidR="009310BA" w:rsidRDefault="009310BA" w:rsidP="000B3B2A">
      <w:pPr>
        <w:pStyle w:val="CommentText"/>
      </w:pPr>
    </w:p>
    <w:p w:rsidR="009310BA" w:rsidRDefault="009310BA" w:rsidP="000B3B2A">
      <w:pPr>
        <w:pStyle w:val="CommentText"/>
      </w:pPr>
      <w:r>
        <w:t>This table lists documents from this Toolkit relevant for each control; if there are no documents relevant for the control, a suggested description of the process is given.</w:t>
      </w:r>
    </w:p>
    <w:p w:rsidR="009310BA" w:rsidRDefault="009310BA" w:rsidP="000B3B2A">
      <w:pPr>
        <w:pStyle w:val="CommentText"/>
      </w:pPr>
    </w:p>
    <w:p w:rsidR="009310BA" w:rsidRDefault="009310BA" w:rsidP="000B3B2A">
      <w:pPr>
        <w:pStyle w:val="CommentText"/>
      </w:pPr>
      <w:r>
        <w:t>If two documents are mentioned with the slash sign "/", this means you should choose either the first or the second document. If two documents are mentioned with comma "," this means you should implement both documents for a particular control.</w:t>
      </w:r>
    </w:p>
    <w:p w:rsidR="009310BA" w:rsidRDefault="009310BA" w:rsidP="000B3B2A">
      <w:pPr>
        <w:pStyle w:val="CommentText"/>
      </w:pPr>
    </w:p>
    <w:p w:rsidR="009310BA" w:rsidRDefault="009310BA" w:rsidP="000B3B2A">
      <w:pPr>
        <w:pStyle w:val="CommentText"/>
      </w:pPr>
      <w:r>
        <w:t xml:space="preserve">The document called "List of documents" lists all the documents from the Toolkit together with a note whether such document is mandatory according to the standard or not. </w:t>
      </w:r>
    </w:p>
  </w:comment>
  <w:comment w:id="12" w:author="Dejan Kosutic" w:date="2013-10-04T17:33:00Z" w:initials="DK">
    <w:p w:rsidR="009310BA" w:rsidRPr="003B5806" w:rsidRDefault="009310BA" w:rsidP="000B3B2A">
      <w:pPr>
        <w:pStyle w:val="CommentText"/>
      </w:pPr>
      <w:r w:rsidRPr="003B5806">
        <w:rPr>
          <w:rStyle w:val="CommentReference"/>
        </w:rPr>
        <w:annotationRef/>
      </w:r>
      <w:r w:rsidRPr="003B5806">
        <w:t xml:space="preserve">Indicate the status of implementation - e.g. "Planned,” "Partially implemented,” "Fully implemented.” </w:t>
      </w:r>
    </w:p>
    <w:p w:rsidR="009310BA" w:rsidRPr="003B5806" w:rsidRDefault="009310BA" w:rsidP="000B3B2A">
      <w:pPr>
        <w:pStyle w:val="CommentText"/>
      </w:pPr>
    </w:p>
    <w:p w:rsidR="009310BA" w:rsidRPr="003B5806" w:rsidRDefault="009310BA" w:rsidP="000B3B2A">
      <w:pPr>
        <w:pStyle w:val="CommentText"/>
      </w:pPr>
      <w:r w:rsidRPr="003B5806">
        <w:t xml:space="preserve">Leave blank if the control is marked as inapplicable. </w:t>
      </w:r>
    </w:p>
  </w:comment>
  <w:comment w:id="13" w:author="Dejan Košutić" w:date="2013-09-22T17:34:00Z" w:initials="DK">
    <w:p w:rsidR="009310BA" w:rsidRDefault="009310BA" w:rsidP="00706BB7">
      <w:pPr>
        <w:pStyle w:val="CommentText"/>
      </w:pPr>
      <w:r>
        <w:rPr>
          <w:rStyle w:val="CommentReference"/>
        </w:rPr>
        <w:annotationRef/>
      </w:r>
      <w:r>
        <w:t xml:space="preserve">If business continuity is not included in the ISO 27001 project, replace this text by specifying who is responsible for the contact with the police, fire department, etc. </w:t>
      </w:r>
    </w:p>
  </w:comment>
  <w:comment w:id="14" w:author="Dejan Košutić" w:date="2013-10-04T17:33:00Z" w:initials="DK">
    <w:p w:rsidR="009310BA" w:rsidRPr="003B5806" w:rsidRDefault="009310BA" w:rsidP="00706BB7">
      <w:pPr>
        <w:pStyle w:val="CommentText"/>
      </w:pPr>
      <w:r w:rsidRPr="003B5806">
        <w:rPr>
          <w:rStyle w:val="CommentReference"/>
        </w:rPr>
        <w:annotationRef/>
      </w:r>
      <w:r w:rsidRPr="003B5806">
        <w:t>Different interest groups may be assigned to different job functions, depending on speciali</w:t>
      </w:r>
      <w:r w:rsidR="00EC5D1D" w:rsidRPr="003B5806">
        <w:t>z</w:t>
      </w:r>
      <w:r w:rsidRPr="003B5806">
        <w:t>ation of work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1B0" w:rsidRDefault="00B071B0" w:rsidP="00C41893">
      <w:pPr>
        <w:spacing w:after="0" w:line="240" w:lineRule="auto"/>
      </w:pPr>
      <w:r>
        <w:separator/>
      </w:r>
    </w:p>
  </w:endnote>
  <w:endnote w:type="continuationSeparator" w:id="0">
    <w:p w:rsidR="00B071B0" w:rsidRDefault="00B071B0" w:rsidP="00C4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9310BA" w:rsidRPr="006571EC" w:rsidTr="00365F9F">
      <w:tc>
        <w:tcPr>
          <w:tcW w:w="3652" w:type="dxa"/>
        </w:tcPr>
        <w:p w:rsidR="009310BA" w:rsidRPr="00C931AC" w:rsidRDefault="009310BA" w:rsidP="00C4189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Statement of Applicability</w:t>
          </w:r>
        </w:p>
      </w:tc>
      <w:tc>
        <w:tcPr>
          <w:tcW w:w="2126" w:type="dxa"/>
        </w:tcPr>
        <w:p w:rsidR="009310BA" w:rsidRPr="00C931AC" w:rsidRDefault="009310BA" w:rsidP="00C4189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9310BA" w:rsidRPr="00C931AC" w:rsidRDefault="009310BA" w:rsidP="00C4189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C50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C50C7">
            <w:rPr>
              <w:b/>
              <w:sz w:val="18"/>
            </w:rPr>
            <w:fldChar w:fldCharType="separate"/>
          </w:r>
          <w:r w:rsidR="00B148BD">
            <w:rPr>
              <w:b/>
              <w:noProof/>
              <w:sz w:val="18"/>
            </w:rPr>
            <w:t>5</w:t>
          </w:r>
          <w:r w:rsidR="007C50C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C50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C50C7">
            <w:rPr>
              <w:b/>
              <w:sz w:val="18"/>
            </w:rPr>
            <w:fldChar w:fldCharType="separate"/>
          </w:r>
          <w:r w:rsidR="00B148BD">
            <w:rPr>
              <w:b/>
              <w:noProof/>
              <w:sz w:val="18"/>
            </w:rPr>
            <w:t>5</w:t>
          </w:r>
          <w:r w:rsidR="007C50C7">
            <w:rPr>
              <w:b/>
              <w:sz w:val="18"/>
            </w:rPr>
            <w:fldChar w:fldCharType="end"/>
          </w:r>
        </w:p>
      </w:tc>
    </w:tr>
  </w:tbl>
  <w:p w:rsidR="009310BA" w:rsidRPr="004B1E43" w:rsidRDefault="009310BA" w:rsidP="00C4189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©2013 This template may be used by clients of EPPS Services Ltd. </w:t>
    </w:r>
    <w:r w:rsidRPr="00DD20B0">
      <w:rPr>
        <w:sz w:val="16"/>
      </w:rPr>
      <w:t>www.iso27001standard.com</w:t>
    </w:r>
    <w:r>
      <w:rPr>
        <w:sz w:val="16"/>
      </w:rPr>
      <w:t xml:space="preserve"> in accordance with the License 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0BA" w:rsidRPr="004B1E43" w:rsidRDefault="009310BA" w:rsidP="00C4189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16" w:name="OLE_LINK1"/>
    <w:bookmarkStart w:id="17" w:name="OLE_LINK2"/>
    <w:bookmarkStart w:id="18" w:name="_Hlk271408087"/>
    <w:r>
      <w:rPr>
        <w:sz w:val="16"/>
      </w:rPr>
      <w:t xml:space="preserve">©2013 This template may be used by clients of EPPS Services Ltd. </w:t>
    </w:r>
    <w:r w:rsidRPr="00DD20B0">
      <w:rPr>
        <w:sz w:val="16"/>
      </w:rPr>
      <w:t>www.iso27001standard.com</w:t>
    </w:r>
    <w:r>
      <w:rPr>
        <w:sz w:val="16"/>
      </w:rPr>
      <w:t xml:space="preserve"> in accordance with the License Agreement.</w:t>
    </w:r>
    <w:bookmarkEnd w:id="16"/>
    <w:bookmarkEnd w:id="17"/>
    <w:bookmarkEnd w:id="1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1B0" w:rsidRDefault="00B071B0" w:rsidP="00C41893">
      <w:pPr>
        <w:spacing w:after="0" w:line="240" w:lineRule="auto"/>
      </w:pPr>
      <w:r>
        <w:separator/>
      </w:r>
    </w:p>
  </w:footnote>
  <w:footnote w:type="continuationSeparator" w:id="0">
    <w:p w:rsidR="00B071B0" w:rsidRDefault="00B071B0" w:rsidP="00C41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310BA" w:rsidRPr="006571EC" w:rsidTr="00C41893">
      <w:tc>
        <w:tcPr>
          <w:tcW w:w="6771" w:type="dxa"/>
        </w:tcPr>
        <w:p w:rsidR="009310BA" w:rsidRPr="00C931AC" w:rsidRDefault="009310BA" w:rsidP="00C4189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:rsidR="009310BA" w:rsidRPr="00C931AC" w:rsidRDefault="009310BA" w:rsidP="00C4189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9310BA" w:rsidRPr="003056B2" w:rsidRDefault="009310BA" w:rsidP="00C4189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AB52F5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550C3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920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A6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0F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015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8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6F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68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3">
    <w:nsid w:val="1E962594"/>
    <w:multiLevelType w:val="hybridMultilevel"/>
    <w:tmpl w:val="BE3A2C34"/>
    <w:lvl w:ilvl="0" w:tplc="01B26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09E01B6">
      <w:start w:val="1"/>
      <w:numFmt w:val="lowerLetter"/>
      <w:lvlText w:val="%2."/>
      <w:lvlJc w:val="left"/>
      <w:pPr>
        <w:ind w:left="1800" w:hanging="360"/>
      </w:pPr>
    </w:lvl>
    <w:lvl w:ilvl="2" w:tplc="DEAE4F7A">
      <w:start w:val="1"/>
      <w:numFmt w:val="lowerRoman"/>
      <w:lvlText w:val="%3."/>
      <w:lvlJc w:val="right"/>
      <w:pPr>
        <w:ind w:left="2520" w:hanging="180"/>
      </w:pPr>
    </w:lvl>
    <w:lvl w:ilvl="3" w:tplc="859C521C" w:tentative="1">
      <w:start w:val="1"/>
      <w:numFmt w:val="decimal"/>
      <w:lvlText w:val="%4."/>
      <w:lvlJc w:val="left"/>
      <w:pPr>
        <w:ind w:left="3240" w:hanging="360"/>
      </w:pPr>
    </w:lvl>
    <w:lvl w:ilvl="4" w:tplc="63C4F408" w:tentative="1">
      <w:start w:val="1"/>
      <w:numFmt w:val="lowerLetter"/>
      <w:lvlText w:val="%5."/>
      <w:lvlJc w:val="left"/>
      <w:pPr>
        <w:ind w:left="3960" w:hanging="360"/>
      </w:pPr>
    </w:lvl>
    <w:lvl w:ilvl="5" w:tplc="87AE9C4E" w:tentative="1">
      <w:start w:val="1"/>
      <w:numFmt w:val="lowerRoman"/>
      <w:lvlText w:val="%6."/>
      <w:lvlJc w:val="right"/>
      <w:pPr>
        <w:ind w:left="4680" w:hanging="180"/>
      </w:pPr>
    </w:lvl>
    <w:lvl w:ilvl="6" w:tplc="C576CF94" w:tentative="1">
      <w:start w:val="1"/>
      <w:numFmt w:val="decimal"/>
      <w:lvlText w:val="%7."/>
      <w:lvlJc w:val="left"/>
      <w:pPr>
        <w:ind w:left="5400" w:hanging="360"/>
      </w:pPr>
    </w:lvl>
    <w:lvl w:ilvl="7" w:tplc="09AEAA38" w:tentative="1">
      <w:start w:val="1"/>
      <w:numFmt w:val="lowerLetter"/>
      <w:lvlText w:val="%8."/>
      <w:lvlJc w:val="left"/>
      <w:pPr>
        <w:ind w:left="6120" w:hanging="360"/>
      </w:pPr>
    </w:lvl>
    <w:lvl w:ilvl="8" w:tplc="A02C41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04F65"/>
    <w:multiLevelType w:val="hybridMultilevel"/>
    <w:tmpl w:val="4092792C"/>
    <w:lvl w:ilvl="0" w:tplc="DB4A5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04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561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273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0D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4A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EA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21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3AF8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85C07"/>
    <w:multiLevelType w:val="hybridMultilevel"/>
    <w:tmpl w:val="6DD2760C"/>
    <w:lvl w:ilvl="0" w:tplc="5B0A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2D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5E4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EE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AA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CFD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A24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C3A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BA0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A54B0"/>
    <w:multiLevelType w:val="hybridMultilevel"/>
    <w:tmpl w:val="7B3AE084"/>
    <w:lvl w:ilvl="0" w:tplc="C548D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28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E1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A24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C0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4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855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E3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6AA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B4C47"/>
    <w:multiLevelType w:val="hybridMultilevel"/>
    <w:tmpl w:val="12662154"/>
    <w:lvl w:ilvl="0" w:tplc="3FB20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B8C0A0" w:tentative="1">
      <w:start w:val="1"/>
      <w:numFmt w:val="lowerLetter"/>
      <w:lvlText w:val="%2."/>
      <w:lvlJc w:val="left"/>
      <w:pPr>
        <w:ind w:left="1440" w:hanging="360"/>
      </w:pPr>
    </w:lvl>
    <w:lvl w:ilvl="2" w:tplc="6C2A1938" w:tentative="1">
      <w:start w:val="1"/>
      <w:numFmt w:val="lowerRoman"/>
      <w:lvlText w:val="%3."/>
      <w:lvlJc w:val="right"/>
      <w:pPr>
        <w:ind w:left="2160" w:hanging="180"/>
      </w:pPr>
    </w:lvl>
    <w:lvl w:ilvl="3" w:tplc="F12A5B92" w:tentative="1">
      <w:start w:val="1"/>
      <w:numFmt w:val="decimal"/>
      <w:lvlText w:val="%4."/>
      <w:lvlJc w:val="left"/>
      <w:pPr>
        <w:ind w:left="2880" w:hanging="360"/>
      </w:pPr>
    </w:lvl>
    <w:lvl w:ilvl="4" w:tplc="76F28A84" w:tentative="1">
      <w:start w:val="1"/>
      <w:numFmt w:val="lowerLetter"/>
      <w:lvlText w:val="%5."/>
      <w:lvlJc w:val="left"/>
      <w:pPr>
        <w:ind w:left="3600" w:hanging="360"/>
      </w:pPr>
    </w:lvl>
    <w:lvl w:ilvl="5" w:tplc="93AEEDEA" w:tentative="1">
      <w:start w:val="1"/>
      <w:numFmt w:val="lowerRoman"/>
      <w:lvlText w:val="%6."/>
      <w:lvlJc w:val="right"/>
      <w:pPr>
        <w:ind w:left="4320" w:hanging="180"/>
      </w:pPr>
    </w:lvl>
    <w:lvl w:ilvl="6" w:tplc="BFB89494" w:tentative="1">
      <w:start w:val="1"/>
      <w:numFmt w:val="decimal"/>
      <w:lvlText w:val="%7."/>
      <w:lvlJc w:val="left"/>
      <w:pPr>
        <w:ind w:left="5040" w:hanging="360"/>
      </w:pPr>
    </w:lvl>
    <w:lvl w:ilvl="7" w:tplc="76C8396E" w:tentative="1">
      <w:start w:val="1"/>
      <w:numFmt w:val="lowerLetter"/>
      <w:lvlText w:val="%8."/>
      <w:lvlJc w:val="left"/>
      <w:pPr>
        <w:ind w:left="5760" w:hanging="360"/>
      </w:pPr>
    </w:lvl>
    <w:lvl w:ilvl="8" w:tplc="B0427B3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036EC"/>
    <w:rsid w:val="00003AFE"/>
    <w:rsid w:val="00057BE9"/>
    <w:rsid w:val="00075BFF"/>
    <w:rsid w:val="00090772"/>
    <w:rsid w:val="00094C56"/>
    <w:rsid w:val="00095BCE"/>
    <w:rsid w:val="000B3B2A"/>
    <w:rsid w:val="000D058C"/>
    <w:rsid w:val="000E2FB8"/>
    <w:rsid w:val="00105C5B"/>
    <w:rsid w:val="00112543"/>
    <w:rsid w:val="0012684C"/>
    <w:rsid w:val="00142AF1"/>
    <w:rsid w:val="001955B6"/>
    <w:rsid w:val="001A1886"/>
    <w:rsid w:val="001B12F4"/>
    <w:rsid w:val="001C3D64"/>
    <w:rsid w:val="001D2719"/>
    <w:rsid w:val="001F0B8F"/>
    <w:rsid w:val="00202712"/>
    <w:rsid w:val="002151C4"/>
    <w:rsid w:val="002177FF"/>
    <w:rsid w:val="00222E9E"/>
    <w:rsid w:val="002247A6"/>
    <w:rsid w:val="00237ACE"/>
    <w:rsid w:val="002878A4"/>
    <w:rsid w:val="00296F03"/>
    <w:rsid w:val="002A00E0"/>
    <w:rsid w:val="002A6C05"/>
    <w:rsid w:val="002B0583"/>
    <w:rsid w:val="002B511E"/>
    <w:rsid w:val="002F14FC"/>
    <w:rsid w:val="002F1EAD"/>
    <w:rsid w:val="002F2CA3"/>
    <w:rsid w:val="00312BA9"/>
    <w:rsid w:val="003132EA"/>
    <w:rsid w:val="0032232C"/>
    <w:rsid w:val="00365F9F"/>
    <w:rsid w:val="00365FA4"/>
    <w:rsid w:val="003908D0"/>
    <w:rsid w:val="00390923"/>
    <w:rsid w:val="003973D5"/>
    <w:rsid w:val="003A1DF3"/>
    <w:rsid w:val="003B0D6C"/>
    <w:rsid w:val="003B5806"/>
    <w:rsid w:val="003C1B3A"/>
    <w:rsid w:val="003C2844"/>
    <w:rsid w:val="003C5586"/>
    <w:rsid w:val="003F343D"/>
    <w:rsid w:val="003F39F6"/>
    <w:rsid w:val="003F58BF"/>
    <w:rsid w:val="00403771"/>
    <w:rsid w:val="00413E61"/>
    <w:rsid w:val="004368F9"/>
    <w:rsid w:val="00440EF8"/>
    <w:rsid w:val="004421DB"/>
    <w:rsid w:val="004612D1"/>
    <w:rsid w:val="00466C68"/>
    <w:rsid w:val="0047345A"/>
    <w:rsid w:val="0047415D"/>
    <w:rsid w:val="00484B46"/>
    <w:rsid w:val="004A7CB6"/>
    <w:rsid w:val="004E4943"/>
    <w:rsid w:val="004F57BE"/>
    <w:rsid w:val="00520383"/>
    <w:rsid w:val="00520F15"/>
    <w:rsid w:val="005358B8"/>
    <w:rsid w:val="005458E2"/>
    <w:rsid w:val="005641A5"/>
    <w:rsid w:val="00573D38"/>
    <w:rsid w:val="00596944"/>
    <w:rsid w:val="005D3C7C"/>
    <w:rsid w:val="005D68D0"/>
    <w:rsid w:val="005F10E2"/>
    <w:rsid w:val="00634E52"/>
    <w:rsid w:val="00641995"/>
    <w:rsid w:val="00644190"/>
    <w:rsid w:val="00650526"/>
    <w:rsid w:val="00655B64"/>
    <w:rsid w:val="006650AF"/>
    <w:rsid w:val="006966BE"/>
    <w:rsid w:val="006B2799"/>
    <w:rsid w:val="006D31B7"/>
    <w:rsid w:val="006D7350"/>
    <w:rsid w:val="00706BB7"/>
    <w:rsid w:val="00736C4C"/>
    <w:rsid w:val="007453CE"/>
    <w:rsid w:val="00747AD6"/>
    <w:rsid w:val="00750565"/>
    <w:rsid w:val="00766263"/>
    <w:rsid w:val="007831A9"/>
    <w:rsid w:val="007835A1"/>
    <w:rsid w:val="00790565"/>
    <w:rsid w:val="00793FA1"/>
    <w:rsid w:val="007A1DBC"/>
    <w:rsid w:val="007B071E"/>
    <w:rsid w:val="007C50C7"/>
    <w:rsid w:val="007D5E13"/>
    <w:rsid w:val="007D735D"/>
    <w:rsid w:val="007D75C5"/>
    <w:rsid w:val="007E28FE"/>
    <w:rsid w:val="007E2E8C"/>
    <w:rsid w:val="007F2AC1"/>
    <w:rsid w:val="0082715F"/>
    <w:rsid w:val="00843959"/>
    <w:rsid w:val="008604D4"/>
    <w:rsid w:val="00866F0A"/>
    <w:rsid w:val="00874EBC"/>
    <w:rsid w:val="008B68B4"/>
    <w:rsid w:val="008C682A"/>
    <w:rsid w:val="008D1ADC"/>
    <w:rsid w:val="008E5A2F"/>
    <w:rsid w:val="008F1B8D"/>
    <w:rsid w:val="00901506"/>
    <w:rsid w:val="00904C8E"/>
    <w:rsid w:val="00906545"/>
    <w:rsid w:val="00916540"/>
    <w:rsid w:val="00916DA9"/>
    <w:rsid w:val="00927279"/>
    <w:rsid w:val="00927DFD"/>
    <w:rsid w:val="009310BA"/>
    <w:rsid w:val="00941798"/>
    <w:rsid w:val="00942026"/>
    <w:rsid w:val="00952DE0"/>
    <w:rsid w:val="009567AD"/>
    <w:rsid w:val="009576E1"/>
    <w:rsid w:val="0097336F"/>
    <w:rsid w:val="009774D6"/>
    <w:rsid w:val="00984EAB"/>
    <w:rsid w:val="00990439"/>
    <w:rsid w:val="009A4A34"/>
    <w:rsid w:val="009B3AA0"/>
    <w:rsid w:val="009D7A05"/>
    <w:rsid w:val="00A11299"/>
    <w:rsid w:val="00A145B0"/>
    <w:rsid w:val="00A14F97"/>
    <w:rsid w:val="00A36AB4"/>
    <w:rsid w:val="00A579F2"/>
    <w:rsid w:val="00A57CC1"/>
    <w:rsid w:val="00A83057"/>
    <w:rsid w:val="00A87814"/>
    <w:rsid w:val="00A90BEE"/>
    <w:rsid w:val="00AB3E86"/>
    <w:rsid w:val="00AC09E2"/>
    <w:rsid w:val="00B071B0"/>
    <w:rsid w:val="00B10275"/>
    <w:rsid w:val="00B148BD"/>
    <w:rsid w:val="00B24D31"/>
    <w:rsid w:val="00B30D0D"/>
    <w:rsid w:val="00B45876"/>
    <w:rsid w:val="00B66959"/>
    <w:rsid w:val="00B66A91"/>
    <w:rsid w:val="00B778FB"/>
    <w:rsid w:val="00B802B3"/>
    <w:rsid w:val="00BA1318"/>
    <w:rsid w:val="00BA6238"/>
    <w:rsid w:val="00BC4232"/>
    <w:rsid w:val="00BF326F"/>
    <w:rsid w:val="00C0221B"/>
    <w:rsid w:val="00C024E0"/>
    <w:rsid w:val="00C0362A"/>
    <w:rsid w:val="00C052F4"/>
    <w:rsid w:val="00C05595"/>
    <w:rsid w:val="00C329BD"/>
    <w:rsid w:val="00C32E66"/>
    <w:rsid w:val="00C41893"/>
    <w:rsid w:val="00C43A97"/>
    <w:rsid w:val="00C47D10"/>
    <w:rsid w:val="00C70CD3"/>
    <w:rsid w:val="00C73047"/>
    <w:rsid w:val="00CA57BB"/>
    <w:rsid w:val="00CE48EE"/>
    <w:rsid w:val="00CE746C"/>
    <w:rsid w:val="00D02196"/>
    <w:rsid w:val="00D11870"/>
    <w:rsid w:val="00D15C17"/>
    <w:rsid w:val="00D21CB1"/>
    <w:rsid w:val="00D30EE5"/>
    <w:rsid w:val="00D513A2"/>
    <w:rsid w:val="00D60F10"/>
    <w:rsid w:val="00D84CCA"/>
    <w:rsid w:val="00D85EE1"/>
    <w:rsid w:val="00D93B37"/>
    <w:rsid w:val="00DD20B0"/>
    <w:rsid w:val="00DE0A5B"/>
    <w:rsid w:val="00DE0F05"/>
    <w:rsid w:val="00DF2D96"/>
    <w:rsid w:val="00E23418"/>
    <w:rsid w:val="00E320BE"/>
    <w:rsid w:val="00E321E5"/>
    <w:rsid w:val="00E4059F"/>
    <w:rsid w:val="00E4380E"/>
    <w:rsid w:val="00E4413A"/>
    <w:rsid w:val="00E5499E"/>
    <w:rsid w:val="00E8742B"/>
    <w:rsid w:val="00E94D5E"/>
    <w:rsid w:val="00EA0CC2"/>
    <w:rsid w:val="00EB7D92"/>
    <w:rsid w:val="00EC2DAE"/>
    <w:rsid w:val="00EC5D1D"/>
    <w:rsid w:val="00EF2EF8"/>
    <w:rsid w:val="00F20CD0"/>
    <w:rsid w:val="00F80919"/>
    <w:rsid w:val="00F82DC7"/>
    <w:rsid w:val="00F91809"/>
    <w:rsid w:val="00FB0C5E"/>
    <w:rsid w:val="00FD0C65"/>
    <w:rsid w:val="00FD25F6"/>
    <w:rsid w:val="00F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2B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F9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48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Statement-of-Applicabilit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C2D0CE8-0B49-4753-BAEE-725962E9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Statement of Applicability</vt:lpstr>
      <vt:lpstr>Statement of Applicability</vt:lpstr>
    </vt:vector>
  </TitlesOfParts>
  <Company>EPPS Services Ltd.</Company>
  <LinksUpToDate>false</LinksUpToDate>
  <CharactersWithSpaces>3534</CharactersWithSpaces>
  <SharedDoc>false</SharedDoc>
  <HLinks>
    <vt:vector size="36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_Toc271415445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_Toc271415444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_Toc271415443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_Toc271415442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_Toc271415441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_Toc271415440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Applicability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cp:lastPrinted>2010-08-20T13:34:00Z</cp:lastPrinted>
  <dcterms:created xsi:type="dcterms:W3CDTF">2013-10-05T12:18:00Z</dcterms:created>
  <dcterms:modified xsi:type="dcterms:W3CDTF">2013-10-05T12:18:00Z</dcterms:modified>
</cp:coreProperties>
</file>