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RLPR 工程复现阶段汇报</w:t>
      </w:r>
    </w:p>
    <w:p>
      <w:r>
        <w:rPr>
          <w:rFonts w:ascii="Liberation Sans" w:hAnsi="Liberation Sans" w:eastAsia="Noto Sans CJK SC"/>
          <w:b w:val="0"/>
          <w:i w:val="0"/>
          <w:sz w:val="18"/>
        </w:rPr>
        <w:t>汇报日期：2026 年 10 月 13 日　｜　当前实验：MulRan Sejong01 / Sejong02</w:t>
      </w:r>
    </w:p>
    <w:p>
      <w:pPr>
        <w:shd w:fill="EDF3F8"/>
        <w:spacing w:before="160" w:after="160"/>
      </w:pPr>
      <w:r>
        <w:rPr>
          <w:rFonts w:ascii="Liberation Sans" w:hAnsi="Liberation Sans" w:eastAsia="Noto Sans CJK SC"/>
          <w:b/>
          <w:i w:val="0"/>
          <w:sz w:val="21"/>
        </w:rPr>
        <w:t>阶段进展：</w:t>
      </w:r>
      <w:r>
        <w:rPr>
          <w:rFonts w:ascii="Liberation Sans" w:hAnsi="Liberation Sans" w:eastAsia="Noto Sans CJK SC"/>
          <w:b w:val="0"/>
          <w:i w:val="0"/>
          <w:sz w:val="21"/>
        </w:rPr>
        <w:t>已完成论文与代码结构学习、运行环境配置、MulRan 两条 Sejong 序列下载与预处理、三个训练阶段各 2 轮的小样本运行，以及官方权重和自训练权重的跨模态检索评估。官方权重的 Recall@1 为 77.32%，小样本短训权重为 46.52%。当前完成范围为 Sejong 工程流程验证，其余数据集、MulRan 其他序列和论文主表性能对照仍需继续补齐。</w:t>
      </w:r>
    </w:p>
    <w:p>
      <w:pPr>
        <w:pStyle w:val="Heading1"/>
      </w:pPr>
      <w:r>
        <w:t>一、任务要求与当前完成情况</w:t>
      </w:r>
    </w:p>
    <w:p>
      <w:r>
        <w:rPr>
          <w:rFonts w:ascii="Liberation Sans" w:hAnsi="Liberation Sans" w:eastAsia="Noto Sans CJK SC"/>
          <w:b w:val="0"/>
          <w:i w:val="0"/>
          <w:sz w:val="21"/>
        </w:rPr>
        <w:t>本次工作围绕“下载原仓库所需数据、每个数据集完成短轮次训练、用官方预训练模型复现评估性能”三项要求展开，为后续 4D radar 到 LiDAR 跨模态位置识别研究建立可修改、可运行的工程基础。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4291"/>
        <w:gridCol w:w="3193"/>
      </w:tblGrid>
      <w:tr>
        <w:trPr>
          <w:cantSplit/>
          <w:tblHeader/>
        </w:trPr>
        <w:tc>
          <w:tcPr>
            <w:tcW w:type="dxa" w:w="2494"/>
            <w:shd w:fill="EAF0F5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/>
                <w:i w:val="0"/>
                <w:sz w:val="18"/>
              </w:rPr>
              <w:t>任务要求</w:t>
            </w:r>
          </w:p>
        </w:tc>
        <w:tc>
          <w:tcPr>
            <w:tcW w:type="dxa" w:w="4291"/>
            <w:shd w:fill="EAF0F5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/>
                <w:i w:val="0"/>
                <w:sz w:val="18"/>
              </w:rPr>
              <w:t>本阶段已完成</w:t>
            </w:r>
          </w:p>
        </w:tc>
        <w:tc>
          <w:tcPr>
            <w:tcW w:type="dxa" w:w="3193"/>
            <w:shd w:fill="EAF0F5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/>
                <w:i w:val="0"/>
                <w:sz w:val="18"/>
              </w:rPr>
              <w:t>继续完成的工作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按原脚本下载对应数据集</w:t>
            </w:r>
          </w:p>
        </w:tc>
        <w:tc>
          <w:tcPr>
            <w:tcW w:type="dxa" w:w="4291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已核对五个数据集的数据需求；用户已下载 MulRan 的 Sejong01、Sejong02，已完成解压与目录检查。</w:t>
            </w:r>
          </w:p>
        </w:tc>
        <w:tc>
          <w:tcPr>
            <w:tcW w:type="dxa" w:w="3193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补齐 MulRan 其余 6 条序列，以及 nuScenes、Snail-Radar、HeRCULES、Boreas 的指定数据。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每个数据集训练 2–3 轮</w:t>
            </w:r>
          </w:p>
        </w:tc>
        <w:tc>
          <w:tcPr>
            <w:tcW w:type="dxa" w:w="4291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在 Sejong 训练区域抽取小样本，LiDAR、雷达、跨模态三个阶段均完成 2 轮，保存权重并正常退出。</w:t>
            </w:r>
          </w:p>
        </w:tc>
        <w:tc>
          <w:tcPr>
            <w:tcW w:type="dxa" w:w="3193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完成其他可训练数据集的短训；随后按原配置补齐训练数据。Boreas 按论文设定只做零样本评估。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keepNext w:val="0"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下载官方模型并评估</w:t>
            </w:r>
          </w:p>
        </w:tc>
        <w:tc>
          <w:tcPr>
            <w:tcW w:type="dxa" w:w="4291"/>
          </w:tcPr>
          <w:p>
            <w:pPr>
              <w:keepNext w:val="0"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已下载 MulRan、nuScenes 跨模态权重；已评估 MulRan 权重在 Sejong 测试划分上的性能，并评估本次短训权重。</w:t>
            </w:r>
          </w:p>
        </w:tc>
        <w:tc>
          <w:tcPr>
            <w:tcW w:type="dxa" w:w="3193"/>
          </w:tcPr>
          <w:p>
            <w:pPr>
              <w:keepNext w:val="0"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完成其他测试划分与数据集的官方权重评估，并修复当前评估脚本中发现的指标计算问题。</w:t>
            </w:r>
          </w:p>
        </w:tc>
      </w:tr>
    </w:tbl>
    <w:p>
      <w:pPr>
        <w:spacing w:after="0"/>
      </w:pPr>
    </w:p>
    <w:p>
      <w:r>
        <w:rPr>
          <w:rFonts w:ascii="Liberation Sans" w:hAnsi="Liberation Sans" w:eastAsia="Noto Sans CJK SC"/>
          <w:b/>
          <w:i w:val="0"/>
          <w:sz w:val="21"/>
        </w:rPr>
        <w:t>完成范围：</w:t>
      </w:r>
      <w:r>
        <w:rPr>
          <w:rFonts w:ascii="Liberation Sans" w:hAnsi="Liberation Sans" w:eastAsia="Noto Sans CJK SC"/>
          <w:b w:val="0"/>
          <w:i w:val="0"/>
          <w:sz w:val="21"/>
        </w:rPr>
        <w:t>现阶段可确认 Sejong 的“数据读取 → 预处理 → 单模态训练 → 跨模态训练 → 权重加载 → 检索评估”流程可运行；五数据集复现任务尚未全部完成。MulRan 使用扫描雷达，本次结果还不能代替后续 4D 雷达实验。</w:t>
      </w:r>
    </w:p>
    <w:p>
      <w:pPr>
        <w:pStyle w:val="Heading1"/>
      </w:pPr>
      <w:r>
        <w:t>二、论文学习与方法理解</w:t>
      </w:r>
    </w:p>
    <w:p>
      <w:r>
        <w:rPr>
          <w:rFonts w:ascii="Liberation Sans" w:hAnsi="Liberation Sans" w:eastAsia="Noto Sans CJK SC"/>
          <w:b w:val="0"/>
          <w:i w:val="0"/>
          <w:sz w:val="21"/>
        </w:rPr>
        <w:t xml:space="preserve">论文题目为 </w:t>
      </w:r>
      <w:r>
        <w:rPr>
          <w:rFonts w:ascii="Liberation Sans" w:hAnsi="Liberation Sans" w:eastAsia="Noto Sans CJK SC"/>
          <w:b w:val="0"/>
          <w:i/>
          <w:sz w:val="21"/>
        </w:rPr>
        <w:t>RLPR: Radar-to-LiDAR Place Recognition via Two-Stage Asymmetric Cross-Modal Alignment for Autonomous Driving</w:t>
      </w:r>
      <w:r>
        <w:rPr>
          <w:rFonts w:ascii="Liberation Sans" w:hAnsi="Liberation Sans" w:eastAsia="Noto Sans CJK SC"/>
          <w:b w:val="0"/>
          <w:i w:val="0"/>
          <w:sz w:val="21"/>
        </w:rPr>
        <w:t xml:space="preserve">，发表于 IEEE Robotics and Automation Letters，2026 年，第 11 卷第 8 期。官方代码仓库为 </w:t>
      </w:r>
      <w:hyperlink r:id="rId9">
        <w:r>
          <w:rPr>
            <w:color w:val="245783"/>
            <w:rFonts w:ascii="Liberation Sans" w:eastAsia="Noto Sans CJK SC"/>
            <w:sz w:val="21"/>
          </w:rPr>
          <w:t>QiZS-BIT/RLPR</w:t>
        </w:r>
      </w:hyperlink>
      <w:r>
        <w:rPr>
          <w:rFonts w:ascii="Liberation Sans" w:hAnsi="Liberation Sans" w:eastAsia="Noto Sans CJK SC"/>
          <w:b w:val="0"/>
          <w:i w:val="0"/>
          <w:sz w:val="21"/>
        </w:rPr>
        <w:t xml:space="preserve">，本地版本为 </w:t>
      </w:r>
      <w:r>
        <w:rPr>
          <w:rFonts w:ascii="DejaVu Sans Mono" w:hAnsi="DejaVu Sans Mono" w:eastAsia="Noto Sans CJK SC"/>
          <w:b w:val="0"/>
          <w:i w:val="0"/>
          <w:sz w:val="17"/>
        </w:rPr>
        <w:t>ad6478a5499bab227d7f063cb77d4843dc6f9b4a</w:t>
      </w:r>
      <w:r>
        <w:rPr>
          <w:rFonts w:ascii="Liberation Sans" w:hAnsi="Liberation Sans" w:eastAsia="Noto Sans CJK SC"/>
          <w:b w:val="0"/>
          <w:i w:val="0"/>
          <w:sz w:val="21"/>
        </w:rPr>
        <w:t>。</w:t>
      </w:r>
    </w:p>
    <w:p>
      <w:r>
        <w:rPr>
          <w:rFonts w:ascii="Liberation Sans" w:hAnsi="Liberation Sans" w:eastAsia="Noto Sans CJK SC"/>
          <w:b w:val="0"/>
          <w:i w:val="0"/>
          <w:sz w:val="21"/>
        </w:rPr>
        <w:t>论文研究的是：给定当前雷达观测，在已有 LiDAR 地图数据库中检索对应位置。网络输出可比较的描述子，再进行近邻检索；该流程本身不生成 LiDAR 点云，也不直接输出完整六自由度精确位姿。</w:t>
      </w:r>
    </w:p>
    <w:p>
      <w:pPr>
        <w:ind w:left="283" w:hanging="283"/>
      </w:pPr>
      <w:r>
        <w:t xml:space="preserve">1. </w:t>
      </w:r>
      <w:r>
        <w:rPr>
          <w:rFonts w:ascii="Liberation Sans" w:hAnsi="Liberation Sans" w:eastAsia="Noto Sans CJK SC"/>
          <w:b/>
          <w:i w:val="0"/>
          <w:sz w:val="21"/>
        </w:rPr>
        <w:t>统一空间表示：</w:t>
      </w:r>
      <w:r>
        <w:rPr>
          <w:rFonts w:ascii="Liberation Sans" w:hAnsi="Liberation Sans" w:eastAsia="Noto Sans CJK SC"/>
          <w:b w:val="0"/>
          <w:i w:val="0"/>
          <w:sz w:val="21"/>
        </w:rPr>
        <w:t>将 LiDAR 与雷达组织为极坐标 BEV，利用两种传感器共有的空间结构。论文采用这一设计兼容不同雷达类型，同时舍弃 RCS、多普勒速度等模态专有信息。</w:t>
      </w:r>
    </w:p>
    <w:p>
      <w:pPr>
        <w:ind w:left="283" w:hanging="283"/>
      </w:pPr>
      <w:r>
        <w:t xml:space="preserve">2. </w:t>
      </w:r>
      <w:r>
        <w:rPr>
          <w:rFonts w:ascii="Liberation Sans" w:hAnsi="Liberation Sans" w:eastAsia="Noto Sans CJK SC"/>
          <w:b/>
          <w:i w:val="0"/>
          <w:sz w:val="21"/>
        </w:rPr>
        <w:t>双分支特征提取：</w:t>
      </w:r>
      <w:r>
        <w:rPr>
          <w:rFonts w:ascii="Liberation Sans" w:hAnsi="Liberation Sans" w:eastAsia="Noto Sans CJK SC"/>
          <w:b w:val="0"/>
          <w:i w:val="0"/>
          <w:sz w:val="21"/>
        </w:rPr>
        <w:t>雷达和 LiDAR 分别经 Mamba 构成的 Polar Context Enhancer、ResNet 骨干提取特征；局部描述子与 Transformer、NetVLAD 聚合得到的全局描述子各为 256 维，拼接为 512 维检索描述子。</w:t>
      </w:r>
    </w:p>
    <w:p>
      <w:pPr>
        <w:ind w:left="283" w:hanging="283"/>
      </w:pPr>
      <w:r>
        <w:t xml:space="preserve">3. </w:t>
      </w:r>
      <w:r>
        <w:rPr>
          <w:rFonts w:ascii="Liberation Sans" w:hAnsi="Liberation Sans" w:eastAsia="Noto Sans CJK SC"/>
          <w:b/>
          <w:i w:val="0"/>
          <w:sz w:val="21"/>
        </w:rPr>
        <w:t>两阶段非对称对齐：</w:t>
      </w:r>
      <w:r>
        <w:rPr>
          <w:rFonts w:ascii="Liberation Sans" w:hAnsi="Liberation Sans" w:eastAsia="Noto Sans CJK SC"/>
          <w:b w:val="0"/>
          <w:i w:val="0"/>
          <w:sz w:val="21"/>
        </w:rPr>
        <w:t>先用 lazy triplet loss 独立预训练 LiDAR 和雷达分支；再加载两个分支权重，以雷达分支为冻结的特征锚点，训练 LiDAR 分支，并通过 InfoNCE 对齐局部与全局描述子。</w:t>
      </w:r>
    </w:p>
    <w:p>
      <w:r>
        <w:rPr>
          <w:rFonts w:ascii="Liberation Sans" w:hAnsi="Liberation Sans" w:eastAsia="Noto Sans CJK SC"/>
          <w:b w:val="0"/>
          <w:i w:val="0"/>
          <w:sz w:val="21"/>
        </w:rPr>
        <w:t>当前已熟悉原始数据元信息生成、样本索引、BEV 生成、单模态训练、跨模态对齐和测试入口。后续接入 4D 雷达时，需要重点核对点云字段、位姿与时间同步、100×100 BEV 表示以及跨传感器泛化情况。</w:t>
      </w:r>
    </w:p>
    <w:p>
      <w:pPr>
        <w:pStyle w:val="Heading1"/>
      </w:pPr>
      <w:r>
        <w:t>三、环境配置与所用工具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94"/>
        <w:gridCol w:w="7184"/>
      </w:tblGrid>
      <w:tr>
        <w:trPr>
          <w:cantSplit/>
          <w:tblHeader/>
        </w:trPr>
        <w:tc>
          <w:tcPr>
            <w:tcW w:type="dxa" w:w="2794"/>
            <w:shd w:fill="EAF0F5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/>
                <w:i w:val="0"/>
                <w:sz w:val="18"/>
              </w:rPr>
              <w:t>项目</w:t>
            </w:r>
          </w:p>
        </w:tc>
        <w:tc>
          <w:tcPr>
            <w:tcW w:type="dxa" w:w="7184"/>
            <w:shd w:fill="EAF0F5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/>
                <w:i w:val="0"/>
                <w:sz w:val="18"/>
              </w:rPr>
              <w:t>实际配置或用途</w:t>
            </w:r>
          </w:p>
        </w:tc>
      </w:tr>
      <w:tr>
        <w:trPr>
          <w:cantSplit/>
        </w:trPr>
        <w:tc>
          <w:tcPr>
            <w:tcW w:type="dxa" w:w="2794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系统与硬件</w:t>
            </w:r>
          </w:p>
        </w:tc>
        <w:tc>
          <w:tcPr>
            <w:tcW w:type="dxa" w:w="7184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Ubuntu 20.04.6 LTS；NVIDIA GeForce RTX 4060 Laptop GPU。</w:t>
            </w:r>
          </w:p>
        </w:tc>
      </w:tr>
      <w:tr>
        <w:trPr>
          <w:cantSplit/>
        </w:trPr>
        <w:tc>
          <w:tcPr>
            <w:tcW w:type="dxa" w:w="2794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Conda 环境</w:t>
            </w:r>
          </w:p>
        </w:tc>
        <w:tc>
          <w:tcPr>
            <w:tcW w:type="dxa" w:w="7184"/>
          </w:tcPr>
          <w:p>
            <w:pPr>
              <w:keepNext/>
              <w:spacing w:before="40" w:after="40" w:line="276" w:lineRule="auto"/>
            </w:pPr>
            <w:r>
              <w:rPr>
                <w:rFonts w:ascii="DejaVu Sans Mono" w:hAnsi="DejaVu Sans Mono" w:eastAsia="Noto Sans CJK SC"/>
                <w:b w:val="0"/>
                <w:i w:val="0"/>
                <w:sz w:val="17"/>
              </w:rPr>
              <w:t>/mnt/data300/envs/rlpr</w:t>
            </w: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；Python 3.10.22。</w:t>
            </w:r>
          </w:p>
        </w:tc>
      </w:tr>
      <w:tr>
        <w:trPr>
          <w:cantSplit/>
        </w:trPr>
        <w:tc>
          <w:tcPr>
            <w:tcW w:type="dxa" w:w="2794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主要依赖</w:t>
            </w:r>
          </w:p>
        </w:tc>
        <w:tc>
          <w:tcPr>
            <w:tcW w:type="dxa" w:w="7184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PyTorch 2.1.0+cu121；torchvision 0.16.0+cu121；NumPy 1.26.4；mamba-ssm 2.2.4；transformers 4.44.2。</w:t>
            </w:r>
          </w:p>
        </w:tc>
      </w:tr>
      <w:tr>
        <w:trPr>
          <w:cantSplit/>
        </w:trPr>
        <w:tc>
          <w:tcPr>
            <w:tcW w:type="dxa" w:w="2794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数据处理</w:t>
            </w:r>
          </w:p>
        </w:tc>
        <w:tc>
          <w:tcPr>
            <w:tcW w:type="dxa" w:w="7184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NumPy 与 pickle 保存索引和元信息；Open3D 处理点云与体素降采样；OpenCV 读取及保存雷达、LiDAR BEV 图片。</w:t>
            </w:r>
          </w:p>
        </w:tc>
      </w:tr>
      <w:tr>
        <w:trPr>
          <w:cantSplit/>
        </w:trPr>
        <w:tc>
          <w:tcPr>
            <w:tcW w:type="dxa" w:w="2794"/>
          </w:tcPr>
          <w:p>
            <w:pPr>
              <w:keepNext w:val="0"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训练与检索</w:t>
            </w:r>
          </w:p>
        </w:tc>
        <w:tc>
          <w:tcPr>
            <w:tcW w:type="dxa" w:w="7184"/>
          </w:tcPr>
          <w:p>
            <w:pPr>
              <w:keepNext w:val="0"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PyTorch / CUDA 进行前向、反向和优化；scikit-learn 构建位置邻域与正负样本；FAISS 进行描述子 L2 近邻检索；TensorBoardX 保存训练日志。</w:t>
            </w:r>
          </w:p>
        </w:tc>
      </w:tr>
    </w:tbl>
    <w:p>
      <w:pPr>
        <w:spacing w:after="0"/>
      </w:pPr>
    </w:p>
    <w:p>
      <w:r>
        <w:rPr>
          <w:rFonts w:ascii="Liberation Sans" w:hAnsi="Liberation Sans" w:eastAsia="Noto Sans CJK SC"/>
          <w:b w:val="0"/>
          <w:i w:val="0"/>
          <w:sz w:val="21"/>
        </w:rPr>
        <w:t>代码、权重、环境版本清单和下载依赖分别放在 RLPR 工程目录下；原始数据单独放在 RLPR_dataset 中。环境已通过模型前向、反向以及实际三阶段训练验证。下载和运行由用户在本机完成，辅助脚本负责按现有数据范围调用原仓库函数。</w:t>
      </w:r>
    </w:p>
    <w:p>
      <w:pPr>
        <w:pStyle w:val="Heading1"/>
        <w:pageBreakBefore/>
      </w:pPr>
      <w:r>
        <w:t>四、数据下载与预处理</w:t>
      </w:r>
    </w:p>
    <w:p>
      <w:pPr>
        <w:pStyle w:val="Heading2"/>
      </w:pPr>
      <w:r>
        <w:t>4.1 根据仓库引导核对的数据范围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97"/>
        <w:gridCol w:w="5488"/>
        <w:gridCol w:w="3193"/>
      </w:tblGrid>
      <w:tr>
        <w:trPr>
          <w:cantSplit/>
          <w:tblHeader/>
        </w:trPr>
        <w:tc>
          <w:tcPr>
            <w:tcW w:type="dxa" w:w="1297"/>
            <w:shd w:fill="EAF0F5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/>
                <w:i w:val="0"/>
                <w:sz w:val="18"/>
              </w:rPr>
              <w:t>数据集</w:t>
            </w:r>
          </w:p>
        </w:tc>
        <w:tc>
          <w:tcPr>
            <w:tcW w:type="dxa" w:w="5488"/>
            <w:shd w:fill="EAF0F5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/>
                <w:i w:val="0"/>
                <w:sz w:val="18"/>
              </w:rPr>
              <w:t>原代码要求</w:t>
            </w:r>
          </w:p>
        </w:tc>
        <w:tc>
          <w:tcPr>
            <w:tcW w:type="dxa" w:w="3193"/>
            <w:shd w:fill="EAF0F5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/>
                <w:i w:val="0"/>
                <w:sz w:val="18"/>
              </w:rPr>
              <w:t>当前状态与实验用途</w:t>
            </w:r>
          </w:p>
        </w:tc>
      </w:tr>
      <w:tr>
        <w:trPr>
          <w:cantSplit/>
        </w:trPr>
        <w:tc>
          <w:tcPr>
            <w:tcW w:type="dxa" w:w="1297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MulRan</w:t>
            </w:r>
          </w:p>
        </w:tc>
        <w:tc>
          <w:tcPr>
            <w:tcW w:type="dxa" w:w="5488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Sejong01/02、KAIST01/02、Riverside01/02、DCC01/02；每条序列包含 global_pose.csv、Ouster/*.bin、polar/*.png。</w:t>
            </w:r>
          </w:p>
        </w:tc>
        <w:tc>
          <w:tcPr>
            <w:tcW w:type="dxa" w:w="3193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已完成 Sejong01/02。原训练还使用 KAIST；Riverside、DCC 等划分的评估待完成。</w:t>
            </w:r>
          </w:p>
        </w:tc>
      </w:tr>
      <w:tr>
        <w:trPr>
          <w:cantSplit/>
        </w:trPr>
        <w:tc>
          <w:tcPr>
            <w:tcW w:type="dxa" w:w="1297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nuScenes</w:t>
            </w:r>
          </w:p>
        </w:tc>
        <w:tc>
          <w:tcPr>
            <w:tcW w:type="dxa" w:w="5488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完整 v1.0 trainval 和 test；保留元数据、maps、samples，以及代码读取的 LiDAR、雷达、相机数据。</w:t>
            </w:r>
          </w:p>
        </w:tc>
        <w:tc>
          <w:tcPr>
            <w:tcW w:type="dxa" w:w="3193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指定数据未就绪；nusc.pth.tar 已下载，尚未在真实数据上训练与评估。</w:t>
            </w:r>
          </w:p>
        </w:tc>
      </w:tr>
      <w:tr>
        <w:trPr>
          <w:cantSplit/>
        </w:trPr>
        <w:tc>
          <w:tcPr>
            <w:tcW w:type="dxa" w:w="1297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Snail-Radar</w:t>
            </w:r>
          </w:p>
        </w:tc>
        <w:tc>
          <w:tcPr>
            <w:tcW w:type="dxa" w:w="5488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训练：20231208/data4、20240116/data5、20240123/data2。测试：20240116_eve/data3、20240116/data2。需位姿 txt、xt32 点云、eagleg7/enhanced 雷达点云。</w:t>
            </w:r>
          </w:p>
        </w:tc>
        <w:tc>
          <w:tcPr>
            <w:tcW w:type="dxa" w:w="3193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上述五条完整序列未就绪；用于后续 4D 雷达到 LiDAR 复现。</w:t>
            </w:r>
          </w:p>
        </w:tc>
      </w:tr>
      <w:tr>
        <w:trPr>
          <w:cantSplit/>
        </w:trPr>
        <w:tc>
          <w:tcPr>
            <w:tcW w:type="dxa" w:w="1297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HeRCULES</w:t>
            </w:r>
          </w:p>
        </w:tc>
        <w:tc>
          <w:tcPr>
            <w:tcW w:type="dxa" w:w="5488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RiverIsland/01、02 和 SportsComplex/01、02；需 Aeva、continental 点云及两类 gt 文件。</w:t>
            </w:r>
          </w:p>
        </w:tc>
        <w:tc>
          <w:tcPr>
            <w:tcW w:type="dxa" w:w="3193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未完成下载与复现；原流程以 Snail-Radar 权重初始化，再进行微调。</w:t>
            </w:r>
          </w:p>
        </w:tc>
      </w:tr>
      <w:tr>
        <w:trPr>
          <w:cantSplit/>
        </w:trPr>
        <w:tc>
          <w:tcPr>
            <w:tcW w:type="dxa" w:w="1297"/>
          </w:tcPr>
          <w:p>
            <w:pPr>
              <w:keepNext w:val="0"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Boreas</w:t>
            </w:r>
          </w:p>
        </w:tc>
        <w:tc>
          <w:tcPr>
            <w:tcW w:type="dxa" w:w="5488"/>
          </w:tcPr>
          <w:p>
            <w:pPr>
              <w:keepNext w:val="0"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2020-12-18-13-44、2021-09-14-20-00、2021-01-26-11-22；需位姿 csv、lidar、radar、camera_224。</w:t>
            </w:r>
          </w:p>
        </w:tc>
        <w:tc>
          <w:tcPr>
            <w:tcW w:type="dxa" w:w="3193"/>
          </w:tcPr>
          <w:p>
            <w:pPr>
              <w:keepNext w:val="0"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未完成指定数据准备。论文排除 Boreas 训练数据，使用 MulRan 权重做零样本评估。</w:t>
            </w:r>
          </w:p>
        </w:tc>
      </w:tr>
    </w:tbl>
    <w:p>
      <w:pPr>
        <w:spacing w:after="0"/>
      </w:pPr>
    </w:p>
    <w:p>
      <w:r>
        <w:rPr>
          <w:rFonts w:ascii="Liberation Sans" w:hAnsi="Liberation Sans" w:eastAsia="Noto Sans CJK SC"/>
          <w:b w:val="0"/>
          <w:i w:val="0"/>
          <w:sz w:val="18"/>
        </w:rPr>
        <w:t>下载范围以原仓库 README、各数据集 gen_info.py 和 scripts 下的流程脚本为依据。已有的其他 Snail 序列不能直接替代上表指定的完整 4D 雷达实验数据。</w:t>
      </w:r>
    </w:p>
    <w:p>
      <w:pPr>
        <w:pStyle w:val="Heading2"/>
      </w:pPr>
      <w:r>
        <w:t>4.2 已下载的 MulRan 数据</w:t>
      </w:r>
    </w:p>
    <w:p>
      <w:r>
        <w:rPr>
          <w:rFonts w:ascii="Liberation Sans" w:hAnsi="Liberation Sans" w:eastAsia="Noto Sans CJK SC"/>
          <w:b w:val="0"/>
          <w:i w:val="0"/>
          <w:sz w:val="21"/>
        </w:rPr>
        <w:t xml:space="preserve">目前原始数据位于 </w:t>
      </w:r>
      <w:r>
        <w:rPr>
          <w:rFonts w:ascii="DejaVu Sans Mono" w:hAnsi="DejaVu Sans Mono" w:eastAsia="Noto Sans CJK SC"/>
          <w:b w:val="0"/>
          <w:i w:val="0"/>
          <w:sz w:val="17"/>
        </w:rPr>
        <w:t>/media/rwj/ZX1 2TB/RLPR_dataset/MulRan</w:t>
      </w:r>
      <w:r>
        <w:rPr>
          <w:rFonts w:ascii="Liberation Sans" w:hAnsi="Liberation Sans" w:eastAsia="Noto Sans CJK SC"/>
          <w:b w:val="0"/>
          <w:i w:val="0"/>
          <w:sz w:val="21"/>
        </w:rPr>
        <w:t xml:space="preserve">，两个子目录分别为 </w:t>
      </w:r>
      <w:r>
        <w:rPr>
          <w:rFonts w:ascii="DejaVu Sans Mono" w:hAnsi="DejaVu Sans Mono" w:eastAsia="Noto Sans CJK SC"/>
          <w:b w:val="0"/>
          <w:i w:val="0"/>
          <w:sz w:val="17"/>
        </w:rPr>
        <w:t>sejong01</w:t>
      </w:r>
      <w:r>
        <w:rPr>
          <w:rFonts w:ascii="Liberation Sans" w:hAnsi="Liberation Sans" w:eastAsia="Noto Sans CJK SC"/>
          <w:b w:val="0"/>
          <w:i w:val="0"/>
          <w:sz w:val="21"/>
        </w:rPr>
        <w:t xml:space="preserve"> 和 </w:t>
      </w:r>
      <w:r>
        <w:rPr>
          <w:rFonts w:ascii="DejaVu Sans Mono" w:hAnsi="DejaVu Sans Mono" w:eastAsia="Noto Sans CJK SC"/>
          <w:b w:val="0"/>
          <w:i w:val="0"/>
          <w:sz w:val="17"/>
        </w:rPr>
        <w:t>sejong02</w:t>
      </w:r>
      <w:r>
        <w:rPr>
          <w:rFonts w:ascii="Liberation Sans" w:hAnsi="Liberation Sans" w:eastAsia="Noto Sans CJK SC"/>
          <w:b w:val="0"/>
          <w:i w:val="0"/>
          <w:sz w:val="21"/>
        </w:rPr>
        <w:t>。数据包包含外层 tar.gz 和内层 tar，已完成两层解包，点云及图片直接放入各序列的 Ouster 和 polar 目录。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95"/>
        <w:gridCol w:w="1896"/>
        <w:gridCol w:w="1896"/>
        <w:gridCol w:w="1896"/>
        <w:gridCol w:w="1996"/>
      </w:tblGrid>
      <w:tr>
        <w:trPr>
          <w:cantSplit/>
          <w:tblHeader/>
        </w:trPr>
        <w:tc>
          <w:tcPr>
            <w:tcW w:type="dxa" w:w="2295"/>
            <w:shd w:fill="EAF0F5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/>
                <w:i w:val="0"/>
                <w:sz w:val="18"/>
              </w:rPr>
              <w:t>序列</w:t>
            </w:r>
          </w:p>
        </w:tc>
        <w:tc>
          <w:tcPr>
            <w:tcW w:type="dxa" w:w="1896"/>
            <w:shd w:fill="EAF0F5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/>
                <w:i w:val="0"/>
                <w:sz w:val="18"/>
              </w:rPr>
              <w:t>LiDAR 点云帧数</w:t>
            </w:r>
          </w:p>
        </w:tc>
        <w:tc>
          <w:tcPr>
            <w:tcW w:type="dxa" w:w="1896"/>
            <w:shd w:fill="EAF0F5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/>
                <w:i w:val="0"/>
                <w:sz w:val="18"/>
              </w:rPr>
              <w:t>雷达图片帧数</w:t>
            </w:r>
          </w:p>
        </w:tc>
        <w:tc>
          <w:tcPr>
            <w:tcW w:type="dxa" w:w="1896"/>
            <w:shd w:fill="EAF0F5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/>
                <w:i w:val="0"/>
                <w:sz w:val="18"/>
              </w:rPr>
              <w:t>有效同步配对</w:t>
            </w:r>
          </w:p>
        </w:tc>
        <w:tc>
          <w:tcPr>
            <w:tcW w:type="dxa" w:w="1996"/>
            <w:shd w:fill="EAF0F5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/>
                <w:i w:val="0"/>
                <w:sz w:val="18"/>
              </w:rPr>
              <w:t>同步条件未通过</w:t>
            </w:r>
          </w:p>
        </w:tc>
      </w:tr>
      <w:tr>
        <w:trPr>
          <w:cantSplit/>
        </w:trPr>
        <w:tc>
          <w:tcPr>
            <w:tcW w:type="dxa" w:w="2295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Sejong01</w:t>
            </w:r>
          </w:p>
        </w:tc>
        <w:tc>
          <w:tcPr>
            <w:tcW w:type="dxa" w:w="1896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28,779</w:t>
            </w:r>
          </w:p>
        </w:tc>
        <w:tc>
          <w:tcPr>
            <w:tcW w:type="dxa" w:w="1896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11,503</w:t>
            </w:r>
          </w:p>
        </w:tc>
        <w:tc>
          <w:tcPr>
            <w:tcW w:type="dxa" w:w="1896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8,744</w:t>
            </w:r>
          </w:p>
        </w:tc>
        <w:tc>
          <w:tcPr>
            <w:tcW w:type="dxa" w:w="1996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2,759</w:t>
            </w:r>
          </w:p>
        </w:tc>
      </w:tr>
      <w:tr>
        <w:trPr>
          <w:cantSplit/>
        </w:trPr>
        <w:tc>
          <w:tcPr>
            <w:tcW w:type="dxa" w:w="2295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Sejong02</w:t>
            </w:r>
          </w:p>
        </w:tc>
        <w:tc>
          <w:tcPr>
            <w:tcW w:type="dxa" w:w="1896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27,494</w:t>
            </w:r>
          </w:p>
        </w:tc>
        <w:tc>
          <w:tcPr>
            <w:tcW w:type="dxa" w:w="1896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10,979</w:t>
            </w:r>
          </w:p>
        </w:tc>
        <w:tc>
          <w:tcPr>
            <w:tcW w:type="dxa" w:w="1896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8,727</w:t>
            </w:r>
          </w:p>
        </w:tc>
        <w:tc>
          <w:tcPr>
            <w:tcW w:type="dxa" w:w="1996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2,252</w:t>
            </w:r>
          </w:p>
        </w:tc>
      </w:tr>
      <w:tr>
        <w:trPr>
          <w:cantSplit/>
        </w:trPr>
        <w:tc>
          <w:tcPr>
            <w:tcW w:type="dxa" w:w="2295"/>
          </w:tcPr>
          <w:p>
            <w:pPr>
              <w:keepNext w:val="0"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合计</w:t>
            </w:r>
          </w:p>
        </w:tc>
        <w:tc>
          <w:tcPr>
            <w:tcW w:type="dxa" w:w="1896"/>
          </w:tcPr>
          <w:p>
            <w:pPr>
              <w:keepNext w:val="0"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56,273</w:t>
            </w:r>
          </w:p>
        </w:tc>
        <w:tc>
          <w:tcPr>
            <w:tcW w:type="dxa" w:w="1896"/>
          </w:tcPr>
          <w:p>
            <w:pPr>
              <w:keepNext w:val="0"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22,482</w:t>
            </w:r>
          </w:p>
        </w:tc>
        <w:tc>
          <w:tcPr>
            <w:tcW w:type="dxa" w:w="1896"/>
          </w:tcPr>
          <w:p>
            <w:pPr>
              <w:keepNext w:val="0"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17,471</w:t>
            </w:r>
          </w:p>
        </w:tc>
        <w:tc>
          <w:tcPr>
            <w:tcW w:type="dxa" w:w="1996"/>
          </w:tcPr>
          <w:p>
            <w:pPr>
              <w:keepNext w:val="0"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5,011</w:t>
            </w:r>
          </w:p>
        </w:tc>
      </w:tr>
    </w:tbl>
    <w:p>
      <w:pPr>
        <w:spacing w:after="0"/>
      </w:pPr>
    </w:p>
    <w:p>
      <w:r>
        <w:rPr>
          <w:rFonts w:ascii="Liberation Sans" w:hAnsi="Liberation Sans" w:eastAsia="Noto Sans CJK SC"/>
          <w:b w:val="0"/>
          <w:i w:val="0"/>
          <w:sz w:val="21"/>
        </w:rPr>
        <w:t xml:space="preserve">Sejong02 包含一个空点云文件 </w:t>
      </w:r>
      <w:r>
        <w:rPr>
          <w:rFonts w:ascii="DejaVu Sans Mono" w:hAnsi="DejaVu Sans Mono" w:eastAsia="Noto Sans CJK SC"/>
          <w:b w:val="0"/>
          <w:i w:val="0"/>
          <w:sz w:val="17"/>
        </w:rPr>
        <w:t>1566279795718079314.bin</w:t>
      </w:r>
      <w:r>
        <w:rPr>
          <w:rFonts w:ascii="Liberation Sans" w:hAnsi="Liberation Sans" w:eastAsia="Noto Sans CJK SC"/>
          <w:b w:val="0"/>
          <w:i w:val="0"/>
          <w:sz w:val="21"/>
        </w:rPr>
        <w:t>，该时间戳已在原 gen_info.py 的异常点云列表中。脚本对该文件设有跳过逻辑，未将它作为正常样本补造。</w:t>
      </w:r>
    </w:p>
    <w:p>
      <w:pPr>
        <w:pStyle w:val="Heading2"/>
      </w:pPr>
      <w:r>
        <w:t>4.3 预处理过程及输出</w:t>
      </w:r>
    </w:p>
    <w:p>
      <w:r>
        <w:rPr>
          <w:rFonts w:ascii="Liberation Sans" w:hAnsi="Liberation Sans" w:eastAsia="Noto Sans CJK SC"/>
          <w:b/>
          <w:i w:val="0"/>
          <w:sz w:val="21"/>
        </w:rPr>
        <w:t>时间与位姿同步：</w:t>
      </w:r>
      <w:r>
        <w:rPr>
          <w:rFonts w:ascii="Liberation Sans" w:hAnsi="Liberation Sans" w:eastAsia="Noto Sans CJK SC"/>
          <w:b w:val="0"/>
          <w:i w:val="0"/>
          <w:sz w:val="21"/>
        </w:rPr>
        <w:t xml:space="preserve">调用 </w:t>
      </w:r>
      <w:r>
        <w:rPr>
          <w:rFonts w:ascii="DejaVu Sans Mono" w:hAnsi="DejaVu Sans Mono" w:eastAsia="Noto Sans CJK SC"/>
          <w:b w:val="0"/>
          <w:i w:val="0"/>
          <w:sz w:val="17"/>
        </w:rPr>
        <w:t>gen_info</w:t>
      </w:r>
      <w:r>
        <w:rPr>
          <w:rFonts w:ascii="Liberation Sans" w:hAnsi="Liberation Sans" w:eastAsia="Noto Sans CJK SC"/>
          <w:b w:val="0"/>
          <w:i w:val="0"/>
          <w:sz w:val="21"/>
        </w:rPr>
        <w:t>。读取 global_pose.csv 的纳秒时间戳和 4×4 位姿，为雷达帧寻找最近的位姿及 LiDAR 帧。本次参数 t_tolerance=1.0，对应位姿差不超过 1 秒、雷达与 LiDAR 差不超过 50 毫秒。终端的 “unknown pose” 提示同时涵盖代码中这两类时间条件不通过的情况。输出 17,471 条雷达、LiDAR、位姿元信息。</w:t>
      </w:r>
    </w:p>
    <w:p>
      <w:r>
        <w:rPr>
          <w:rFonts w:ascii="Liberation Sans" w:hAnsi="Liberation Sans" w:eastAsia="Noto Sans CJK SC"/>
          <w:b/>
          <w:i w:val="0"/>
          <w:sz w:val="21"/>
        </w:rPr>
        <w:t>训练与测试划分：</w:t>
      </w:r>
      <w:r>
        <w:rPr>
          <w:rFonts w:ascii="Liberation Sans" w:hAnsi="Liberation Sans" w:eastAsia="Noto Sans CJK SC"/>
          <w:b w:val="0"/>
          <w:i w:val="0"/>
          <w:sz w:val="21"/>
        </w:rPr>
        <w:t xml:space="preserve">调用 </w:t>
      </w:r>
      <w:r>
        <w:rPr>
          <w:rFonts w:ascii="DejaVu Sans Mono" w:hAnsi="DejaVu Sans Mono" w:eastAsia="Noto Sans CJK SC"/>
          <w:b w:val="0"/>
          <w:i w:val="0"/>
          <w:sz w:val="17"/>
        </w:rPr>
        <w:t>process_infos_sejong</w:t>
      </w:r>
      <w:r>
        <w:rPr>
          <w:rFonts w:ascii="Liberation Sans" w:hAnsi="Liberation Sans" w:eastAsia="Noto Sans CJK SC"/>
          <w:b w:val="0"/>
          <w:i w:val="0"/>
          <w:sz w:val="21"/>
        </w:rPr>
        <w:t>，沿用原仓库的地理区域划分。训练区域与测试区域之间设有边界隔离；Sejong01 提供数据库，Sejong02 提供查询，测试查询要求在数据库中存在 9 米以内的匹配位置。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92"/>
        <w:gridCol w:w="3243"/>
        <w:gridCol w:w="3243"/>
      </w:tblGrid>
      <w:tr>
        <w:trPr>
          <w:cantSplit/>
          <w:tblHeader/>
        </w:trPr>
        <w:tc>
          <w:tcPr>
            <w:tcW w:type="dxa" w:w="3492"/>
            <w:shd w:fill="EAF0F5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/>
                <w:i w:val="0"/>
                <w:sz w:val="18"/>
              </w:rPr>
              <w:t>划分</w:t>
            </w:r>
          </w:p>
        </w:tc>
        <w:tc>
          <w:tcPr>
            <w:tcW w:type="dxa" w:w="3243"/>
            <w:shd w:fill="EAF0F5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/>
                <w:i w:val="0"/>
                <w:sz w:val="18"/>
              </w:rPr>
              <w:t>数量</w:t>
            </w:r>
          </w:p>
        </w:tc>
        <w:tc>
          <w:tcPr>
            <w:tcW w:type="dxa" w:w="3243"/>
            <w:shd w:fill="EAF0F5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/>
                <w:i w:val="0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3492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训练区域数据库</w:t>
            </w:r>
          </w:p>
        </w:tc>
        <w:tc>
          <w:tcPr>
            <w:tcW w:type="dxa" w:w="3243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7,114</w:t>
            </w:r>
          </w:p>
        </w:tc>
        <w:tc>
          <w:tcPr>
            <w:tcW w:type="dxa" w:w="3243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来自 Sejong01。</w:t>
            </w:r>
          </w:p>
        </w:tc>
      </w:tr>
      <w:tr>
        <w:trPr>
          <w:cantSplit/>
        </w:trPr>
        <w:tc>
          <w:tcPr>
            <w:tcW w:type="dxa" w:w="3492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通过位置匹配筛选的训练查询</w:t>
            </w:r>
          </w:p>
        </w:tc>
        <w:tc>
          <w:tcPr>
            <w:tcW w:type="dxa" w:w="3243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7,202</w:t>
            </w:r>
          </w:p>
        </w:tc>
        <w:tc>
          <w:tcPr>
            <w:tcW w:type="dxa" w:w="3243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来自 Sejong02；与上行合并构成原脚本使用的训练样本池。</w:t>
            </w:r>
          </w:p>
        </w:tc>
      </w:tr>
      <w:tr>
        <w:trPr>
          <w:cantSplit/>
        </w:trPr>
        <w:tc>
          <w:tcPr>
            <w:tcW w:type="dxa" w:w="3492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测试数据库</w:t>
            </w:r>
          </w:p>
        </w:tc>
        <w:tc>
          <w:tcPr>
            <w:tcW w:type="dxa" w:w="3243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1,505</w:t>
            </w:r>
          </w:p>
        </w:tc>
        <w:tc>
          <w:tcPr>
            <w:tcW w:type="dxa" w:w="3243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Sejong01 测试区域的 LiDAR 检索参考。</w:t>
            </w:r>
          </w:p>
        </w:tc>
      </w:tr>
      <w:tr>
        <w:trPr>
          <w:cantSplit/>
        </w:trPr>
        <w:tc>
          <w:tcPr>
            <w:tcW w:type="dxa" w:w="3492"/>
          </w:tcPr>
          <w:p>
            <w:pPr>
              <w:keepNext w:val="0"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测试查询</w:t>
            </w:r>
          </w:p>
        </w:tc>
        <w:tc>
          <w:tcPr>
            <w:tcW w:type="dxa" w:w="3243"/>
          </w:tcPr>
          <w:p>
            <w:pPr>
              <w:keepNext w:val="0"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1,380</w:t>
            </w:r>
          </w:p>
        </w:tc>
        <w:tc>
          <w:tcPr>
            <w:tcW w:type="dxa" w:w="3243"/>
          </w:tcPr>
          <w:p>
            <w:pPr>
              <w:keepNext w:val="0"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Sejong02 测试区域的雷达查询。</w:t>
            </w:r>
          </w:p>
        </w:tc>
      </w:tr>
    </w:tbl>
    <w:p>
      <w:pPr>
        <w:spacing w:after="0"/>
      </w:pPr>
    </w:p>
    <w:p>
      <w:r>
        <w:rPr>
          <w:rFonts w:ascii="Liberation Sans" w:hAnsi="Liberation Sans" w:eastAsia="Noto Sans CJK SC"/>
          <w:b/>
          <w:i w:val="0"/>
          <w:sz w:val="21"/>
        </w:rPr>
        <w:t>BEV 生成：</w:t>
      </w:r>
      <w:r>
        <w:rPr>
          <w:rFonts w:ascii="Liberation Sans" w:hAnsi="Liberation Sans" w:eastAsia="Noto Sans CJK SC"/>
          <w:b w:val="0"/>
          <w:i w:val="0"/>
          <w:sz w:val="21"/>
        </w:rPr>
        <w:t xml:space="preserve">调用 </w:t>
      </w:r>
      <w:r>
        <w:rPr>
          <w:rFonts w:ascii="DejaVu Sans Mono" w:hAnsi="DejaVu Sans Mono" w:eastAsia="Noto Sans CJK SC"/>
          <w:b w:val="0"/>
          <w:i w:val="0"/>
          <w:sz w:val="17"/>
        </w:rPr>
        <w:t>gen_bev</w:t>
      </w:r>
      <w:r>
        <w:rPr>
          <w:rFonts w:ascii="Liberation Sans" w:hAnsi="Liberation Sans" w:eastAsia="Noto Sans CJK SC"/>
          <w:b w:val="0"/>
          <w:i w:val="0"/>
          <w:sz w:val="21"/>
        </w:rPr>
        <w:t>。LiDAR 点云按原代码去除零点、裁剪 80 米感知范围、过滤 z≤−0.9 米点，并以 1.6 米体素降采样后投影到极坐标网格；雷达 polar 图片截取相应距离范围并缩放。两路图片尺寸均为高 50 × 宽 225；训练读取时除以 256，复制为三通道。此次评估处理 2,885 个索引样本。</w:t>
      </w:r>
    </w:p>
    <w:p>
      <w:r>
        <w:rPr>
          <w:rFonts w:ascii="Liberation Sans" w:hAnsi="Liberation Sans" w:eastAsia="Noto Sans CJK SC"/>
          <w:b w:val="0"/>
          <w:i w:val="0"/>
          <w:sz w:val="21"/>
        </w:rPr>
        <w:t xml:space="preserve">评估输出目录为 </w:t>
      </w:r>
      <w:r>
        <w:rPr>
          <w:rFonts w:ascii="DejaVu Sans Mono" w:hAnsi="DejaVu Sans Mono" w:eastAsia="Noto Sans CJK SC"/>
          <w:b w:val="0"/>
          <w:i w:val="0"/>
          <w:sz w:val="17"/>
        </w:rPr>
        <w:t>RLPR/processed/mulran_sejong</w:t>
      </w:r>
      <w:r>
        <w:rPr>
          <w:rFonts w:ascii="Liberation Sans" w:hAnsi="Liberation Sans" w:eastAsia="Noto Sans CJK SC"/>
          <w:b w:val="0"/>
          <w:i w:val="0"/>
          <w:sz w:val="21"/>
        </w:rPr>
        <w:t xml:space="preserve">，其中 </w:t>
      </w:r>
      <w:r>
        <w:rPr>
          <w:rFonts w:ascii="DejaVu Sans Mono" w:hAnsi="DejaVu Sans Mono" w:eastAsia="Noto Sans CJK SC"/>
          <w:b w:val="0"/>
          <w:i w:val="0"/>
          <w:sz w:val="17"/>
        </w:rPr>
        <w:t>info/mulran_infos-sejong.pkl</w:t>
      </w:r>
      <w:r>
        <w:rPr>
          <w:rFonts w:ascii="Liberation Sans" w:hAnsi="Liberation Sans" w:eastAsia="Noto Sans CJK SC"/>
          <w:b w:val="0"/>
          <w:i w:val="0"/>
          <w:sz w:val="21"/>
        </w:rPr>
        <w:t xml:space="preserve"> 保存元信息，</w:t>
      </w:r>
      <w:r>
        <w:rPr>
          <w:rFonts w:ascii="DejaVu Sans Mono" w:hAnsi="DejaVu Sans Mono" w:eastAsia="Noto Sans CJK SC"/>
          <w:b w:val="0"/>
          <w:i w:val="0"/>
          <w:sz w:val="17"/>
        </w:rPr>
        <w:t>index/sejong_test_db.npy</w:t>
      </w:r>
      <w:r>
        <w:rPr>
          <w:rFonts w:ascii="Liberation Sans" w:hAnsi="Liberation Sans" w:eastAsia="Noto Sans CJK SC"/>
          <w:b w:val="0"/>
          <w:i w:val="0"/>
          <w:sz w:val="21"/>
        </w:rPr>
        <w:t xml:space="preserve"> 和 </w:t>
      </w:r>
      <w:r>
        <w:rPr>
          <w:rFonts w:ascii="DejaVu Sans Mono" w:hAnsi="DejaVu Sans Mono" w:eastAsia="Noto Sans CJK SC"/>
          <w:b w:val="0"/>
          <w:i w:val="0"/>
          <w:sz w:val="17"/>
        </w:rPr>
        <w:t>sejong_test_query.npy</w:t>
      </w:r>
      <w:r>
        <w:rPr>
          <w:rFonts w:ascii="Liberation Sans" w:hAnsi="Liberation Sans" w:eastAsia="Noto Sans CJK SC"/>
          <w:b w:val="0"/>
          <w:i w:val="0"/>
          <w:sz w:val="21"/>
        </w:rPr>
        <w:t xml:space="preserve"> 保存测试划分，</w:t>
      </w:r>
      <w:r>
        <w:rPr>
          <w:rFonts w:ascii="DejaVu Sans Mono" w:hAnsi="DejaVu Sans Mono" w:eastAsia="Noto Sans CJK SC"/>
          <w:b w:val="0"/>
          <w:i w:val="0"/>
          <w:sz w:val="17"/>
        </w:rPr>
        <w:t>bev/mm_bev/lidar</w:t>
      </w:r>
      <w:r>
        <w:rPr>
          <w:rFonts w:ascii="Liberation Sans" w:hAnsi="Liberation Sans" w:eastAsia="Noto Sans CJK SC"/>
          <w:b w:val="0"/>
          <w:i w:val="0"/>
          <w:sz w:val="21"/>
        </w:rPr>
        <w:t xml:space="preserve"> 与 </w:t>
      </w:r>
      <w:r>
        <w:rPr>
          <w:rFonts w:ascii="DejaVu Sans Mono" w:hAnsi="DejaVu Sans Mono" w:eastAsia="Noto Sans CJK SC"/>
          <w:b w:val="0"/>
          <w:i w:val="0"/>
          <w:sz w:val="17"/>
        </w:rPr>
        <w:t>radar</w:t>
      </w:r>
      <w:r>
        <w:rPr>
          <w:rFonts w:ascii="Liberation Sans" w:hAnsi="Liberation Sans" w:eastAsia="Noto Sans CJK SC"/>
          <w:b w:val="0"/>
          <w:i w:val="0"/>
          <w:sz w:val="21"/>
        </w:rPr>
        <w:t xml:space="preserve"> 保存输入图片。</w:t>
      </w:r>
    </w:p>
    <w:p>
      <w:pPr>
        <w:pStyle w:val="Heading1"/>
        <w:pageBreakBefore/>
      </w:pPr>
      <w:r>
        <w:t>五、小样本训练运行情况</w:t>
      </w:r>
    </w:p>
    <w:p>
      <w:r>
        <w:rPr>
          <w:rFonts w:ascii="Liberation Sans" w:hAnsi="Liberation Sans" w:eastAsia="Noto Sans CJK SC"/>
          <w:b w:val="0"/>
          <w:i w:val="0"/>
          <w:sz w:val="21"/>
        </w:rPr>
        <w:t>为验证工程训练流程，在原地理训练区域的样本池中，以随机种子 0 抽取 1,024 个数据库样本，再从其中抽取 256 个查询。数据库与查询可重合，沿用原代码训练样本池的组织方式；测试区域不参与本次抽样。</w:t>
      </w:r>
    </w:p>
    <w:p>
      <w:r>
        <w:rPr>
          <w:rFonts w:ascii="Liberation Sans" w:hAnsi="Liberation Sans" w:eastAsia="Noto Sans CJK SC"/>
          <w:b w:val="0"/>
          <w:i w:val="0"/>
          <w:sz w:val="21"/>
        </w:rPr>
        <w:t xml:space="preserve">运行入口为工程辅助脚本 </w:t>
      </w:r>
      <w:r>
        <w:rPr>
          <w:rFonts w:ascii="DejaVu Sans Mono" w:hAnsi="DejaVu Sans Mono" w:eastAsia="Noto Sans CJK SC"/>
          <w:b w:val="0"/>
          <w:i w:val="0"/>
          <w:sz w:val="17"/>
        </w:rPr>
        <w:t>RLPR/sejong_short_train.sh</w:t>
      </w:r>
      <w:r>
        <w:rPr>
          <w:rFonts w:ascii="Liberation Sans" w:hAnsi="Liberation Sans" w:eastAsia="Noto Sans CJK SC"/>
          <w:b w:val="0"/>
          <w:i w:val="0"/>
          <w:sz w:val="21"/>
        </w:rPr>
        <w:t>。脚本调用原 UnimodalTrainer 和 CrossModalTrainer，仅为本次运行配置 Sejong 数据、抽样规模、batch size 和轮数；原默认训练中的 KAIST 数据本次未加入。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94"/>
        <w:gridCol w:w="7184"/>
      </w:tblGrid>
      <w:tr>
        <w:trPr>
          <w:cantSplit/>
          <w:tblHeader/>
        </w:trPr>
        <w:tc>
          <w:tcPr>
            <w:tcW w:type="dxa" w:w="2794"/>
            <w:shd w:fill="EAF0F5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/>
                <w:i w:val="0"/>
                <w:sz w:val="18"/>
              </w:rPr>
              <w:t>项目</w:t>
            </w:r>
          </w:p>
        </w:tc>
        <w:tc>
          <w:tcPr>
            <w:tcW w:type="dxa" w:w="7184"/>
            <w:shd w:fill="EAF0F5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/>
                <w:i w:val="0"/>
                <w:sz w:val="18"/>
              </w:rPr>
              <w:t>本次设定</w:t>
            </w:r>
          </w:p>
        </w:tc>
      </w:tr>
      <w:tr>
        <w:trPr>
          <w:cantSplit/>
        </w:trPr>
        <w:tc>
          <w:tcPr>
            <w:tcW w:type="dxa" w:w="2794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训练规模与轮数</w:t>
            </w:r>
          </w:p>
        </w:tc>
        <w:tc>
          <w:tcPr>
            <w:tcW w:type="dxa" w:w="7184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1,024 个数据库样本、256 个查询；LiDAR、雷达、跨模态各 2 轮。</w:t>
            </w:r>
          </w:p>
        </w:tc>
      </w:tr>
      <w:tr>
        <w:trPr>
          <w:cantSplit/>
        </w:trPr>
        <w:tc>
          <w:tcPr>
            <w:tcW w:type="dxa" w:w="2794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Batch 与采样</w:t>
            </w:r>
          </w:p>
        </w:tc>
        <w:tc>
          <w:tcPr>
            <w:tcW w:type="dxa" w:w="7184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batch size=1；每个查询组织 1 个正样本、10 个负样本，连同查询共 12 个样本。</w:t>
            </w:r>
          </w:p>
        </w:tc>
      </w:tr>
      <w:tr>
        <w:trPr>
          <w:cantSplit/>
        </w:trPr>
        <w:tc>
          <w:tcPr>
            <w:tcW w:type="dxa" w:w="2794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优化配置</w:t>
            </w:r>
          </w:p>
        </w:tc>
        <w:tc>
          <w:tcPr>
            <w:tcW w:type="dxa" w:w="7184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Adam；初始学习率 5×10⁻⁵；每轮乘 0.8；triplet margin=0.5；正样本距离阈值 9 米，负样本排除阈值 12 米。</w:t>
            </w:r>
          </w:p>
        </w:tc>
      </w:tr>
      <w:tr>
        <w:trPr>
          <w:cantSplit/>
        </w:trPr>
        <w:tc>
          <w:tcPr>
            <w:tcW w:type="dxa" w:w="2794"/>
          </w:tcPr>
          <w:p>
            <w:pPr>
              <w:keepNext w:val="0"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初始化与训练顺序</w:t>
            </w:r>
          </w:p>
        </w:tc>
        <w:tc>
          <w:tcPr>
            <w:tcW w:type="dxa" w:w="7184"/>
          </w:tcPr>
          <w:p>
            <w:pPr>
              <w:keepNext w:val="0"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单模态骨干使用 ImageNet ResNet18 初始化；完成两路单模态训练后，加载其第 2 轮权重，再进行跨模态训练，并冻结雷达分支参数。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95"/>
        <w:gridCol w:w="1896"/>
        <w:gridCol w:w="1896"/>
        <w:gridCol w:w="1896"/>
        <w:gridCol w:w="1996"/>
      </w:tblGrid>
      <w:tr>
        <w:trPr>
          <w:cantSplit/>
          <w:tblHeader/>
        </w:trPr>
        <w:tc>
          <w:tcPr>
            <w:tcW w:type="dxa" w:w="2295"/>
            <w:shd w:fill="EAF0F5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/>
                <w:i w:val="0"/>
                <w:sz w:val="18"/>
              </w:rPr>
              <w:t>训练阶段</w:t>
            </w:r>
          </w:p>
        </w:tc>
        <w:tc>
          <w:tcPr>
            <w:tcW w:type="dxa" w:w="1896"/>
            <w:shd w:fill="EAF0F5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/>
                <w:i w:val="0"/>
                <w:sz w:val="18"/>
              </w:rPr>
              <w:t>参数量</w:t>
            </w:r>
          </w:p>
        </w:tc>
        <w:tc>
          <w:tcPr>
            <w:tcW w:type="dxa" w:w="1896"/>
            <w:shd w:fill="EAF0F5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/>
                <w:i w:val="0"/>
                <w:sz w:val="18"/>
              </w:rPr>
              <w:t>第 1 轮 loss</w:t>
            </w:r>
          </w:p>
        </w:tc>
        <w:tc>
          <w:tcPr>
            <w:tcW w:type="dxa" w:w="1896"/>
            <w:shd w:fill="EAF0F5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/>
                <w:i w:val="0"/>
                <w:sz w:val="18"/>
              </w:rPr>
              <w:t>第 2 轮 loss</w:t>
            </w:r>
          </w:p>
        </w:tc>
        <w:tc>
          <w:tcPr>
            <w:tcW w:type="dxa" w:w="1996"/>
            <w:shd w:fill="EAF0F5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/>
                <w:i w:val="0"/>
                <w:sz w:val="18"/>
              </w:rPr>
              <w:t>运行结果</w:t>
            </w:r>
          </w:p>
        </w:tc>
      </w:tr>
      <w:tr>
        <w:trPr>
          <w:cantSplit/>
        </w:trPr>
        <w:tc>
          <w:tcPr>
            <w:tcW w:type="dxa" w:w="2295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LiDAR 单模态</w:t>
            </w:r>
          </w:p>
        </w:tc>
        <w:tc>
          <w:tcPr>
            <w:tcW w:type="dxa" w:w="1896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2,272,546</w:t>
            </w:r>
          </w:p>
        </w:tc>
        <w:tc>
          <w:tcPr>
            <w:tcW w:type="dxa" w:w="1896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0.14391835</w:t>
            </w:r>
          </w:p>
        </w:tc>
        <w:tc>
          <w:tcPr>
            <w:tcW w:type="dxa" w:w="1896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0.05139263</w:t>
            </w:r>
          </w:p>
        </w:tc>
        <w:tc>
          <w:tcPr>
            <w:tcW w:type="dxa" w:w="1996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完成 2 轮，保存权重。</w:t>
            </w:r>
          </w:p>
        </w:tc>
      </w:tr>
      <w:tr>
        <w:trPr>
          <w:cantSplit/>
        </w:trPr>
        <w:tc>
          <w:tcPr>
            <w:tcW w:type="dxa" w:w="2295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雷达单模态</w:t>
            </w:r>
          </w:p>
        </w:tc>
        <w:tc>
          <w:tcPr>
            <w:tcW w:type="dxa" w:w="1896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2,272,546</w:t>
            </w:r>
          </w:p>
        </w:tc>
        <w:tc>
          <w:tcPr>
            <w:tcW w:type="dxa" w:w="1896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0.15860988</w:t>
            </w:r>
          </w:p>
        </w:tc>
        <w:tc>
          <w:tcPr>
            <w:tcW w:type="dxa" w:w="1896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0.05707145</w:t>
            </w:r>
          </w:p>
        </w:tc>
        <w:tc>
          <w:tcPr>
            <w:tcW w:type="dxa" w:w="1996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完成 2 轮，保存权重。</w:t>
            </w:r>
          </w:p>
        </w:tc>
      </w:tr>
      <w:tr>
        <w:trPr>
          <w:cantSplit/>
        </w:trPr>
        <w:tc>
          <w:tcPr>
            <w:tcW w:type="dxa" w:w="2295"/>
          </w:tcPr>
          <w:p>
            <w:pPr>
              <w:keepNext w:val="0"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跨模态对齐</w:t>
            </w:r>
          </w:p>
        </w:tc>
        <w:tc>
          <w:tcPr>
            <w:tcW w:type="dxa" w:w="1896"/>
          </w:tcPr>
          <w:p>
            <w:pPr>
              <w:keepNext w:val="0"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4,545,092</w:t>
            </w:r>
          </w:p>
        </w:tc>
        <w:tc>
          <w:tcPr>
            <w:tcW w:type="dxa" w:w="1896"/>
          </w:tcPr>
          <w:p>
            <w:pPr>
              <w:keepNext w:val="0"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0.62873495</w:t>
            </w:r>
          </w:p>
        </w:tc>
        <w:tc>
          <w:tcPr>
            <w:tcW w:type="dxa" w:w="1896"/>
          </w:tcPr>
          <w:p>
            <w:pPr>
              <w:keepNext w:val="0"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0.34575570</w:t>
            </w:r>
          </w:p>
        </w:tc>
        <w:tc>
          <w:tcPr>
            <w:tcW w:type="dxa" w:w="1996"/>
          </w:tcPr>
          <w:p>
            <w:pPr>
              <w:keepNext w:val="0"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完成 2 轮，保存权重。</w:t>
            </w:r>
          </w:p>
        </w:tc>
      </w:tr>
    </w:tbl>
    <w:p>
      <w:pPr>
        <w:spacing w:after="0"/>
      </w:pPr>
    </w:p>
    <w:p>
      <w:r>
        <w:rPr>
          <w:rFonts w:ascii="Liberation Sans" w:hAnsi="Liberation Sans" w:eastAsia="Noto Sans CJK SC"/>
          <w:b w:val="0"/>
          <w:i w:val="0"/>
          <w:sz w:val="21"/>
        </w:rPr>
        <w:t>本次运行中没有出现 loss=NaN、显存不足或训练中断。三个阶段 loss 均下降，表明数据加载、前向、损失计算、反向更新和权重衔接可以正常执行；短轮次 loss 下降尚不足以证明充分收敛。单模态每轮的训练迭代约 15 秒，跨模态约 20 秒，另有 BEV 生成与难负样本缓存时间。</w:t>
      </w:r>
    </w:p>
    <w:p>
      <w:r>
        <w:rPr>
          <w:rFonts w:ascii="Liberation Sans" w:hAnsi="Liberation Sans" w:eastAsia="Noto Sans CJK SC"/>
          <w:b w:val="0"/>
          <w:i w:val="0"/>
          <w:sz w:val="21"/>
        </w:rPr>
        <w:t xml:space="preserve">权重分别保存于 </w:t>
      </w:r>
      <w:r>
        <w:rPr>
          <w:rFonts w:ascii="DejaVu Sans Mono" w:hAnsi="DejaVu Sans Mono" w:eastAsia="Noto Sans CJK SC"/>
          <w:b w:val="0"/>
          <w:i w:val="0"/>
          <w:sz w:val="17"/>
        </w:rPr>
        <w:t>RLPR/runs/sejong_short_train</w:t>
      </w:r>
      <w:r>
        <w:rPr>
          <w:rFonts w:ascii="Liberation Sans" w:hAnsi="Liberation Sans" w:eastAsia="Noto Sans CJK SC"/>
          <w:b w:val="0"/>
          <w:i w:val="0"/>
          <w:sz w:val="21"/>
        </w:rPr>
        <w:t xml:space="preserve"> 下的 </w:t>
      </w:r>
      <w:r>
        <w:rPr>
          <w:rFonts w:ascii="DejaVu Sans Mono" w:hAnsi="DejaVu Sans Mono" w:eastAsia="Noto Sans CJK SC"/>
          <w:b w:val="0"/>
          <w:i w:val="0"/>
          <w:sz w:val="17"/>
        </w:rPr>
        <w:t>l_mulran/weights</w:t>
      </w:r>
      <w:r>
        <w:rPr>
          <w:rFonts w:ascii="Liberation Sans" w:hAnsi="Liberation Sans" w:eastAsia="Noto Sans CJK SC"/>
          <w:b w:val="0"/>
          <w:i w:val="0"/>
          <w:sz w:val="21"/>
        </w:rPr>
        <w:t>、</w:t>
      </w:r>
      <w:r>
        <w:rPr>
          <w:rFonts w:ascii="DejaVu Sans Mono" w:hAnsi="DejaVu Sans Mono" w:eastAsia="Noto Sans CJK SC"/>
          <w:b w:val="0"/>
          <w:i w:val="0"/>
          <w:sz w:val="17"/>
        </w:rPr>
        <w:t>r_mulran/weights</w:t>
      </w:r>
      <w:r>
        <w:rPr>
          <w:rFonts w:ascii="Liberation Sans" w:hAnsi="Liberation Sans" w:eastAsia="Noto Sans CJK SC"/>
          <w:b w:val="0"/>
          <w:i w:val="0"/>
          <w:sz w:val="21"/>
        </w:rPr>
        <w:t xml:space="preserve"> 和 </w:t>
      </w:r>
      <w:r>
        <w:rPr>
          <w:rFonts w:ascii="DejaVu Sans Mono" w:hAnsi="DejaVu Sans Mono" w:eastAsia="Noto Sans CJK SC"/>
          <w:b w:val="0"/>
          <w:i w:val="0"/>
          <w:sz w:val="17"/>
        </w:rPr>
        <w:t>r2l_mulran/weights</w:t>
      </w:r>
      <w:r>
        <w:rPr>
          <w:rFonts w:ascii="Liberation Sans" w:hAnsi="Liberation Sans" w:eastAsia="Noto Sans CJK SC"/>
          <w:b w:val="0"/>
          <w:i w:val="0"/>
          <w:sz w:val="21"/>
        </w:rPr>
        <w:t xml:space="preserve">，每个目录均保存第 1、2 轮模型。最终跨模态权重为 </w:t>
      </w:r>
      <w:r>
        <w:rPr>
          <w:rFonts w:ascii="DejaVu Sans Mono" w:hAnsi="DejaVu Sans Mono" w:eastAsia="Noto Sans CJK SC"/>
          <w:b w:val="0"/>
          <w:i w:val="0"/>
          <w:sz w:val="17"/>
        </w:rPr>
        <w:t>r2l_mulran/weights/2.pth.tar</w:t>
      </w:r>
      <w:r>
        <w:rPr>
          <w:rFonts w:ascii="Liberation Sans" w:hAnsi="Liberation Sans" w:eastAsia="Noto Sans CJK SC"/>
          <w:b w:val="0"/>
          <w:i w:val="0"/>
          <w:sz w:val="21"/>
        </w:rPr>
        <w:t>。</w:t>
      </w:r>
    </w:p>
    <w:p>
      <w:pPr>
        <w:pStyle w:val="Heading1"/>
        <w:pageBreakBefore/>
      </w:pPr>
      <w:r>
        <w:t>六、预训练权重与自训练权重评估结果</w:t>
      </w:r>
    </w:p>
    <w:p>
      <w:r>
        <w:rPr>
          <w:rFonts w:ascii="Liberation Sans" w:hAnsi="Liberation Sans" w:eastAsia="Noto Sans CJK SC"/>
          <w:b w:val="0"/>
          <w:i w:val="0"/>
          <w:sz w:val="21"/>
        </w:rPr>
        <w:t xml:space="preserve">两次评估均调用原入口 </w:t>
      </w:r>
      <w:r>
        <w:rPr>
          <w:rFonts w:ascii="DejaVu Sans Mono" w:hAnsi="DejaVu Sans Mono" w:eastAsia="Noto Sans CJK SC"/>
          <w:b w:val="0"/>
          <w:i w:val="0"/>
          <w:sz w:val="17"/>
        </w:rPr>
        <w:t>python test_cross_modal.py --dataset mulran</w:t>
      </w:r>
      <w:r>
        <w:rPr>
          <w:rFonts w:ascii="Liberation Sans" w:hAnsi="Liberation Sans" w:eastAsia="Noto Sans CJK SC"/>
          <w:b w:val="0"/>
          <w:i w:val="0"/>
          <w:sz w:val="21"/>
        </w:rPr>
        <w:t xml:space="preserve">，使用相同的 Sejong 测试划分：1,505 个 LiDAR 数据库样本、1,380 个雷达查询，检索成功的位置阈值为 9 米。通过 </w:t>
      </w:r>
      <w:r>
        <w:rPr>
          <w:rFonts w:ascii="DejaVu Sans Mono" w:hAnsi="DejaVu Sans Mono" w:eastAsia="Noto Sans CJK SC"/>
          <w:b w:val="0"/>
          <w:i w:val="0"/>
          <w:sz w:val="17"/>
        </w:rPr>
        <w:t>RLPR_CHECKPOINT_PATH</w:t>
      </w:r>
      <w:r>
        <w:rPr>
          <w:rFonts w:ascii="Liberation Sans" w:hAnsi="Liberation Sans" w:eastAsia="Noto Sans CJK SC"/>
          <w:b w:val="0"/>
          <w:i w:val="0"/>
          <w:sz w:val="21"/>
        </w:rPr>
        <w:t xml:space="preserve"> 分别指定官方 MulRan 权重和本次短训权重。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92"/>
        <w:gridCol w:w="3243"/>
        <w:gridCol w:w="3243"/>
      </w:tblGrid>
      <w:tr>
        <w:trPr>
          <w:cantSplit/>
          <w:tblHeader/>
        </w:trPr>
        <w:tc>
          <w:tcPr>
            <w:tcW w:type="dxa" w:w="3492"/>
            <w:shd w:fill="EAF0F5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/>
                <w:i w:val="0"/>
                <w:sz w:val="18"/>
              </w:rPr>
              <w:t>指标</w:t>
            </w:r>
          </w:p>
        </w:tc>
        <w:tc>
          <w:tcPr>
            <w:tcW w:type="dxa" w:w="3243"/>
            <w:shd w:fill="EAF0F5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/>
                <w:i w:val="0"/>
                <w:sz w:val="18"/>
              </w:rPr>
              <w:t>官方 MulRan 预训练权重</w:t>
            </w:r>
          </w:p>
        </w:tc>
        <w:tc>
          <w:tcPr>
            <w:tcW w:type="dxa" w:w="3243"/>
            <w:shd w:fill="EAF0F5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/>
                <w:i w:val="0"/>
                <w:sz w:val="18"/>
              </w:rPr>
              <w:t>Sejong 小样本短训权重</w:t>
            </w:r>
          </w:p>
        </w:tc>
      </w:tr>
      <w:tr>
        <w:trPr>
          <w:cantSplit/>
        </w:trPr>
        <w:tc>
          <w:tcPr>
            <w:tcW w:type="dxa" w:w="3492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Recall@1</w:t>
            </w:r>
          </w:p>
        </w:tc>
        <w:tc>
          <w:tcPr>
            <w:tcW w:type="dxa" w:w="3243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77.32%</w:t>
            </w:r>
          </w:p>
        </w:tc>
        <w:tc>
          <w:tcPr>
            <w:tcW w:type="dxa" w:w="3243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46.52%</w:t>
            </w:r>
          </w:p>
        </w:tc>
      </w:tr>
      <w:tr>
        <w:trPr>
          <w:cantSplit/>
        </w:trPr>
        <w:tc>
          <w:tcPr>
            <w:tcW w:type="dxa" w:w="3492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Recall@5</w:t>
            </w:r>
          </w:p>
        </w:tc>
        <w:tc>
          <w:tcPr>
            <w:tcW w:type="dxa" w:w="3243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88.77%</w:t>
            </w:r>
          </w:p>
        </w:tc>
        <w:tc>
          <w:tcPr>
            <w:tcW w:type="dxa" w:w="3243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64.13%</w:t>
            </w:r>
          </w:p>
        </w:tc>
      </w:tr>
      <w:tr>
        <w:trPr>
          <w:cantSplit/>
        </w:trPr>
        <w:tc>
          <w:tcPr>
            <w:tcW w:type="dxa" w:w="3492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Recall@10</w:t>
            </w:r>
          </w:p>
        </w:tc>
        <w:tc>
          <w:tcPr>
            <w:tcW w:type="dxa" w:w="3243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92.54%</w:t>
            </w:r>
          </w:p>
        </w:tc>
        <w:tc>
          <w:tcPr>
            <w:tcW w:type="dxa" w:w="3243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70.58%</w:t>
            </w:r>
          </w:p>
        </w:tc>
      </w:tr>
      <w:tr>
        <w:trPr>
          <w:cantSplit/>
        </w:trPr>
        <w:tc>
          <w:tcPr>
            <w:tcW w:type="dxa" w:w="3492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Recall@20</w:t>
            </w:r>
          </w:p>
        </w:tc>
        <w:tc>
          <w:tcPr>
            <w:tcW w:type="dxa" w:w="3243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95.94%</w:t>
            </w:r>
          </w:p>
        </w:tc>
        <w:tc>
          <w:tcPr>
            <w:tcW w:type="dxa" w:w="3243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77.39%</w:t>
            </w:r>
          </w:p>
        </w:tc>
      </w:tr>
      <w:tr>
        <w:trPr>
          <w:cantSplit/>
        </w:trPr>
        <w:tc>
          <w:tcPr>
            <w:tcW w:type="dxa" w:w="3492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Recall@1%（原脚本输出，待核对）</w:t>
            </w:r>
          </w:p>
        </w:tc>
        <w:tc>
          <w:tcPr>
            <w:tcW w:type="dxa" w:w="3243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95.94%</w:t>
            </w:r>
          </w:p>
        </w:tc>
        <w:tc>
          <w:tcPr>
            <w:tcW w:type="dxa" w:w="3243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77.39%</w:t>
            </w:r>
          </w:p>
        </w:tc>
      </w:tr>
      <w:tr>
        <w:trPr>
          <w:cantSplit/>
        </w:trPr>
        <w:tc>
          <w:tcPr>
            <w:tcW w:type="dxa" w:w="3492"/>
          </w:tcPr>
          <w:p>
            <w:pPr>
              <w:keepNext w:val="0"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原脚本 max F1 输出</w:t>
            </w:r>
          </w:p>
        </w:tc>
        <w:tc>
          <w:tcPr>
            <w:tcW w:type="dxa" w:w="3243"/>
          </w:tcPr>
          <w:p>
            <w:pPr>
              <w:keepNext w:val="0"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0.8831734961</w:t>
            </w:r>
          </w:p>
        </w:tc>
        <w:tc>
          <w:tcPr>
            <w:tcW w:type="dxa" w:w="3243"/>
          </w:tcPr>
          <w:p>
            <w:pPr>
              <w:keepNext w:val="0"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NaN，当前无有效数值</w:t>
            </w:r>
          </w:p>
        </w:tc>
      </w:tr>
    </w:tbl>
    <w:p>
      <w:pPr>
        <w:spacing w:after="0"/>
      </w:pPr>
    </w:p>
    <w:p>
      <w:r>
        <w:rPr>
          <w:rFonts w:ascii="Liberation Sans" w:hAnsi="Liberation Sans" w:eastAsia="Noto Sans CJK SC"/>
          <w:b w:val="0"/>
          <w:i w:val="0"/>
          <w:sz w:val="21"/>
        </w:rPr>
        <w:t>官方权重两路特征提取约 12 秒，本次短训权重约 11 秒；后续 PR 阈值扫描分别约 22 秒和 21 秒。这些时间来自终端日志，包含整个测试循环，不能直接等同于论文的单帧纯模型推理耗时。</w:t>
      </w:r>
    </w:p>
    <w:p>
      <w:r>
        <w:rPr>
          <w:rFonts w:ascii="Liberation Sans" w:hAnsi="Liberation Sans" w:eastAsia="Noto Sans CJK SC"/>
          <w:b w:val="0"/>
          <w:i w:val="0"/>
          <w:sz w:val="21"/>
        </w:rPr>
        <w:t>短训权重的 Recall@1 比官方权重低 30.80 个百分点。当前仅用 Sejong 小样本、每阶段 2 轮及 batch size=1，且未包含原配置中的 KAIST 数据，因此该结果只用于训练与权重评估流程验证，不能据此判断论文完整训练方案的性能。模型精度是否可以恢复，需要在完整训练协议下进一步验证。</w:t>
      </w:r>
    </w:p>
    <w:p>
      <w:r>
        <w:rPr>
          <w:rFonts w:ascii="Liberation Sans" w:hAnsi="Liberation Sans" w:eastAsia="Noto Sans CJK SC"/>
          <w:b/>
          <w:i w:val="0"/>
          <w:sz w:val="21"/>
        </w:rPr>
        <w:t>与论文结果对照的范围：</w:t>
      </w:r>
      <w:r>
        <w:rPr>
          <w:rFonts w:ascii="Liberation Sans" w:hAnsi="Liberation Sans" w:eastAsia="Noto Sans CJK SC"/>
          <w:b w:val="0"/>
          <w:i w:val="0"/>
          <w:sz w:val="21"/>
        </w:rPr>
        <w:t>所提供 PDF 的主结果表 Table I 列出的是 MulRan-Riverside、MulRan-DCC、Bor-Clear，未给出本次 Sejong 划分的直接对照值。因此 77.32% 是本地 Sejong 实测结果，不能写成“已复现论文主表性能”。后续对照目标包括：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1197"/>
        <w:gridCol w:w="1197"/>
        <w:gridCol w:w="1197"/>
        <w:gridCol w:w="1297"/>
        <w:gridCol w:w="2594"/>
      </w:tblGrid>
      <w:tr>
        <w:trPr>
          <w:cantSplit/>
          <w:tblHeader/>
        </w:trPr>
        <w:tc>
          <w:tcPr>
            <w:tcW w:type="dxa" w:w="2494"/>
            <w:shd w:fill="EAF0F5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/>
                <w:i w:val="0"/>
                <w:sz w:val="18"/>
              </w:rPr>
              <w:t>论文 Table I 划分</w:t>
            </w:r>
          </w:p>
        </w:tc>
        <w:tc>
          <w:tcPr>
            <w:tcW w:type="dxa" w:w="1197"/>
            <w:shd w:fill="EAF0F5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/>
                <w:i w:val="0"/>
                <w:sz w:val="18"/>
              </w:rPr>
              <w:t>AR@1</w:t>
            </w:r>
          </w:p>
        </w:tc>
        <w:tc>
          <w:tcPr>
            <w:tcW w:type="dxa" w:w="1197"/>
            <w:shd w:fill="EAF0F5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/>
                <w:i w:val="0"/>
                <w:sz w:val="18"/>
              </w:rPr>
              <w:t>AR@5</w:t>
            </w:r>
          </w:p>
        </w:tc>
        <w:tc>
          <w:tcPr>
            <w:tcW w:type="dxa" w:w="1197"/>
            <w:shd w:fill="EAF0F5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/>
                <w:i w:val="0"/>
                <w:sz w:val="18"/>
              </w:rPr>
              <w:t>AR@10</w:t>
            </w:r>
          </w:p>
        </w:tc>
        <w:tc>
          <w:tcPr>
            <w:tcW w:type="dxa" w:w="1297"/>
            <w:shd w:fill="EAF0F5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/>
                <w:i w:val="0"/>
                <w:sz w:val="18"/>
              </w:rPr>
              <w:t>max F1</w:t>
            </w:r>
          </w:p>
        </w:tc>
        <w:tc>
          <w:tcPr>
            <w:tcW w:type="dxa" w:w="2594"/>
            <w:shd w:fill="EAF0F5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/>
                <w:i w:val="0"/>
                <w:sz w:val="18"/>
              </w:rPr>
              <w:t>本地状态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MulRan-Riverside</w:t>
            </w:r>
          </w:p>
        </w:tc>
        <w:tc>
          <w:tcPr>
            <w:tcW w:type="dxa" w:w="1197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64.85%</w:t>
            </w:r>
          </w:p>
        </w:tc>
        <w:tc>
          <w:tcPr>
            <w:tcW w:type="dxa" w:w="1197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78.77%</w:t>
            </w:r>
          </w:p>
        </w:tc>
        <w:tc>
          <w:tcPr>
            <w:tcW w:type="dxa" w:w="1197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84.22%</w:t>
            </w:r>
          </w:p>
        </w:tc>
        <w:tc>
          <w:tcPr>
            <w:tcW w:type="dxa" w:w="1297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0.8057</w:t>
            </w:r>
          </w:p>
        </w:tc>
        <w:tc>
          <w:tcPr>
            <w:tcW w:type="dxa" w:w="2594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数据与评估待补齐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MulRan-DCC</w:t>
            </w:r>
          </w:p>
        </w:tc>
        <w:tc>
          <w:tcPr>
            <w:tcW w:type="dxa" w:w="1197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55.32%</w:t>
            </w:r>
          </w:p>
        </w:tc>
        <w:tc>
          <w:tcPr>
            <w:tcW w:type="dxa" w:w="1197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73.94%</w:t>
            </w:r>
          </w:p>
        </w:tc>
        <w:tc>
          <w:tcPr>
            <w:tcW w:type="dxa" w:w="1197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82.98%</w:t>
            </w:r>
          </w:p>
        </w:tc>
        <w:tc>
          <w:tcPr>
            <w:tcW w:type="dxa" w:w="1297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0.7419</w:t>
            </w:r>
          </w:p>
        </w:tc>
        <w:tc>
          <w:tcPr>
            <w:tcW w:type="dxa" w:w="2594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数据与评估待补齐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keepNext w:val="0"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Bor-Clear</w:t>
            </w:r>
          </w:p>
        </w:tc>
        <w:tc>
          <w:tcPr>
            <w:tcW w:type="dxa" w:w="1197"/>
          </w:tcPr>
          <w:p>
            <w:pPr>
              <w:keepNext w:val="0"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87.60%</w:t>
            </w:r>
          </w:p>
        </w:tc>
        <w:tc>
          <w:tcPr>
            <w:tcW w:type="dxa" w:w="1197"/>
          </w:tcPr>
          <w:p>
            <w:pPr>
              <w:keepNext w:val="0"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94.26%</w:t>
            </w:r>
          </w:p>
        </w:tc>
        <w:tc>
          <w:tcPr>
            <w:tcW w:type="dxa" w:w="1197"/>
          </w:tcPr>
          <w:p>
            <w:pPr>
              <w:keepNext w:val="0"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95.31%</w:t>
            </w:r>
          </w:p>
        </w:tc>
        <w:tc>
          <w:tcPr>
            <w:tcW w:type="dxa" w:w="1297"/>
          </w:tcPr>
          <w:p>
            <w:pPr>
              <w:keepNext w:val="0"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0.9469</w:t>
            </w:r>
          </w:p>
        </w:tc>
        <w:tc>
          <w:tcPr>
            <w:tcW w:type="dxa" w:w="2594"/>
          </w:tcPr>
          <w:p>
            <w:pPr>
              <w:keepNext w:val="0"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数据与评估待补齐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七、发现的问题与处理状态</w:t>
      </w:r>
    </w:p>
    <w:p>
      <w:pPr>
        <w:ind w:left="283" w:hanging="283"/>
      </w:pPr>
      <w:r>
        <w:t xml:space="preserve">1. </w:t>
      </w:r>
      <w:r>
        <w:rPr>
          <w:rFonts w:ascii="Liberation Sans" w:hAnsi="Liberation Sans" w:eastAsia="Noto Sans CJK SC"/>
          <w:b/>
          <w:i w:val="0"/>
          <w:sz w:val="21"/>
        </w:rPr>
        <w:t>F1 输出 NaN：</w:t>
      </w:r>
      <w:r>
        <w:rPr>
          <w:rFonts w:ascii="Liberation Sans" w:hAnsi="Liberation Sans" w:eastAsia="Noto Sans CJK SC"/>
          <w:b w:val="0"/>
          <w:i w:val="0"/>
          <w:sz w:val="21"/>
        </w:rPr>
        <w:t xml:space="preserve">短训权重评估在 </w:t>
      </w:r>
      <w:r>
        <w:rPr>
          <w:rFonts w:ascii="DejaVu Sans Mono" w:hAnsi="DejaVu Sans Mono" w:eastAsia="Noto Sans CJK SC"/>
          <w:b w:val="0"/>
          <w:i w:val="0"/>
          <w:sz w:val="17"/>
        </w:rPr>
        <w:t>trainer/eval.py</w:t>
      </w:r>
      <w:r>
        <w:rPr>
          <w:rFonts w:ascii="Liberation Sans" w:hAnsi="Liberation Sans" w:eastAsia="Noto Sans CJK SC"/>
          <w:b w:val="0"/>
          <w:i w:val="0"/>
          <w:sz w:val="21"/>
        </w:rPr>
        <w:t xml:space="preserve"> 的 F1 计算处出现除法警告。代码对每个阈值计算 </w:t>
      </w:r>
      <w:r>
        <w:rPr>
          <w:rFonts w:ascii="DejaVu Sans Mono" w:hAnsi="DejaVu Sans Mono" w:eastAsia="Noto Sans CJK SC"/>
          <w:b w:val="0"/>
          <w:i w:val="0"/>
          <w:sz w:val="17"/>
        </w:rPr>
        <w:t>2PR/(P+R)</w:t>
      </w:r>
      <w:r>
        <w:rPr>
          <w:rFonts w:ascii="Liberation Sans" w:hAnsi="Liberation Sans" w:eastAsia="Noto Sans CJK SC"/>
          <w:b w:val="0"/>
          <w:i w:val="0"/>
          <w:sz w:val="21"/>
        </w:rPr>
        <w:t xml:space="preserve">；当 P、R 同为 0 时形成 0/0，随后 </w:t>
      </w:r>
      <w:r>
        <w:rPr>
          <w:rFonts w:ascii="DejaVu Sans Mono" w:hAnsi="DejaVu Sans Mono" w:eastAsia="Noto Sans CJK SC"/>
          <w:b w:val="0"/>
          <w:i w:val="0"/>
          <w:sz w:val="17"/>
        </w:rPr>
        <w:t>np.max</w:t>
      </w:r>
      <w:r>
        <w:rPr>
          <w:rFonts w:ascii="Liberation Sans" w:hAnsi="Liberation Sans" w:eastAsia="Noto Sans CJK SC"/>
          <w:b w:val="0"/>
          <w:i w:val="0"/>
          <w:sz w:val="21"/>
        </w:rPr>
        <w:t xml:space="preserve"> 将 NaN 传播到最终输出。这不代表训练 loss 出现 NaN，也不影响已完成的 Recall@1/5/10/20 检索统计。当前未修复、未重测，报告保留 NaN 作为无效指标；后续需保护零分母并重新评估。</w:t>
      </w:r>
    </w:p>
    <w:p>
      <w:pPr>
        <w:ind w:left="283" w:hanging="283"/>
      </w:pPr>
      <w:r>
        <w:t xml:space="preserve">2. </w:t>
      </w:r>
      <w:r>
        <w:rPr>
          <w:rFonts w:ascii="Liberation Sans" w:hAnsi="Liberation Sans" w:eastAsia="Noto Sans CJK SC"/>
          <w:b/>
          <w:i w:val="0"/>
          <w:sz w:val="21"/>
        </w:rPr>
        <w:t>Recall@1% 计算顺序：</w:t>
      </w:r>
      <w:r>
        <w:rPr>
          <w:rFonts w:ascii="Liberation Sans" w:hAnsi="Liberation Sans" w:eastAsia="Noto Sans CJK SC"/>
          <w:b w:val="0"/>
          <w:i w:val="0"/>
          <w:sz w:val="21"/>
        </w:rPr>
        <w:t>原代码按查询数量计算 1% 的 K，本次得到 13，并将阈值列为 [1, 5, 10, 20, 13]。但累加逻辑默认列表由小到大，命中 top-20 后会同步累加最后一项，因此当前 Recall@1% 数值被 top-20 的命中结果影响。需确认 1% 的协议定义并独立统计各 K，再报告严谨结果。</w:t>
      </w:r>
    </w:p>
    <w:p>
      <w:pPr>
        <w:ind w:left="283" w:hanging="283"/>
      </w:pPr>
      <w:r>
        <w:t xml:space="preserve">3. </w:t>
      </w:r>
      <w:r>
        <w:rPr>
          <w:rFonts w:ascii="Liberation Sans" w:hAnsi="Liberation Sans" w:eastAsia="Noto Sans CJK SC"/>
          <w:b/>
          <w:i w:val="0"/>
          <w:sz w:val="21"/>
        </w:rPr>
        <w:t>依赖与图片类型提示：</w:t>
      </w:r>
      <w:r>
        <w:rPr>
          <w:rFonts w:ascii="Liberation Sans" w:hAnsi="Liberation Sans" w:eastAsia="Noto Sans CJK SC"/>
          <w:b w:val="0"/>
          <w:i w:val="0"/>
          <w:sz w:val="21"/>
        </w:rPr>
        <w:t>torchvision 的 antialias、PyTorch 的 padding='same' 以及 OpenCV 图片深度转换提示均未中断本次运行。OpenCV 将 BEV 输出转换为 8 位图像；后续修改预处理时，应显式核对 dtype 和归一化范围。</w:t>
      </w:r>
    </w:p>
    <w:p>
      <w:pPr>
        <w:ind w:left="283" w:hanging="283"/>
      </w:pPr>
      <w:r>
        <w:t xml:space="preserve">4. </w:t>
      </w:r>
      <w:r>
        <w:rPr>
          <w:rFonts w:ascii="Liberation Sans" w:hAnsi="Liberation Sans" w:eastAsia="Noto Sans CJK SC"/>
          <w:b/>
          <w:i w:val="0"/>
          <w:sz w:val="21"/>
        </w:rPr>
        <w:t>当前运行范围与原完整配置不同：</w:t>
      </w:r>
      <w:r>
        <w:rPr>
          <w:rFonts w:ascii="Liberation Sans" w:hAnsi="Liberation Sans" w:eastAsia="Noto Sans CJK SC"/>
          <w:b w:val="0"/>
          <w:i w:val="0"/>
          <w:sz w:val="21"/>
        </w:rPr>
        <w:t>原 MulRan 默认包含 Sejong 和 KAIST 训练数据，统一预处理入口还读取 Riverside、DCC。当前按可用数据只调用 Sejong 的原函数，并用辅助脚本做小样本短训，需在后续全量实验中恢复完整数据范围和训练配置。</w:t>
      </w:r>
    </w:p>
    <w:p>
      <w:pPr>
        <w:pStyle w:val="Heading1"/>
      </w:pPr>
      <w:r>
        <w:t>八、后续工作安排</w:t>
      </w:r>
    </w:p>
    <w:p>
      <w:pPr>
        <w:ind w:left="283" w:hanging="283"/>
      </w:pPr>
      <w:r>
        <w:t xml:space="preserve">1. </w:t>
      </w:r>
      <w:r>
        <w:rPr>
          <w:rFonts w:ascii="Liberation Sans" w:hAnsi="Liberation Sans" w:eastAsia="Noto Sans CJK SC"/>
          <w:b w:val="0"/>
          <w:i w:val="0"/>
          <w:sz w:val="21"/>
        </w:rPr>
        <w:t>先修复并重测 F1、Recall@1% 的计算，保存完整日志及评估协议，确保指标可比较。</w:t>
      </w:r>
    </w:p>
    <w:p>
      <w:pPr>
        <w:ind w:left="283" w:hanging="283"/>
      </w:pPr>
      <w:r>
        <w:t xml:space="preserve">2. </w:t>
      </w:r>
      <w:r>
        <w:rPr>
          <w:rFonts w:ascii="Liberation Sans" w:hAnsi="Liberation Sans" w:eastAsia="Noto Sans CJK SC"/>
          <w:b w:val="0"/>
          <w:i w:val="0"/>
          <w:sz w:val="21"/>
        </w:rPr>
        <w:t>补齐 MulRan 的 KAIST01/02、Riverside01/02、DCC01/02，完成原训练数据范围的短训，以及 Riverside、DCC 官方权重评估与论文主表对照。</w:t>
      </w:r>
    </w:p>
    <w:p>
      <w:pPr>
        <w:ind w:left="283" w:hanging="283"/>
      </w:pPr>
      <w:r>
        <w:t xml:space="preserve">3. </w:t>
      </w:r>
      <w:r>
        <w:rPr>
          <w:rFonts w:ascii="Liberation Sans" w:hAnsi="Liberation Sans" w:eastAsia="Noto Sans CJK SC"/>
          <w:b w:val="0"/>
          <w:i w:val="0"/>
          <w:sz w:val="21"/>
        </w:rPr>
        <w:t>优先准备 Snail-Radar 的五条指定完整序列，完成 4D 雷达点云读取、位姿同步、BEV 生成、短训和官方权重测试，建立与后续研究方向直接相关的基线。</w:t>
      </w:r>
    </w:p>
    <w:p>
      <w:pPr>
        <w:ind w:left="283" w:hanging="283"/>
      </w:pPr>
      <w:r>
        <w:t xml:space="preserve">4. </w:t>
      </w:r>
      <w:r>
        <w:rPr>
          <w:rFonts w:ascii="Liberation Sans" w:hAnsi="Liberation Sans" w:eastAsia="Noto Sans CJK SC"/>
          <w:b w:val="0"/>
          <w:i w:val="0"/>
          <w:sz w:val="21"/>
        </w:rPr>
        <w:t>以 Snail-Radar 权重初始化 HeRCULES，按原流程验证微调与测试；另行完成 nuScenes 训练/评估和 Boreas 的零样本评估。Boreas 保持原论文“不参与训练”的设置。</w:t>
      </w:r>
    </w:p>
    <w:p>
      <w:pPr>
        <w:ind w:left="283" w:hanging="283"/>
      </w:pPr>
      <w:r>
        <w:t xml:space="preserve">5. </w:t>
      </w:r>
      <w:r>
        <w:rPr>
          <w:rFonts w:ascii="Liberation Sans" w:hAnsi="Liberation Sans" w:eastAsia="Noto Sans CJK SC"/>
          <w:b w:val="0"/>
          <w:i w:val="0"/>
          <w:sz w:val="21"/>
        </w:rPr>
        <w:t>整理各数据集的数据清单、固定版本、运行命令、权重路径和实测指标。基线稳定后，再根据老师确定的创新方案进行个人实验设计和代码修改。</w:t>
      </w:r>
    </w:p>
    <w:p>
      <w:r>
        <w:rPr>
          <w:rFonts w:ascii="Liberation Sans" w:hAnsi="Liberation Sans" w:eastAsia="Noto Sans CJK SC"/>
          <w:b/>
          <w:i w:val="0"/>
          <w:sz w:val="21"/>
        </w:rPr>
        <w:t>当前工程基础：</w:t>
      </w:r>
      <w:r>
        <w:rPr>
          <w:rFonts w:ascii="Liberation Sans" w:hAnsi="Liberation Sans" w:eastAsia="Noto Sans CJK SC"/>
          <w:b w:val="0"/>
          <w:i w:val="0"/>
          <w:sz w:val="21"/>
        </w:rPr>
        <w:t>已具备扫描雷达到 LiDAR 的可运行训练与评估链路，能够定位数据、网络、损失和检索相关模块；下一阶段重点是补齐五数据集复现要求，并建立真实 4D 雷达基线。</w:t>
      </w:r>
    </w:p>
    <w:p>
      <w:pPr>
        <w:pStyle w:val="Heading1"/>
      </w:pPr>
      <w:r>
        <w:t>附录：复现入口与证据</w:t>
      </w:r>
    </w:p>
    <w:p>
      <w:r>
        <w:rPr>
          <w:rFonts w:ascii="Liberation Sans" w:hAnsi="Liberation Sans" w:eastAsia="Noto Sans CJK SC"/>
          <w:b w:val="0"/>
          <w:i w:val="0"/>
          <w:sz w:val="21"/>
        </w:rPr>
        <w:t xml:space="preserve">以下相对路径以 </w:t>
      </w:r>
      <w:r>
        <w:rPr>
          <w:rFonts w:ascii="DejaVu Sans Mono" w:hAnsi="DejaVu Sans Mono" w:eastAsia="Noto Sans CJK SC"/>
          <w:b w:val="0"/>
          <w:i w:val="0"/>
          <w:sz w:val="17"/>
        </w:rPr>
        <w:t>/media/rwj/ZX1 2TB/RLPR</w:t>
      </w:r>
      <w:r>
        <w:rPr>
          <w:rFonts w:ascii="Liberation Sans" w:hAnsi="Liberation Sans" w:eastAsia="Noto Sans CJK SC"/>
          <w:b w:val="0"/>
          <w:i w:val="0"/>
          <w:sz w:val="21"/>
        </w:rPr>
        <w:t xml:space="preserve"> 为工程根目录：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94"/>
        <w:gridCol w:w="7184"/>
      </w:tblGrid>
      <w:tr>
        <w:trPr>
          <w:cantSplit/>
          <w:tblHeader/>
        </w:trPr>
        <w:tc>
          <w:tcPr>
            <w:tcW w:type="dxa" w:w="2794"/>
            <w:shd w:fill="EAF0F5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/>
                <w:i w:val="0"/>
                <w:sz w:val="18"/>
              </w:rPr>
              <w:t>内容</w:t>
            </w:r>
          </w:p>
        </w:tc>
        <w:tc>
          <w:tcPr>
            <w:tcW w:type="dxa" w:w="7184"/>
            <w:shd w:fill="EAF0F5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/>
                <w:i w:val="0"/>
                <w:sz w:val="18"/>
              </w:rPr>
              <w:t>位置或入口</w:t>
            </w:r>
          </w:p>
        </w:tc>
      </w:tr>
      <w:tr>
        <w:trPr>
          <w:cantSplit/>
        </w:trPr>
        <w:tc>
          <w:tcPr>
            <w:tcW w:type="dxa" w:w="2794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原始代码与环境清单</w:t>
            </w:r>
          </w:p>
        </w:tc>
        <w:tc>
          <w:tcPr>
            <w:tcW w:type="dxa" w:w="7184"/>
          </w:tcPr>
          <w:p>
            <w:pPr>
              <w:keepNext/>
              <w:spacing w:before="40" w:after="40" w:line="276" w:lineRule="auto"/>
            </w:pPr>
            <w:r>
              <w:rPr>
                <w:rFonts w:ascii="DejaVu Sans Mono" w:hAnsi="DejaVu Sans Mono" w:eastAsia="Noto Sans CJK SC"/>
                <w:b w:val="0"/>
                <w:i w:val="0"/>
                <w:sz w:val="17"/>
              </w:rPr>
              <w:t>src/</w:t>
            </w: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；</w:t>
            </w:r>
            <w:r>
              <w:rPr>
                <w:rFonts w:ascii="DejaVu Sans Mono" w:hAnsi="DejaVu Sans Mono" w:eastAsia="Noto Sans CJK SC"/>
                <w:b w:val="0"/>
                <w:i w:val="0"/>
                <w:sz w:val="17"/>
              </w:rPr>
              <w:t>environment.lock.txt</w:t>
            </w:r>
          </w:p>
        </w:tc>
      </w:tr>
      <w:tr>
        <w:trPr>
          <w:cantSplit/>
        </w:trPr>
        <w:tc>
          <w:tcPr>
            <w:tcW w:type="dxa" w:w="2794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预处理实现</w:t>
            </w:r>
          </w:p>
        </w:tc>
        <w:tc>
          <w:tcPr>
            <w:tcW w:type="dxa" w:w="7184"/>
          </w:tcPr>
          <w:p>
            <w:pPr>
              <w:keepNext/>
              <w:spacing w:before="40" w:after="40" w:line="276" w:lineRule="auto"/>
            </w:pPr>
            <w:r>
              <w:rPr>
                <w:rFonts w:ascii="DejaVu Sans Mono" w:hAnsi="DejaVu Sans Mono" w:eastAsia="Noto Sans CJK SC"/>
                <w:b w:val="0"/>
                <w:i w:val="0"/>
                <w:sz w:val="17"/>
              </w:rPr>
              <w:t>src/dataset/MulRan/gen_info.py</w:t>
            </w: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、</w:t>
            </w:r>
            <w:r>
              <w:rPr>
                <w:rFonts w:ascii="DejaVu Sans Mono" w:hAnsi="DejaVu Sans Mono" w:eastAsia="Noto Sans CJK SC"/>
                <w:b w:val="0"/>
                <w:i w:val="0"/>
                <w:sz w:val="17"/>
              </w:rPr>
              <w:t>gen_index.py</w:t>
            </w: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、</w:t>
            </w:r>
            <w:r>
              <w:rPr>
                <w:rFonts w:ascii="DejaVu Sans Mono" w:hAnsi="DejaVu Sans Mono" w:eastAsia="Noto Sans CJK SC"/>
                <w:b w:val="0"/>
                <w:i w:val="0"/>
                <w:sz w:val="17"/>
              </w:rPr>
              <w:t>gen_bev.py</w:t>
            </w:r>
          </w:p>
        </w:tc>
      </w:tr>
      <w:tr>
        <w:trPr>
          <w:cantSplit/>
        </w:trPr>
        <w:tc>
          <w:tcPr>
            <w:tcW w:type="dxa" w:w="2794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训练及评估实现</w:t>
            </w:r>
          </w:p>
        </w:tc>
        <w:tc>
          <w:tcPr>
            <w:tcW w:type="dxa" w:w="7184"/>
          </w:tcPr>
          <w:p>
            <w:pPr>
              <w:keepNext/>
              <w:spacing w:before="40" w:after="40" w:line="276" w:lineRule="auto"/>
            </w:pPr>
            <w:r>
              <w:rPr>
                <w:rFonts w:ascii="DejaVu Sans Mono" w:hAnsi="DejaVu Sans Mono" w:eastAsia="Noto Sans CJK SC"/>
                <w:b w:val="0"/>
                <w:i w:val="0"/>
                <w:sz w:val="17"/>
              </w:rPr>
              <w:t>src/trainer/unimodal.py</w:t>
            </w: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、</w:t>
            </w:r>
            <w:r>
              <w:rPr>
                <w:rFonts w:ascii="DejaVu Sans Mono" w:hAnsi="DejaVu Sans Mono" w:eastAsia="Noto Sans CJK SC"/>
                <w:b w:val="0"/>
                <w:i w:val="0"/>
                <w:sz w:val="17"/>
              </w:rPr>
              <w:t>cross_modal.py</w:t>
            </w: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、</w:t>
            </w:r>
            <w:r>
              <w:rPr>
                <w:rFonts w:ascii="DejaVu Sans Mono" w:hAnsi="DejaVu Sans Mono" w:eastAsia="Noto Sans CJK SC"/>
                <w:b w:val="0"/>
                <w:i w:val="0"/>
                <w:sz w:val="17"/>
              </w:rPr>
              <w:t>eval.py</w:t>
            </w: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；</w:t>
            </w:r>
            <w:r>
              <w:rPr>
                <w:rFonts w:ascii="DejaVu Sans Mono" w:hAnsi="DejaVu Sans Mono" w:eastAsia="Noto Sans CJK SC"/>
                <w:b w:val="0"/>
                <w:i w:val="0"/>
                <w:sz w:val="17"/>
              </w:rPr>
              <w:t>src/test_cross_modal.py</w:t>
            </w:r>
          </w:p>
        </w:tc>
      </w:tr>
      <w:tr>
        <w:trPr>
          <w:cantSplit/>
        </w:trPr>
        <w:tc>
          <w:tcPr>
            <w:tcW w:type="dxa" w:w="2794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小样本训练命令</w:t>
            </w:r>
          </w:p>
        </w:tc>
        <w:tc>
          <w:tcPr>
            <w:tcW w:type="dxa" w:w="7184"/>
          </w:tcPr>
          <w:p>
            <w:pPr>
              <w:keepNext/>
              <w:spacing w:before="40" w:after="40" w:line="276" w:lineRule="auto"/>
            </w:pPr>
            <w:r>
              <w:rPr>
                <w:rFonts w:ascii="DejaVu Sans Mono" w:hAnsi="DejaVu Sans Mono" w:eastAsia="Noto Sans CJK SC"/>
                <w:b w:val="0"/>
                <w:i w:val="0"/>
                <w:sz w:val="17"/>
              </w:rPr>
              <w:t>bash sejong_short_train.sh</w:t>
            </w:r>
          </w:p>
        </w:tc>
      </w:tr>
      <w:tr>
        <w:trPr>
          <w:cantSplit/>
        </w:trPr>
        <w:tc>
          <w:tcPr>
            <w:tcW w:type="dxa" w:w="2794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评估命令</w:t>
            </w:r>
          </w:p>
        </w:tc>
        <w:tc>
          <w:tcPr>
            <w:tcW w:type="dxa" w:w="7184"/>
          </w:tcPr>
          <w:p>
            <w:pPr>
              <w:keepNext/>
              <w:spacing w:before="40" w:after="40" w:line="276" w:lineRule="auto"/>
            </w:pPr>
            <w:r>
              <w:rPr>
                <w:rFonts w:ascii="DejaVu Sans Mono" w:hAnsi="DejaVu Sans Mono" w:eastAsia="Noto Sans CJK SC"/>
                <w:b w:val="0"/>
                <w:i w:val="0"/>
                <w:sz w:val="17"/>
              </w:rPr>
              <w:t>python test_cross_modal.py --dataset mulran</w:t>
            </w: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 xml:space="preserve">；设置 </w:t>
            </w:r>
            <w:r>
              <w:rPr>
                <w:rFonts w:ascii="DejaVu Sans Mono" w:hAnsi="DejaVu Sans Mono" w:eastAsia="Noto Sans CJK SC"/>
                <w:b w:val="0"/>
                <w:i w:val="0"/>
                <w:sz w:val="17"/>
              </w:rPr>
              <w:t>RLPR_MULRAN_TEST_SPLIT=sejong</w:t>
            </w: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 xml:space="preserve"> 和目标权重路径。</w:t>
            </w:r>
          </w:p>
        </w:tc>
      </w:tr>
      <w:tr>
        <w:trPr>
          <w:cantSplit/>
        </w:trPr>
        <w:tc>
          <w:tcPr>
            <w:tcW w:type="dxa" w:w="2794"/>
          </w:tcPr>
          <w:p>
            <w:pPr>
              <w:keepNext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官方权重</w:t>
            </w:r>
          </w:p>
        </w:tc>
        <w:tc>
          <w:tcPr>
            <w:tcW w:type="dxa" w:w="7184"/>
          </w:tcPr>
          <w:p>
            <w:pPr>
              <w:keepNext/>
              <w:spacing w:before="40" w:after="40" w:line="276" w:lineRule="auto"/>
            </w:pPr>
            <w:r>
              <w:rPr>
                <w:rFonts w:ascii="DejaVu Sans Mono" w:hAnsi="DejaVu Sans Mono" w:eastAsia="Noto Sans CJK SC"/>
                <w:b w:val="0"/>
                <w:i w:val="0"/>
                <w:sz w:val="17"/>
              </w:rPr>
              <w:t>pretrained/mulran.pth.tar</w:t>
            </w: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；</w:t>
            </w:r>
            <w:r>
              <w:rPr>
                <w:rFonts w:ascii="DejaVu Sans Mono" w:hAnsi="DejaVu Sans Mono" w:eastAsia="Noto Sans CJK SC"/>
                <w:b w:val="0"/>
                <w:i w:val="0"/>
                <w:sz w:val="17"/>
              </w:rPr>
              <w:t>pretrained/nusc.pth.tar</w:t>
            </w: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（nuScenes 尚未实测）</w:t>
            </w:r>
          </w:p>
        </w:tc>
      </w:tr>
      <w:tr>
        <w:trPr>
          <w:cantSplit/>
        </w:trPr>
        <w:tc>
          <w:tcPr>
            <w:tcW w:type="dxa" w:w="2794"/>
          </w:tcPr>
          <w:p>
            <w:pPr>
              <w:keepNext w:val="0"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本阶段运行证据</w:t>
            </w:r>
          </w:p>
        </w:tc>
        <w:tc>
          <w:tcPr>
            <w:tcW w:type="dxa" w:w="7184"/>
          </w:tcPr>
          <w:p>
            <w:pPr>
              <w:keepNext w:val="0"/>
              <w:spacing w:before="40" w:after="40" w:line="276" w:lineRule="auto"/>
            </w:pP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 xml:space="preserve">本报告目录下 </w:t>
            </w:r>
            <w:r>
              <w:rPr>
                <w:rFonts w:ascii="DejaVu Sans Mono" w:hAnsi="DejaVu Sans Mono" w:eastAsia="Noto Sans CJK SC"/>
                <w:b w:val="0"/>
                <w:i w:val="0"/>
                <w:sz w:val="17"/>
              </w:rPr>
              <w:t>运行日志.txt</w:t>
            </w:r>
            <w:r>
              <w:rPr>
                <w:rFonts w:ascii="Liberation Sans" w:hAnsi="Liberation Sans" w:eastAsia="Noto Sans CJK SC"/>
                <w:b w:val="0"/>
                <w:i w:val="0"/>
                <w:sz w:val="18"/>
              </w:rPr>
              <w:t>，保留用户提供的预处理、官方评估、短训、自训练评估完整输出。</w:t>
            </w:r>
          </w:p>
        </w:tc>
      </w:tr>
    </w:tbl>
    <w:p>
      <w:pPr>
        <w:spacing w:after="0"/>
      </w:pPr>
    </w:p>
    <w:p>
      <w:r>
        <w:rPr>
          <w:rFonts w:ascii="Liberation Sans" w:hAnsi="Liberation Sans" w:eastAsia="Noto Sans CJK SC"/>
          <w:b w:val="0"/>
          <w:i w:val="0"/>
          <w:sz w:val="18"/>
        </w:rPr>
        <w:t>参考依据：用户提供的 RLPR_2026.pdf，论文第 IV 节及 Table I–III；官方 GitHub 仓库及本地固定版本代码；本机生成的权重、元信息和用户提供的运行日志。论文 DOI：</w:t>
      </w:r>
      <w:hyperlink r:id="rId10">
        <w:r>
          <w:rPr>
            <w:color w:val="245783"/>
            <w:rFonts w:ascii="Liberation Sans" w:eastAsia="Noto Sans CJK SC"/>
            <w:sz w:val="18"/>
          </w:rPr>
          <w:t>10.1109/LRA.2026.3707282</w:t>
        </w:r>
      </w:hyperlink>
      <w:r>
        <w:rPr>
          <w:rFonts w:ascii="Liberation Sans" w:hAnsi="Liberation Sans" w:eastAsia="Noto Sans CJK SC"/>
          <w:b w:val="0"/>
          <w:i w:val="0"/>
          <w:sz w:val="18"/>
        </w:rPr>
        <w:t>。本报告不将未下载、未训练或未评估的项目计为完成。</w:t>
      </w:r>
    </w:p>
    <w:sectPr w:rsidR="00FC693F" w:rsidRPr="0006063C" w:rsidSect="00034616">
      <w:footerReference w:type="default" r:id="rId11"/>
      <w:pgSz w:w="11906" w:h="16838"/>
      <w:pgMar w:top="1020" w:right="964" w:bottom="1020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 w:eastAsia="Noto Sans CJK SC"/>
        <w:color w:val="657585"/>
        <w:sz w:val="16"/>
      </w:rPr>
      <w:t xml:space="preserve">RLPR 阶段汇报  ·  2026-10-13  |  第 </w:t>
    </w:r>
    <w:fldSimple w:instr="PAGE"/>
    <w:r>
      <w:rPr>
        <w:rFonts w:ascii="Liberation Sans" w:hAnsi="Liberation Sans" w:eastAsia="Noto Sans CJK SC"/>
        <w:color w:val="657585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Liberation Sans" w:hAnsi="Liberation Sans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76" w:lineRule="auto"/>
      <w:outlineLvl w:val="0"/>
    </w:pPr>
    <w:rPr>
      <w:rFonts w:asciiTheme="majorHAnsi" w:eastAsiaTheme="majorEastAsia" w:hAnsiTheme="majorHAnsi" w:cstheme="majorBidi" w:ascii="Liberation Sans" w:hAnsi="Liberation Sans" w:eastAsia="Noto Sans CJK SC"/>
      <w:b/>
      <w:bCs/>
      <w:color w:val="183C6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Liberation Sans" w:hAnsi="Liberation Sans" w:eastAsia="Noto Sans CJK SC"/>
      <w:b/>
      <w:bCs/>
      <w:color w:val="183C6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76" w:lineRule="auto" w:before="0"/>
      <w:contextualSpacing/>
    </w:pPr>
    <w:rPr>
      <w:rFonts w:asciiTheme="majorHAnsi" w:eastAsiaTheme="majorEastAsia" w:hAnsiTheme="majorHAnsi" w:cstheme="majorBidi" w:ascii="Liberation Sans" w:hAnsi="Liberation Sans" w:eastAsia="Noto Sans CJK SC"/>
      <w:color w:val="183C6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QiZS-BIT/RLPR" TargetMode="External"/><Relationship Id="rId10" Type="http://schemas.openxmlformats.org/officeDocument/2006/relationships/hyperlink" Target="https://doi.org/10.1109/LRA.2026.3707282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RLPR 工程复现阶段汇报</dc:title>
  <dc:subject>MulRan Sejong 数据准备、短训和评估进展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