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b/>
          <w:sz w:val="32"/>
        </w:rPr>
      </w:pPr>
      <w:r>
        <w:rPr>
          <w:rFonts w:hint="eastAsia" w:ascii="仿宋" w:hAnsi="仿宋" w:eastAsia="仿宋"/>
          <w:b/>
          <w:sz w:val="32"/>
        </w:rPr>
        <w:t>数据选取规则：</w:t>
      </w:r>
    </w:p>
    <w:p>
      <w:pPr>
        <w:rPr>
          <w:rFonts w:ascii="仿宋" w:hAnsi="仿宋" w:eastAsia="仿宋"/>
          <w:sz w:val="28"/>
        </w:rPr>
      </w:pPr>
      <w:r>
        <w:rPr>
          <w:rFonts w:hint="eastAsia" w:ascii="仿宋" w:hAnsi="仿宋" w:eastAsia="仿宋"/>
          <w:sz w:val="28"/>
        </w:rPr>
        <w:t>1、年报和最近一个报告期选取全部股票都披露的年报和最近一个报告期。例如：部分股票披露2</w:t>
      </w:r>
      <w:r>
        <w:rPr>
          <w:rFonts w:ascii="仿宋" w:hAnsi="仿宋" w:eastAsia="仿宋"/>
          <w:sz w:val="28"/>
        </w:rPr>
        <w:t>021</w:t>
      </w:r>
      <w:r>
        <w:rPr>
          <w:rFonts w:hint="eastAsia" w:ascii="仿宋" w:hAnsi="仿宋" w:eastAsia="仿宋"/>
          <w:sz w:val="28"/>
        </w:rPr>
        <w:t>年年报，则全部用2</w:t>
      </w:r>
      <w:r>
        <w:rPr>
          <w:rFonts w:ascii="仿宋" w:hAnsi="仿宋" w:eastAsia="仿宋"/>
          <w:sz w:val="28"/>
        </w:rPr>
        <w:t>020</w:t>
      </w:r>
      <w:r>
        <w:rPr>
          <w:rFonts w:hint="eastAsia" w:ascii="仿宋" w:hAnsi="仿宋" w:eastAsia="仿宋"/>
          <w:sz w:val="28"/>
        </w:rPr>
        <w:t>年年报数据计算；若部分股票披露三季报数据，则全部使用二季报数据计算。</w:t>
      </w:r>
      <w:r>
        <w:commentReference w:id="0"/>
      </w:r>
    </w:p>
    <w:p>
      <w:pPr>
        <w:rPr>
          <w:rFonts w:ascii="仿宋" w:hAnsi="仿宋" w:eastAsia="仿宋"/>
          <w:sz w:val="28"/>
        </w:rPr>
      </w:pPr>
      <w:r>
        <w:rPr>
          <w:rFonts w:hint="eastAsia" w:ascii="仿宋" w:hAnsi="仿宋" w:eastAsia="仿宋"/>
          <w:sz w:val="28"/>
        </w:rPr>
        <w:t>2、近两年年报和最近一个报告期的数值总和、最近三年数据都同样遵循上述原则。保证所有股票使用相同报告期数据。</w:t>
      </w:r>
    </w:p>
    <w:p>
      <w:pPr>
        <w:rPr>
          <w:rFonts w:hint="eastAsia" w:ascii="仿宋" w:hAnsi="仿宋" w:eastAsia="仿宋"/>
          <w:sz w:val="28"/>
        </w:rPr>
      </w:pPr>
      <w:r>
        <w:rPr>
          <w:rFonts w:hint="eastAsia" w:ascii="仿宋" w:hAnsi="仿宋" w:eastAsia="仿宋"/>
          <w:sz w:val="28"/>
        </w:rPr>
        <w:t>3、年报最晚披露日期4月3</w:t>
      </w:r>
      <w:r>
        <w:rPr>
          <w:rFonts w:ascii="仿宋" w:hAnsi="仿宋" w:eastAsia="仿宋"/>
          <w:sz w:val="28"/>
        </w:rPr>
        <w:t>0</w:t>
      </w:r>
      <w:r>
        <w:rPr>
          <w:rFonts w:hint="eastAsia" w:ascii="仿宋" w:hAnsi="仿宋" w:eastAsia="仿宋"/>
          <w:sz w:val="28"/>
        </w:rPr>
        <w:t>日；中报最晚披露日期</w:t>
      </w:r>
      <w:r>
        <w:rPr>
          <w:rFonts w:ascii="仿宋" w:hAnsi="仿宋" w:eastAsia="仿宋"/>
          <w:sz w:val="28"/>
        </w:rPr>
        <w:t>8</w:t>
      </w:r>
      <w:r>
        <w:rPr>
          <w:rFonts w:hint="eastAsia" w:ascii="仿宋" w:hAnsi="仿宋" w:eastAsia="仿宋"/>
          <w:sz w:val="28"/>
        </w:rPr>
        <w:t>月3</w:t>
      </w:r>
      <w:r>
        <w:rPr>
          <w:rFonts w:ascii="仿宋" w:hAnsi="仿宋" w:eastAsia="仿宋"/>
          <w:sz w:val="28"/>
        </w:rPr>
        <w:t>1</w:t>
      </w:r>
      <w:r>
        <w:rPr>
          <w:rFonts w:hint="eastAsia" w:ascii="仿宋" w:hAnsi="仿宋" w:eastAsia="仿宋"/>
          <w:sz w:val="28"/>
        </w:rPr>
        <w:t>日。</w:t>
      </w:r>
    </w:p>
    <w:p>
      <w:pPr>
        <w:rPr>
          <w:rFonts w:hint="eastAsia" w:ascii="仿宋" w:hAnsi="仿宋" w:eastAsia="仿宋"/>
          <w:sz w:val="28"/>
          <w:lang w:eastAsia="zh-CN"/>
        </w:rPr>
      </w:pPr>
      <w:r>
        <w:rPr>
          <w:rFonts w:hint="eastAsia" w:ascii="仿宋" w:hAnsi="仿宋" w:eastAsia="仿宋"/>
          <w:sz w:val="28"/>
          <w:lang w:eastAsia="zh-CN"/>
        </w:rPr>
        <w:drawing>
          <wp:inline distT="0" distB="0" distL="114300" distR="114300">
            <wp:extent cx="5266690" cy="1173480"/>
            <wp:effectExtent l="0" t="0" r="10160" b="7620"/>
            <wp:docPr id="1" name="图片 1" descr="数据选取日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选取日期"/>
                    <pic:cNvPicPr>
                      <a:picLocks noChangeAspect="1"/>
                    </pic:cNvPicPr>
                  </pic:nvPicPr>
                  <pic:blipFill>
                    <a:blip r:embed="rId6"/>
                    <a:stretch>
                      <a:fillRect/>
                    </a:stretch>
                  </pic:blipFill>
                  <pic:spPr>
                    <a:xfrm>
                      <a:off x="0" y="0"/>
                      <a:ext cx="5266690" cy="1173480"/>
                    </a:xfrm>
                    <a:prstGeom prst="rect">
                      <a:avLst/>
                    </a:prstGeom>
                  </pic:spPr>
                </pic:pic>
              </a:graphicData>
            </a:graphic>
          </wp:inline>
        </w:drawing>
      </w:r>
    </w:p>
    <w:p>
      <w:pPr>
        <w:rPr>
          <w:rFonts w:ascii="仿宋" w:hAnsi="仿宋" w:eastAsia="仿宋"/>
          <w:sz w:val="28"/>
          <w:highlight w:val="yellow"/>
        </w:rPr>
      </w:pPr>
      <w:r>
        <w:rPr>
          <w:rFonts w:hint="eastAsia" w:ascii="仿宋" w:hAnsi="仿宋" w:eastAsia="仿宋"/>
          <w:b/>
          <w:sz w:val="32"/>
        </w:rPr>
        <w:t>评价指标明细</w:t>
      </w:r>
    </w:p>
    <w:p>
      <w:pPr>
        <w:rPr>
          <w:rFonts w:ascii="仿宋" w:hAnsi="仿宋" w:eastAsia="仿宋"/>
          <w:sz w:val="28"/>
        </w:rPr>
      </w:pPr>
      <w:r>
        <w:rPr>
          <w:rFonts w:hint="eastAsia" w:ascii="仿宋" w:hAnsi="仿宋" w:eastAsia="仿宋"/>
          <w:sz w:val="28"/>
          <w:highlight w:val="yellow"/>
        </w:rPr>
        <w:t>核准制股票评分指标明细</w:t>
      </w:r>
      <w:r>
        <w:rPr>
          <w:rFonts w:hint="eastAsia" w:ascii="仿宋" w:hAnsi="仿宋" w:eastAsia="仿宋"/>
          <w:sz w:val="28"/>
        </w:rPr>
        <w:t>：</w:t>
      </w:r>
    </w:p>
    <w:tbl>
      <w:tblPr>
        <w:tblStyle w:val="6"/>
        <w:tblW w:w="9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3020"/>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9643" w:type="dxa"/>
            <w:gridSpan w:val="3"/>
            <w:shd w:val="clear" w:color="auto" w:fill="9CC2E5" w:themeFill="accent1" w:themeFillTint="99"/>
            <w:vAlign w:val="center"/>
          </w:tcPr>
          <w:p>
            <w:pPr>
              <w:spacing w:line="360" w:lineRule="auto"/>
              <w:jc w:val="center"/>
              <w:rPr>
                <w:rFonts w:ascii="仿宋" w:hAnsi="仿宋" w:eastAsia="仿宋"/>
                <w:b/>
                <w:sz w:val="32"/>
                <w:szCs w:val="24"/>
              </w:rPr>
            </w:pPr>
            <w:r>
              <w:rPr>
                <w:rFonts w:hint="eastAsia" w:ascii="仿宋" w:hAnsi="仿宋" w:eastAsia="仿宋"/>
                <w:b/>
                <w:sz w:val="32"/>
                <w:szCs w:val="24"/>
              </w:rPr>
              <w:t>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1662" w:type="dxa"/>
            <w:vAlign w:val="center"/>
          </w:tcPr>
          <w:p>
            <w:pPr>
              <w:jc w:val="center"/>
              <w:rPr>
                <w:rFonts w:ascii="仿宋" w:hAnsi="仿宋" w:eastAsia="仿宋"/>
                <w:b/>
                <w:sz w:val="24"/>
                <w:szCs w:val="24"/>
              </w:rPr>
            </w:pPr>
            <w:r>
              <w:rPr>
                <w:rFonts w:hint="eastAsia" w:ascii="仿宋" w:hAnsi="仿宋" w:eastAsia="仿宋"/>
                <w:b/>
                <w:sz w:val="24"/>
                <w:szCs w:val="24"/>
              </w:rPr>
              <w:t>评价指标分类</w:t>
            </w:r>
          </w:p>
        </w:tc>
        <w:tc>
          <w:tcPr>
            <w:tcW w:w="3020" w:type="dxa"/>
            <w:vAlign w:val="center"/>
          </w:tcPr>
          <w:p>
            <w:pPr>
              <w:spacing w:line="360" w:lineRule="auto"/>
              <w:jc w:val="center"/>
              <w:rPr>
                <w:rFonts w:ascii="仿宋" w:hAnsi="仿宋" w:eastAsia="仿宋"/>
                <w:b/>
                <w:sz w:val="24"/>
                <w:szCs w:val="24"/>
              </w:rPr>
            </w:pPr>
            <w:r>
              <w:rPr>
                <w:rFonts w:hint="eastAsia" w:ascii="仿宋" w:hAnsi="仿宋" w:eastAsia="仿宋"/>
                <w:b/>
                <w:sz w:val="24"/>
                <w:szCs w:val="24"/>
              </w:rPr>
              <w:t>评价指标明细</w:t>
            </w:r>
          </w:p>
        </w:tc>
        <w:tc>
          <w:tcPr>
            <w:tcW w:w="4961" w:type="dxa"/>
            <w:vAlign w:val="center"/>
          </w:tcPr>
          <w:p>
            <w:pPr>
              <w:spacing w:line="360" w:lineRule="auto"/>
              <w:jc w:val="center"/>
              <w:rPr>
                <w:rFonts w:ascii="仿宋" w:hAnsi="仿宋" w:eastAsia="仿宋"/>
                <w:b/>
                <w:sz w:val="24"/>
                <w:szCs w:val="24"/>
              </w:rPr>
            </w:pPr>
            <w:r>
              <w:rPr>
                <w:rFonts w:hint="eastAsia" w:ascii="仿宋" w:hAnsi="仿宋" w:eastAsia="仿宋"/>
                <w:b/>
                <w:sz w:val="24"/>
                <w:szCs w:val="24"/>
              </w:rPr>
              <w:t>评价指标注释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估值</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市盈率</w:t>
            </w:r>
            <w:r>
              <w:rPr>
                <w:rFonts w:hint="eastAsia" w:ascii="仿宋" w:hAnsi="仿宋" w:eastAsia="仿宋"/>
                <w:color w:val="FF0000"/>
                <w:sz w:val="24"/>
                <w:szCs w:val="24"/>
              </w:rPr>
              <w:t>（最新交易日期）</w:t>
            </w:r>
          </w:p>
        </w:tc>
        <w:tc>
          <w:tcPr>
            <w:tcW w:w="4961" w:type="dxa"/>
            <w:vAlign w:val="center"/>
          </w:tcPr>
          <w:p>
            <w:pPr>
              <w:spacing w:line="360" w:lineRule="auto"/>
              <w:rPr>
                <w:rFonts w:ascii="仿宋" w:hAnsi="仿宋" w:eastAsia="仿宋"/>
                <w:sz w:val="24"/>
                <w:szCs w:val="24"/>
              </w:rPr>
            </w:pPr>
            <w:r>
              <w:rPr>
                <w:rFonts w:hint="eastAsia" w:ascii="仿宋" w:hAnsi="仿宋" w:eastAsia="仿宋"/>
                <w:sz w:val="24"/>
                <w:szCs w:val="24"/>
              </w:rPr>
              <w:t>采用滚动市盈率（TTM）计算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企业价值倍数</w:t>
            </w:r>
            <w:r>
              <w:rPr>
                <w:rFonts w:hint="eastAsia" w:ascii="仿宋" w:hAnsi="仿宋" w:eastAsia="仿宋"/>
                <w:color w:val="FF0000"/>
                <w:sz w:val="24"/>
                <w:szCs w:val="24"/>
              </w:rPr>
              <w:t>（最新交易日期）</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企业价值倍数=企业价值/息税折旧摊销前利润（EBITDA）。其中：</w:t>
            </w:r>
          </w:p>
          <w:p>
            <w:pPr>
              <w:spacing w:line="300" w:lineRule="auto"/>
              <w:rPr>
                <w:rFonts w:ascii="仿宋" w:hAnsi="仿宋" w:eastAsia="仿宋"/>
                <w:sz w:val="24"/>
                <w:szCs w:val="24"/>
              </w:rPr>
            </w:pPr>
            <w:r>
              <w:rPr>
                <w:rFonts w:hint="eastAsia" w:ascii="仿宋" w:hAnsi="仿宋" w:eastAsia="仿宋"/>
                <w:sz w:val="24"/>
                <w:szCs w:val="24"/>
              </w:rPr>
              <w:t>企业价值=股权价值+带息债务-货币资金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流动性</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区间日均成交额</w:t>
            </w:r>
          </w:p>
        </w:tc>
        <w:tc>
          <w:tcPr>
            <w:tcW w:w="4961" w:type="dxa"/>
            <w:vAlign w:val="center"/>
          </w:tcPr>
          <w:p>
            <w:pPr>
              <w:spacing w:line="300" w:lineRule="auto"/>
              <w:rPr>
                <w:rFonts w:ascii="仿宋" w:hAnsi="仿宋" w:eastAsia="仿宋"/>
                <w:sz w:val="24"/>
                <w:szCs w:val="24"/>
              </w:rPr>
            </w:pPr>
            <w:r>
              <w:rPr>
                <w:rFonts w:hint="eastAsia" w:ascii="仿宋" w:hAnsi="仿宋" w:eastAsia="仿宋"/>
                <w:color w:val="FF0000"/>
                <w:sz w:val="24"/>
                <w:szCs w:val="24"/>
              </w:rPr>
              <w:t>近六个月</w:t>
            </w:r>
            <w:r>
              <w:rPr>
                <w:rFonts w:hint="eastAsia" w:ascii="仿宋" w:hAnsi="仿宋" w:eastAsia="仿宋"/>
                <w:sz w:val="24"/>
                <w:szCs w:val="24"/>
              </w:rPr>
              <w:t>日</w:t>
            </w:r>
            <w:r>
              <w:commentReference w:id="1"/>
            </w:r>
            <w:r>
              <w:rPr>
                <w:rFonts w:hint="eastAsia" w:ascii="仿宋" w:hAnsi="仿宋" w:eastAsia="仿宋"/>
                <w:sz w:val="24"/>
                <w:szCs w:val="24"/>
              </w:rPr>
              <w:t>成交额的算术平均值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区间日均换手率</w:t>
            </w:r>
          </w:p>
        </w:tc>
        <w:tc>
          <w:tcPr>
            <w:tcW w:w="4961" w:type="dxa"/>
            <w:vAlign w:val="center"/>
          </w:tcPr>
          <w:p>
            <w:pPr>
              <w:spacing w:line="300" w:lineRule="auto"/>
              <w:rPr>
                <w:rFonts w:ascii="仿宋" w:hAnsi="仿宋" w:eastAsia="仿宋"/>
                <w:sz w:val="24"/>
                <w:szCs w:val="24"/>
              </w:rPr>
            </w:pPr>
            <w:r>
              <w:rPr>
                <w:rFonts w:hint="eastAsia" w:ascii="仿宋" w:hAnsi="仿宋" w:eastAsia="仿宋"/>
                <w:color w:val="FF0000"/>
                <w:sz w:val="24"/>
                <w:szCs w:val="24"/>
              </w:rPr>
              <w:t>近六个月</w:t>
            </w:r>
            <w:r>
              <w:rPr>
                <w:rFonts w:hint="eastAsia" w:ascii="仿宋" w:hAnsi="仿宋" w:eastAsia="仿宋"/>
                <w:sz w:val="24"/>
                <w:szCs w:val="24"/>
              </w:rPr>
              <w:t>日均转手买卖的频率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区间日均总市值</w:t>
            </w:r>
          </w:p>
        </w:tc>
        <w:tc>
          <w:tcPr>
            <w:tcW w:w="4961" w:type="dxa"/>
            <w:vAlign w:val="center"/>
          </w:tcPr>
          <w:p>
            <w:pPr>
              <w:spacing w:line="300" w:lineRule="auto"/>
              <w:rPr>
                <w:rFonts w:ascii="仿宋" w:hAnsi="仿宋" w:eastAsia="仿宋"/>
                <w:sz w:val="24"/>
                <w:szCs w:val="24"/>
              </w:rPr>
            </w:pPr>
            <w:r>
              <w:rPr>
                <w:rFonts w:hint="eastAsia" w:ascii="仿宋" w:hAnsi="仿宋" w:eastAsia="仿宋"/>
                <w:color w:val="FF0000"/>
                <w:sz w:val="24"/>
                <w:szCs w:val="24"/>
              </w:rPr>
              <w:t>近六个月</w:t>
            </w:r>
            <w:r>
              <w:rPr>
                <w:rFonts w:hint="eastAsia" w:ascii="仿宋" w:hAnsi="仿宋" w:eastAsia="仿宋"/>
                <w:sz w:val="24"/>
                <w:szCs w:val="24"/>
              </w:rPr>
              <w:t>每日总市值的算术平均值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分红能力</w:t>
            </w:r>
          </w:p>
        </w:tc>
        <w:tc>
          <w:tcPr>
            <w:tcW w:w="3020" w:type="dxa"/>
            <w:vAlign w:val="center"/>
          </w:tcPr>
          <w:p>
            <w:pPr>
              <w:spacing w:line="360" w:lineRule="auto"/>
              <w:rPr>
                <w:rFonts w:hint="default" w:ascii="仿宋" w:hAnsi="仿宋" w:eastAsiaTheme="minorEastAsia"/>
                <w:sz w:val="24"/>
                <w:szCs w:val="24"/>
                <w:lang w:val="en-US" w:eastAsia="zh-CN"/>
              </w:rPr>
            </w:pPr>
            <w:r>
              <w:rPr>
                <w:rFonts w:hint="eastAsia" w:ascii="仿宋" w:hAnsi="仿宋" w:eastAsia="仿宋"/>
                <w:sz w:val="24"/>
                <w:szCs w:val="24"/>
              </w:rPr>
              <w:t>分红融资比</w:t>
            </w:r>
            <w:r>
              <w:rPr>
                <w:rFonts w:hint="eastAsia" w:ascii="仿宋" w:hAnsi="仿宋" w:eastAsia="仿宋"/>
                <w:color w:val="FF0000"/>
                <w:sz w:val="24"/>
                <w:szCs w:val="24"/>
              </w:rPr>
              <w:t>（最新交易日期）</w:t>
            </w:r>
            <w:r>
              <w:rPr>
                <w:rFonts w:hint="eastAsia"/>
                <w:color w:val="0000FF"/>
                <w:lang w:val="en-US" w:eastAsia="zh-CN"/>
              </w:rPr>
              <w:t>--年报</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分红融资比=历</w:t>
            </w:r>
            <w:bookmarkStart w:id="0" w:name="_GoBack"/>
            <w:bookmarkEnd w:id="0"/>
            <w:r>
              <w:rPr>
                <w:rFonts w:hint="eastAsia" w:ascii="仿宋" w:hAnsi="仿宋" w:eastAsia="仿宋"/>
                <w:sz w:val="24"/>
                <w:szCs w:val="24"/>
              </w:rPr>
              <w:t>年分红总额/历年融资总额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累计现金分红总额</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最</w:t>
            </w:r>
            <w:r>
              <w:rPr>
                <w:rFonts w:hint="eastAsia" w:ascii="仿宋" w:hAnsi="仿宋" w:eastAsia="仿宋"/>
                <w:color w:val="FF0000"/>
                <w:sz w:val="24"/>
                <w:szCs w:val="24"/>
              </w:rPr>
              <w:t>近三个年度</w:t>
            </w:r>
            <w:r>
              <w:rPr>
                <w:rFonts w:hint="eastAsia" w:ascii="仿宋" w:hAnsi="仿宋" w:eastAsia="仿宋"/>
                <w:sz w:val="24"/>
                <w:szCs w:val="24"/>
              </w:rPr>
              <w:t>已实施现金分红的总金额</w:t>
            </w:r>
            <w: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盈利能力</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净资产收益率ROE</w:t>
            </w:r>
            <w:r>
              <w:rPr>
                <w:rFonts w:hint="eastAsia" w:ascii="仿宋" w:hAnsi="仿宋" w:eastAsia="仿宋"/>
                <w:color w:val="FF0000"/>
                <w:sz w:val="24"/>
                <w:szCs w:val="24"/>
              </w:rPr>
              <w:t>（年报）</w:t>
            </w:r>
            <w:r>
              <w:commentReference w:id="3"/>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ROE=扣除非经常损益后归属母公司股东的净利润／加权平均归属母公司股东的权益*100%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 xml:space="preserve">投入资本回报率ROIC </w:t>
            </w:r>
            <w:r>
              <w:rPr>
                <w:rFonts w:hint="eastAsia" w:ascii="仿宋" w:hAnsi="仿宋" w:eastAsia="仿宋"/>
                <w:color w:val="FF0000"/>
                <w:sz w:val="24"/>
                <w:szCs w:val="24"/>
              </w:rPr>
              <w:t>（年报）</w:t>
            </w:r>
            <w:r>
              <w:commentReference w:id="4"/>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ROIC=息税前利润（EBIT）/投入资本。其中：</w:t>
            </w:r>
          </w:p>
          <w:p>
            <w:pPr>
              <w:spacing w:line="300" w:lineRule="auto"/>
              <w:rPr>
                <w:rFonts w:ascii="仿宋" w:hAnsi="仿宋" w:eastAsia="仿宋"/>
                <w:sz w:val="24"/>
                <w:szCs w:val="24"/>
              </w:rPr>
            </w:pPr>
            <w:r>
              <w:rPr>
                <w:rFonts w:hint="eastAsia" w:ascii="仿宋" w:hAnsi="仿宋" w:eastAsia="仿宋"/>
                <w:sz w:val="24"/>
                <w:szCs w:val="24"/>
              </w:rPr>
              <w:t>投入资本=有息负债+净资产-超额现金-非经营性资产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销售毛利率</w:t>
            </w:r>
            <w:r>
              <w:rPr>
                <w:rFonts w:hint="eastAsia" w:ascii="仿宋" w:hAnsi="仿宋" w:eastAsia="仿宋"/>
                <w:color w:val="FF0000"/>
                <w:sz w:val="24"/>
                <w:szCs w:val="24"/>
              </w:rPr>
              <w:t>（年报）</w:t>
            </w:r>
            <w:r>
              <w:commentReference w:id="5"/>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销售毛利率=（营业收入-营业成本）/营业收入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扣除非经常性损益后的净利润</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扣除非经常性损益后的净利润=归属母公司股东的净利润-非经常性损益。</w:t>
            </w:r>
          </w:p>
          <w:p>
            <w:pPr>
              <w:spacing w:line="300" w:lineRule="auto"/>
              <w:rPr>
                <w:rFonts w:ascii="仿宋" w:hAnsi="仿宋" w:eastAsia="仿宋"/>
                <w:sz w:val="24"/>
                <w:szCs w:val="24"/>
              </w:rPr>
            </w:pPr>
            <w:r>
              <w:rPr>
                <w:rFonts w:hint="eastAsia" w:ascii="仿宋" w:hAnsi="仿宋" w:eastAsia="仿宋"/>
                <w:sz w:val="24"/>
                <w:szCs w:val="24"/>
              </w:rPr>
              <w:t>扣除非经常性损益后的净利润为</w:t>
            </w:r>
            <w:r>
              <w:rPr>
                <w:rFonts w:hint="eastAsia" w:ascii="仿宋" w:hAnsi="仿宋" w:eastAsia="仿宋"/>
                <w:color w:val="FF0000"/>
                <w:sz w:val="24"/>
                <w:szCs w:val="24"/>
              </w:rPr>
              <w:t>近两年年报和最近一个报告期的数值总和</w:t>
            </w:r>
            <w:r>
              <w:rPr>
                <w:rFonts w:hint="eastAsia" w:ascii="仿宋" w:hAnsi="仿宋" w:eastAsia="仿宋"/>
                <w:sz w:val="24"/>
                <w:szCs w:val="24"/>
              </w:rPr>
              <w:t>。</w:t>
            </w:r>
            <w:r>
              <w:comment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成长能力</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营业总收入复合年增长率</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采用</w:t>
            </w:r>
            <w:r>
              <w:rPr>
                <w:rFonts w:hint="eastAsia" w:ascii="仿宋" w:hAnsi="仿宋" w:eastAsia="仿宋"/>
                <w:color w:val="FF0000"/>
                <w:sz w:val="24"/>
                <w:szCs w:val="24"/>
              </w:rPr>
              <w:t>近三年</w:t>
            </w:r>
            <w:r>
              <w:rPr>
                <w:rFonts w:hint="eastAsia" w:ascii="仿宋" w:hAnsi="仿宋" w:eastAsia="仿宋"/>
                <w:sz w:val="24"/>
                <w:szCs w:val="24"/>
              </w:rPr>
              <w:t>营业总收入数据计算</w:t>
            </w:r>
            <w:r>
              <w:rPr>
                <w:rFonts w:hint="eastAsia" w:ascii="仿宋" w:hAnsi="仿宋" w:eastAsia="仿宋"/>
                <w:color w:val="FF0000"/>
                <w:sz w:val="24"/>
                <w:szCs w:val="24"/>
              </w:rPr>
              <w:t>（若近三年复合年增长率为0，则取近两年的复合年增长率）</w:t>
            </w:r>
            <w: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归母净利润复合年增长率</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采用</w:t>
            </w:r>
            <w:r>
              <w:rPr>
                <w:rFonts w:hint="eastAsia" w:ascii="仿宋" w:hAnsi="仿宋" w:eastAsia="仿宋"/>
                <w:color w:val="FF0000"/>
                <w:sz w:val="24"/>
                <w:szCs w:val="24"/>
              </w:rPr>
              <w:t>近三年</w:t>
            </w:r>
            <w:r>
              <w:rPr>
                <w:rFonts w:hint="eastAsia" w:ascii="仿宋" w:hAnsi="仿宋" w:eastAsia="仿宋"/>
                <w:sz w:val="24"/>
                <w:szCs w:val="24"/>
              </w:rPr>
              <w:t>归母净利润数据计算</w:t>
            </w:r>
            <w:r>
              <w:rPr>
                <w:rFonts w:hint="eastAsia" w:ascii="仿宋" w:hAnsi="仿宋" w:eastAsia="仿宋"/>
                <w:color w:val="FF0000"/>
                <w:sz w:val="24"/>
                <w:szCs w:val="24"/>
              </w:rPr>
              <w:t>（若近三年复合年增长率为0，则取近两年的复合年增长率）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总资产复合年增长率</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采用</w:t>
            </w:r>
            <w:r>
              <w:rPr>
                <w:rFonts w:hint="eastAsia" w:ascii="仿宋" w:hAnsi="仿宋" w:eastAsia="仿宋"/>
                <w:color w:val="FF0000"/>
                <w:sz w:val="24"/>
                <w:szCs w:val="24"/>
              </w:rPr>
              <w:t>近三年</w:t>
            </w:r>
            <w:r>
              <w:rPr>
                <w:rFonts w:hint="eastAsia" w:ascii="仿宋" w:hAnsi="仿宋" w:eastAsia="仿宋"/>
                <w:sz w:val="24"/>
                <w:szCs w:val="24"/>
              </w:rPr>
              <w:t>年末总资产数据计算</w:t>
            </w:r>
            <w:r>
              <w:rPr>
                <w:rFonts w:hint="eastAsia" w:ascii="仿宋" w:hAnsi="仿宋" w:eastAsia="仿宋"/>
                <w:color w:val="FF0000"/>
                <w:sz w:val="24"/>
                <w:szCs w:val="24"/>
              </w:rPr>
              <w:t>（若近三年复合年增长率为0，则取近两年的复合年增长率）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偿债能力</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速动比率</w:t>
            </w:r>
            <w:r>
              <w:rPr>
                <w:rFonts w:hint="eastAsia" w:ascii="仿宋" w:hAnsi="仿宋" w:eastAsia="仿宋"/>
                <w:color w:val="FF0000"/>
                <w:sz w:val="24"/>
                <w:szCs w:val="24"/>
              </w:rPr>
              <w:t>（年报）</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速动比率= (流动资产－存货净额)／流动负债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资产负债率</w:t>
            </w:r>
            <w:r>
              <w:rPr>
                <w:rFonts w:hint="eastAsia" w:ascii="仿宋" w:hAnsi="仿宋" w:eastAsia="仿宋"/>
                <w:color w:val="FF0000"/>
                <w:sz w:val="24"/>
                <w:szCs w:val="24"/>
              </w:rPr>
              <w:t>（年报）</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资产负债率=负债总额/资产总额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已获利息倍数</w:t>
            </w:r>
            <w:r>
              <w:rPr>
                <w:rFonts w:hint="eastAsia" w:ascii="仿宋" w:hAnsi="仿宋" w:eastAsia="仿宋"/>
                <w:color w:val="FF0000"/>
                <w:sz w:val="24"/>
                <w:szCs w:val="24"/>
              </w:rPr>
              <w:t>（年报）</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已获利息倍数=息税前利润（EBIT）/利息费用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restart"/>
            <w:vAlign w:val="center"/>
          </w:tcPr>
          <w:p>
            <w:pPr>
              <w:spacing w:line="360" w:lineRule="auto"/>
              <w:jc w:val="center"/>
              <w:rPr>
                <w:rFonts w:ascii="仿宋" w:hAnsi="仿宋" w:eastAsia="仿宋"/>
                <w:sz w:val="24"/>
                <w:szCs w:val="24"/>
              </w:rPr>
            </w:pPr>
            <w:r>
              <w:rPr>
                <w:rFonts w:hint="eastAsia" w:ascii="仿宋" w:hAnsi="仿宋" w:eastAsia="仿宋"/>
                <w:sz w:val="24"/>
                <w:szCs w:val="24"/>
              </w:rPr>
              <w:t>获现能力</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销售收现比率</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销售收现比率=销售商品、提供劳务收到的现金/营业收入。</w:t>
            </w:r>
          </w:p>
          <w:p>
            <w:pPr>
              <w:spacing w:line="300" w:lineRule="auto"/>
              <w:rPr>
                <w:rFonts w:ascii="仿宋" w:hAnsi="仿宋" w:eastAsia="仿宋"/>
                <w:sz w:val="24"/>
                <w:szCs w:val="24"/>
              </w:rPr>
            </w:pPr>
            <w:r>
              <w:rPr>
                <w:rFonts w:hint="eastAsia" w:ascii="仿宋" w:hAnsi="仿宋" w:eastAsia="仿宋"/>
                <w:sz w:val="24"/>
                <w:szCs w:val="24"/>
              </w:rPr>
              <w:t>销售商品、提供劳务收到的现金与营业收入均为</w:t>
            </w:r>
            <w:r>
              <w:rPr>
                <w:rFonts w:hint="eastAsia" w:ascii="仿宋" w:hAnsi="仿宋" w:eastAsia="仿宋"/>
                <w:color w:val="FF0000"/>
                <w:sz w:val="24"/>
                <w:szCs w:val="24"/>
              </w:rPr>
              <w:t>近两年年报和最近一个报告期的数值总和</w:t>
            </w:r>
            <w:r>
              <w:rPr>
                <w:rFonts w:hint="eastAsia" w:ascii="仿宋" w:hAnsi="仿宋" w:eastAsia="仿宋"/>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净利润现金含量</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净利润现金含量=经营活动产生的现金流净额/归属于母公司所有者的净利润。</w:t>
            </w:r>
          </w:p>
          <w:p>
            <w:pPr>
              <w:spacing w:line="300" w:lineRule="auto"/>
              <w:rPr>
                <w:rFonts w:ascii="仿宋" w:hAnsi="仿宋" w:eastAsia="仿宋"/>
                <w:sz w:val="24"/>
                <w:szCs w:val="24"/>
              </w:rPr>
            </w:pPr>
            <w:r>
              <w:rPr>
                <w:rFonts w:hint="eastAsia" w:ascii="仿宋" w:hAnsi="仿宋" w:eastAsia="仿宋"/>
                <w:sz w:val="24"/>
                <w:szCs w:val="24"/>
              </w:rPr>
              <w:t>经营活动产生的现金流净额和归属于母公司所有者的净利润均为</w:t>
            </w:r>
            <w:r>
              <w:rPr>
                <w:rFonts w:hint="eastAsia" w:ascii="仿宋" w:hAnsi="仿宋" w:eastAsia="仿宋"/>
                <w:color w:val="FF0000"/>
                <w:sz w:val="24"/>
                <w:szCs w:val="24"/>
              </w:rPr>
              <w:t>近两年年报和最近一个报告期的数值总和</w:t>
            </w:r>
            <w:r>
              <w:rPr>
                <w:rFonts w:hint="eastAsia" w:ascii="仿宋" w:hAnsi="仿宋" w:eastAsia="仿宋"/>
                <w:sz w:val="24"/>
                <w:szCs w:val="24"/>
              </w:rPr>
              <w:t>。</w:t>
            </w:r>
            <w: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Merge w:val="continue"/>
            <w:vAlign w:val="center"/>
          </w:tcPr>
          <w:p>
            <w:pPr>
              <w:spacing w:line="360" w:lineRule="auto"/>
              <w:jc w:val="center"/>
              <w:rPr>
                <w:rFonts w:ascii="仿宋" w:hAnsi="仿宋" w:eastAsia="仿宋"/>
                <w:sz w:val="24"/>
                <w:szCs w:val="24"/>
              </w:rPr>
            </w:pP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经营活动产生的现金流净额</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经营活动产生的现金流净额为</w:t>
            </w:r>
            <w:r>
              <w:rPr>
                <w:rFonts w:hint="eastAsia" w:ascii="仿宋" w:hAnsi="仿宋" w:eastAsia="仿宋"/>
                <w:color w:val="FF0000"/>
                <w:sz w:val="24"/>
                <w:szCs w:val="24"/>
              </w:rPr>
              <w:t>近两年年报和最近一个报告期的数值总和</w:t>
            </w:r>
            <w:r>
              <w:rPr>
                <w:rFonts w:hint="eastAsia" w:ascii="仿宋" w:hAnsi="仿宋" w:eastAsia="仿宋"/>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Align w:val="center"/>
          </w:tcPr>
          <w:p>
            <w:pPr>
              <w:spacing w:line="360" w:lineRule="auto"/>
              <w:jc w:val="center"/>
              <w:rPr>
                <w:rFonts w:ascii="仿宋" w:hAnsi="仿宋" w:eastAsia="仿宋"/>
                <w:sz w:val="24"/>
                <w:szCs w:val="24"/>
              </w:rPr>
            </w:pPr>
            <w:r>
              <w:rPr>
                <w:rFonts w:hint="eastAsia" w:ascii="仿宋" w:hAnsi="仿宋" w:eastAsia="仿宋"/>
                <w:sz w:val="24"/>
                <w:szCs w:val="24"/>
              </w:rPr>
              <w:t>安全性</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波动率（年化）</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年化波动率为</w:t>
            </w:r>
            <w:r>
              <w:rPr>
                <w:rFonts w:hint="eastAsia" w:ascii="仿宋" w:hAnsi="仿宋" w:eastAsia="仿宋"/>
                <w:color w:val="FF0000"/>
                <w:sz w:val="24"/>
                <w:szCs w:val="24"/>
              </w:rPr>
              <w:t>近六个月</w:t>
            </w:r>
            <w:r>
              <w:rPr>
                <w:rFonts w:hint="eastAsia" w:ascii="仿宋" w:hAnsi="仿宋" w:eastAsia="仿宋"/>
                <w:sz w:val="24"/>
                <w:szCs w:val="24"/>
              </w:rPr>
              <w:t>的日收益率标准差的年化值。</w:t>
            </w:r>
            <w: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9643" w:type="dxa"/>
            <w:gridSpan w:val="3"/>
            <w:shd w:val="clear" w:color="auto" w:fill="A8D08D" w:themeFill="accent6" w:themeFillTint="99"/>
            <w:vAlign w:val="center"/>
          </w:tcPr>
          <w:p>
            <w:pPr>
              <w:spacing w:line="360" w:lineRule="auto"/>
              <w:jc w:val="center"/>
              <w:rPr>
                <w:rFonts w:ascii="仿宋" w:hAnsi="仿宋" w:eastAsia="仿宋"/>
                <w:b/>
                <w:sz w:val="24"/>
                <w:szCs w:val="24"/>
              </w:rPr>
            </w:pPr>
            <w:r>
              <w:rPr>
                <w:rFonts w:hint="eastAsia" w:ascii="仿宋" w:hAnsi="仿宋" w:eastAsia="仿宋"/>
                <w:b/>
                <w:sz w:val="32"/>
                <w:szCs w:val="24"/>
              </w:rPr>
              <w:t>减分项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Align w:val="center"/>
          </w:tcPr>
          <w:p>
            <w:pPr>
              <w:spacing w:line="300" w:lineRule="auto"/>
              <w:jc w:val="center"/>
              <w:rPr>
                <w:rFonts w:ascii="仿宋" w:hAnsi="仿宋" w:eastAsia="仿宋"/>
                <w:b/>
                <w:sz w:val="24"/>
                <w:szCs w:val="24"/>
              </w:rPr>
            </w:pPr>
            <w:r>
              <w:rPr>
                <w:rFonts w:hint="eastAsia" w:ascii="仿宋" w:hAnsi="仿宋" w:eastAsia="仿宋"/>
                <w:b/>
                <w:sz w:val="24"/>
                <w:szCs w:val="24"/>
              </w:rPr>
              <w:t>减分项分类</w:t>
            </w:r>
          </w:p>
        </w:tc>
        <w:tc>
          <w:tcPr>
            <w:tcW w:w="3020" w:type="dxa"/>
            <w:vAlign w:val="center"/>
          </w:tcPr>
          <w:p>
            <w:pPr>
              <w:spacing w:line="360" w:lineRule="auto"/>
              <w:jc w:val="center"/>
              <w:rPr>
                <w:rFonts w:ascii="仿宋" w:hAnsi="仿宋" w:eastAsia="仿宋"/>
                <w:b/>
                <w:sz w:val="24"/>
                <w:szCs w:val="24"/>
              </w:rPr>
            </w:pPr>
            <w:r>
              <w:rPr>
                <w:rFonts w:hint="eastAsia" w:ascii="仿宋" w:hAnsi="仿宋" w:eastAsia="仿宋"/>
                <w:b/>
                <w:sz w:val="24"/>
                <w:szCs w:val="24"/>
              </w:rPr>
              <w:t>减分项明细</w:t>
            </w:r>
          </w:p>
        </w:tc>
        <w:tc>
          <w:tcPr>
            <w:tcW w:w="4961" w:type="dxa"/>
            <w:vAlign w:val="center"/>
          </w:tcPr>
          <w:p>
            <w:pPr>
              <w:spacing w:line="360" w:lineRule="auto"/>
              <w:jc w:val="center"/>
              <w:rPr>
                <w:rFonts w:ascii="仿宋" w:hAnsi="仿宋" w:eastAsia="仿宋"/>
                <w:b/>
                <w:sz w:val="24"/>
                <w:szCs w:val="24"/>
              </w:rPr>
            </w:pPr>
            <w:r>
              <w:rPr>
                <w:rFonts w:hint="eastAsia" w:ascii="仿宋" w:hAnsi="仿宋" w:eastAsia="仿宋"/>
                <w:b/>
                <w:sz w:val="24"/>
                <w:szCs w:val="24"/>
              </w:rPr>
              <w:t>减分项注释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Align w:val="center"/>
          </w:tcPr>
          <w:p>
            <w:pPr>
              <w:spacing w:line="360" w:lineRule="auto"/>
              <w:jc w:val="center"/>
              <w:rPr>
                <w:rFonts w:ascii="仿宋" w:hAnsi="仿宋" w:eastAsia="仿宋"/>
                <w:sz w:val="24"/>
                <w:szCs w:val="24"/>
              </w:rPr>
            </w:pPr>
            <w:r>
              <w:rPr>
                <w:rFonts w:hint="eastAsia" w:ascii="仿宋" w:hAnsi="仿宋" w:eastAsia="仿宋"/>
                <w:sz w:val="24"/>
                <w:szCs w:val="24"/>
              </w:rPr>
              <w:t>商誉</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商誉占净资产比例（</w:t>
            </w:r>
            <w:r>
              <w:rPr>
                <w:rFonts w:hint="eastAsia" w:ascii="仿宋" w:hAnsi="仿宋" w:eastAsia="仿宋"/>
                <w:color w:val="FF0000"/>
                <w:sz w:val="24"/>
                <w:szCs w:val="24"/>
              </w:rPr>
              <w:t>最近一个报告期</w:t>
            </w:r>
            <w:r>
              <w:rPr>
                <w:rFonts w:hint="eastAsia" w:ascii="仿宋" w:hAnsi="仿宋" w:eastAsia="仿宋"/>
                <w:sz w:val="24"/>
                <w:szCs w:val="24"/>
              </w:rPr>
              <w:t>）</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商誉占净资产比例=商誉/净资产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vAlign w:val="center"/>
          </w:tcPr>
          <w:p>
            <w:pPr>
              <w:spacing w:line="360" w:lineRule="auto"/>
              <w:jc w:val="center"/>
              <w:rPr>
                <w:rFonts w:ascii="仿宋" w:hAnsi="仿宋" w:eastAsia="仿宋"/>
                <w:sz w:val="24"/>
                <w:szCs w:val="24"/>
              </w:rPr>
            </w:pPr>
            <w:r>
              <w:rPr>
                <w:rFonts w:hint="eastAsia" w:ascii="仿宋" w:hAnsi="仿宋" w:eastAsia="仿宋"/>
                <w:sz w:val="24"/>
                <w:szCs w:val="24"/>
              </w:rPr>
              <w:t>股权质押比例</w:t>
            </w:r>
          </w:p>
        </w:tc>
        <w:tc>
          <w:tcPr>
            <w:tcW w:w="3020" w:type="dxa"/>
            <w:vAlign w:val="center"/>
          </w:tcPr>
          <w:p>
            <w:pPr>
              <w:spacing w:line="360" w:lineRule="auto"/>
              <w:rPr>
                <w:rFonts w:ascii="仿宋" w:hAnsi="仿宋" w:eastAsia="仿宋"/>
                <w:sz w:val="24"/>
                <w:szCs w:val="24"/>
              </w:rPr>
            </w:pPr>
            <w:r>
              <w:rPr>
                <w:rFonts w:hint="eastAsia" w:ascii="仿宋" w:hAnsi="仿宋" w:eastAsia="仿宋"/>
                <w:sz w:val="24"/>
                <w:szCs w:val="24"/>
              </w:rPr>
              <w:t>1、控股股东股权质押比例</w:t>
            </w:r>
          </w:p>
          <w:p>
            <w:pPr>
              <w:spacing w:line="360" w:lineRule="auto"/>
              <w:rPr>
                <w:rFonts w:ascii="仿宋" w:hAnsi="仿宋" w:eastAsia="仿宋"/>
                <w:sz w:val="24"/>
                <w:szCs w:val="24"/>
              </w:rPr>
            </w:pPr>
            <w:r>
              <w:rPr>
                <w:rFonts w:hint="eastAsia" w:ascii="仿宋" w:hAnsi="仿宋" w:eastAsia="仿宋"/>
                <w:sz w:val="24"/>
                <w:szCs w:val="24"/>
              </w:rPr>
              <w:t>2、两融账户担保证券市值与质押股份市值之和占总市值比例</w:t>
            </w:r>
            <w:r>
              <w:commentReference w:id="10"/>
            </w:r>
          </w:p>
          <w:p>
            <w:pPr>
              <w:spacing w:line="360" w:lineRule="auto"/>
              <w:rPr>
                <w:rFonts w:ascii="仿宋" w:hAnsi="仿宋" w:eastAsia="仿宋"/>
                <w:sz w:val="24"/>
                <w:szCs w:val="24"/>
              </w:rPr>
            </w:pPr>
            <w:r>
              <w:rPr>
                <w:rFonts w:hint="eastAsia" w:ascii="仿宋" w:hAnsi="仿宋" w:eastAsia="仿宋"/>
                <w:color w:val="FF0000"/>
                <w:sz w:val="24"/>
                <w:szCs w:val="24"/>
              </w:rPr>
              <w:t>（股票质押数据在中国证券登记结算公司官网披露的周频率数据，因此日期为最近一个数据披露日期，担保证券市值占比需与股票质押比例为同一天的数据）</w:t>
            </w:r>
          </w:p>
        </w:tc>
        <w:tc>
          <w:tcPr>
            <w:tcW w:w="4961" w:type="dxa"/>
            <w:vAlign w:val="center"/>
          </w:tcPr>
          <w:p>
            <w:pPr>
              <w:spacing w:line="300" w:lineRule="auto"/>
              <w:rPr>
                <w:rFonts w:ascii="仿宋" w:hAnsi="仿宋" w:eastAsia="仿宋"/>
                <w:sz w:val="24"/>
                <w:szCs w:val="24"/>
              </w:rPr>
            </w:pPr>
            <w:r>
              <w:rPr>
                <w:rFonts w:hint="eastAsia" w:ascii="仿宋" w:hAnsi="仿宋" w:eastAsia="仿宋"/>
                <w:sz w:val="24"/>
                <w:szCs w:val="24"/>
              </w:rPr>
              <w:t>1、控股股东股权质押比例=上市公司第一大股东尚未解押的累计质押股份数/持股总数</w:t>
            </w:r>
          </w:p>
          <w:p>
            <w:pPr>
              <w:spacing w:line="300" w:lineRule="auto"/>
              <w:rPr>
                <w:rFonts w:ascii="仿宋" w:hAnsi="仿宋" w:eastAsia="仿宋"/>
                <w:sz w:val="24"/>
                <w:szCs w:val="24"/>
              </w:rPr>
            </w:pPr>
            <w:r>
              <w:rPr>
                <w:rFonts w:hint="eastAsia" w:ascii="仿宋" w:hAnsi="仿宋" w:eastAsia="仿宋"/>
                <w:sz w:val="24"/>
                <w:szCs w:val="24"/>
              </w:rPr>
              <w:t>2、两融账户担保证券市值与质押股份市值之和占总市值比例=（两融账户担保证券市值+质押股份市值）/总市值</w:t>
            </w:r>
          </w:p>
          <w:p>
            <w:pPr>
              <w:spacing w:line="300" w:lineRule="auto"/>
              <w:rPr>
                <w:rFonts w:ascii="仿宋" w:hAnsi="仿宋" w:eastAsia="仿宋"/>
                <w:sz w:val="24"/>
                <w:szCs w:val="24"/>
              </w:rPr>
            </w:pPr>
            <w:r>
              <w:rPr>
                <w:rFonts w:hint="eastAsia" w:ascii="仿宋" w:hAnsi="仿宋" w:eastAsia="仿宋"/>
                <w:sz w:val="24"/>
                <w:szCs w:val="24"/>
              </w:rPr>
              <w:t>股权质押比例减分项分值=MAX(控股股东股权质押比例得分，两融账户担保证券市值与质押股份市值之和占总市值比例得分)</w:t>
            </w:r>
          </w:p>
        </w:tc>
      </w:tr>
    </w:tbl>
    <w:p>
      <w:pPr>
        <w:rPr>
          <w:rFonts w:ascii="仿宋" w:hAnsi="仿宋" w:eastAsia="仿宋"/>
          <w:sz w:val="28"/>
        </w:rPr>
      </w:pPr>
      <w:r>
        <w:rPr>
          <w:rFonts w:hint="eastAsia" w:ascii="仿宋" w:hAnsi="仿宋" w:eastAsia="仿宋"/>
          <w:sz w:val="28"/>
          <w:highlight w:val="yellow"/>
        </w:rPr>
        <w:t>注册制股票评分指标明细</w:t>
      </w:r>
      <w:r>
        <w:rPr>
          <w:rFonts w:hint="eastAsia" w:ascii="仿宋" w:hAnsi="仿宋" w:eastAsia="仿宋"/>
          <w:sz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56"/>
        <w:gridCol w:w="1773"/>
        <w:gridCol w:w="2878"/>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31" w:hRule="atLeast"/>
        </w:trPr>
        <w:tc>
          <w:tcPr>
            <w:tcW w:w="2829" w:type="dxa"/>
            <w:gridSpan w:val="2"/>
            <w:shd w:val="clear" w:color="auto" w:fill="8496B0" w:themeFill="text2" w:themeFillTint="99"/>
            <w:tcMar>
              <w:top w:w="15" w:type="dxa"/>
              <w:left w:w="108" w:type="dxa"/>
              <w:bottom w:w="0" w:type="dxa"/>
              <w:right w:w="108" w:type="dxa"/>
            </w:tcMar>
            <w:vAlign w:val="center"/>
          </w:tcPr>
          <w:p>
            <w:pPr>
              <w:widowControl/>
              <w:jc w:val="center"/>
              <w:rPr>
                <w:rFonts w:ascii="仿宋" w:hAnsi="仿宋" w:eastAsia="仿宋" w:cs="Arial"/>
                <w:b/>
                <w:color w:val="FFFFFF" w:themeColor="background1"/>
                <w:kern w:val="0"/>
                <w:sz w:val="24"/>
                <w:szCs w:val="24"/>
                <w14:textFill>
                  <w14:solidFill>
                    <w14:schemeClr w14:val="bg1"/>
                  </w14:solidFill>
                </w14:textFill>
              </w:rPr>
            </w:pPr>
            <w:r>
              <w:rPr>
                <w:rFonts w:ascii="仿宋" w:hAnsi="仿宋" w:eastAsia="仿宋" w:cs="Arial"/>
                <w:b/>
                <w:color w:val="FFFFFF" w:themeColor="background1"/>
                <w:kern w:val="0"/>
                <w:sz w:val="24"/>
                <w:szCs w:val="24"/>
                <w14:textFill>
                  <w14:solidFill>
                    <w14:schemeClr w14:val="bg1"/>
                  </w14:solidFill>
                </w14:textFill>
              </w:rPr>
              <w:t>评价指标与权重</w:t>
            </w:r>
          </w:p>
        </w:tc>
        <w:tc>
          <w:tcPr>
            <w:tcW w:w="2878" w:type="dxa"/>
            <w:shd w:val="clear" w:color="auto" w:fill="8496B0" w:themeFill="text2" w:themeFillTint="99"/>
            <w:tcMar>
              <w:top w:w="15" w:type="dxa"/>
              <w:left w:w="108" w:type="dxa"/>
              <w:bottom w:w="0" w:type="dxa"/>
              <w:right w:w="108" w:type="dxa"/>
            </w:tcMar>
            <w:vAlign w:val="center"/>
          </w:tcPr>
          <w:p>
            <w:pPr>
              <w:widowControl/>
              <w:jc w:val="center"/>
              <w:rPr>
                <w:rFonts w:ascii="仿宋" w:hAnsi="仿宋" w:eastAsia="仿宋" w:cs="Arial"/>
                <w:b/>
                <w:color w:val="FFFFFF" w:themeColor="background1"/>
                <w:kern w:val="0"/>
                <w:sz w:val="24"/>
                <w:szCs w:val="24"/>
                <w14:textFill>
                  <w14:solidFill>
                    <w14:schemeClr w14:val="bg1"/>
                  </w14:solidFill>
                </w14:textFill>
              </w:rPr>
            </w:pPr>
            <w:r>
              <w:rPr>
                <w:rFonts w:ascii="仿宋" w:hAnsi="仿宋" w:eastAsia="仿宋" w:cs="Arial"/>
                <w:b/>
                <w:color w:val="FFFFFF" w:themeColor="background1"/>
                <w:kern w:val="0"/>
                <w:sz w:val="24"/>
                <w:szCs w:val="24"/>
                <w14:textFill>
                  <w14:solidFill>
                    <w14:schemeClr w14:val="bg1"/>
                  </w14:solidFill>
                </w14:textFill>
              </w:rPr>
              <w:t>数值范围与得分</w:t>
            </w:r>
          </w:p>
          <w:p>
            <w:pPr>
              <w:widowControl/>
              <w:jc w:val="center"/>
              <w:rPr>
                <w:rFonts w:ascii="仿宋" w:hAnsi="仿宋" w:eastAsia="仿宋" w:cs="Arial"/>
                <w:b/>
                <w:color w:val="FFFFFF" w:themeColor="background1"/>
                <w:kern w:val="0"/>
                <w:sz w:val="24"/>
                <w:szCs w:val="24"/>
                <w14:textFill>
                  <w14:solidFill>
                    <w14:schemeClr w14:val="bg1"/>
                  </w14:solidFill>
                </w14:textFill>
              </w:rPr>
            </w:pPr>
            <w:r>
              <w:rPr>
                <w:rFonts w:hint="eastAsia" w:ascii="仿宋" w:hAnsi="仿宋" w:eastAsia="仿宋" w:cs="Times New Roman"/>
                <w:b/>
                <w:color w:val="FFFFFF" w:themeColor="background1"/>
                <w:kern w:val="0"/>
                <w:sz w:val="24"/>
                <w:szCs w:val="24"/>
                <w14:textFill>
                  <w14:solidFill>
                    <w14:schemeClr w14:val="bg1"/>
                  </w14:solidFill>
                </w14:textFill>
              </w:rPr>
              <w:t>（调整后）</w:t>
            </w:r>
          </w:p>
        </w:tc>
        <w:tc>
          <w:tcPr>
            <w:tcW w:w="2589" w:type="dxa"/>
            <w:shd w:val="clear" w:color="auto" w:fill="8496B0" w:themeFill="text2" w:themeFillTint="99"/>
          </w:tcPr>
          <w:p>
            <w:pPr>
              <w:widowControl/>
              <w:jc w:val="center"/>
              <w:rPr>
                <w:rFonts w:ascii="仿宋" w:hAnsi="仿宋" w:eastAsia="仿宋" w:cs="Arial"/>
                <w:b/>
                <w:color w:val="FFFFFF" w:themeColor="background1"/>
                <w:kern w:val="0"/>
                <w:sz w:val="24"/>
                <w:szCs w:val="24"/>
                <w14:textFill>
                  <w14:solidFill>
                    <w14:schemeClr w14:val="bg1"/>
                  </w14:solidFill>
                </w14:textFill>
              </w:rPr>
            </w:pPr>
            <w:r>
              <w:rPr>
                <w:rFonts w:hint="eastAsia" w:ascii="仿宋" w:hAnsi="仿宋" w:eastAsia="仿宋" w:cs="Arial"/>
                <w:b/>
                <w:color w:val="FFFFFF" w:themeColor="background1"/>
                <w:kern w:val="0"/>
                <w:sz w:val="24"/>
                <w:szCs w:val="24"/>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87" w:hRule="atLeast"/>
        </w:trPr>
        <w:tc>
          <w:tcPr>
            <w:tcW w:w="1056" w:type="dxa"/>
            <w:vMerge w:val="restart"/>
            <w:shd w:val="clear" w:color="auto" w:fill="auto"/>
            <w:tcMar>
              <w:top w:w="15" w:type="dxa"/>
              <w:left w:w="108" w:type="dxa"/>
              <w:bottom w:w="0" w:type="dxa"/>
              <w:right w:w="108" w:type="dxa"/>
            </w:tcMar>
            <w:vAlign w:val="center"/>
          </w:tcPr>
          <w:p>
            <w:pPr>
              <w:widowControl/>
              <w:jc w:val="center"/>
              <w:rPr>
                <w:rFonts w:ascii="仿宋" w:hAnsi="仿宋" w:eastAsia="仿宋" w:cs="Arial"/>
                <w:kern w:val="0"/>
                <w:sz w:val="24"/>
                <w:szCs w:val="24"/>
              </w:rPr>
            </w:pPr>
            <w:r>
              <w:rPr>
                <w:rFonts w:ascii="仿宋" w:hAnsi="仿宋" w:eastAsia="仿宋" w:cs="Arial"/>
                <w:kern w:val="0"/>
                <w:sz w:val="24"/>
                <w:szCs w:val="24"/>
              </w:rPr>
              <w:t>估值水平</w:t>
            </w:r>
          </w:p>
          <w:p>
            <w:pPr>
              <w:widowControl/>
              <w:jc w:val="center"/>
              <w:rPr>
                <w:rFonts w:ascii="仿宋" w:hAnsi="仿宋" w:eastAsia="仿宋" w:cs="Arial"/>
                <w:kern w:val="0"/>
                <w:sz w:val="24"/>
                <w:szCs w:val="24"/>
              </w:rPr>
            </w:pPr>
            <w:r>
              <w:rPr>
                <w:rFonts w:ascii="仿宋" w:hAnsi="仿宋" w:eastAsia="仿宋" w:cs="Arial"/>
                <w:kern w:val="0"/>
                <w:sz w:val="24"/>
                <w:szCs w:val="24"/>
              </w:rPr>
              <w:t>（</w:t>
            </w:r>
            <w:r>
              <w:rPr>
                <w:rFonts w:hint="eastAsia" w:ascii="仿宋" w:hAnsi="仿宋" w:eastAsia="仿宋" w:cs="Arial"/>
                <w:kern w:val="0"/>
                <w:sz w:val="24"/>
                <w:szCs w:val="24"/>
              </w:rPr>
              <w:t>35%</w:t>
            </w:r>
            <w:r>
              <w:rPr>
                <w:rFonts w:ascii="仿宋" w:hAnsi="仿宋" w:eastAsia="仿宋" w:cs="Arial"/>
                <w:kern w:val="0"/>
                <w:sz w:val="24"/>
                <w:szCs w:val="24"/>
              </w:rPr>
              <w:t>）</w:t>
            </w:r>
          </w:p>
          <w:p>
            <w:pPr>
              <w:widowControl/>
              <w:jc w:val="center"/>
              <w:rPr>
                <w:rFonts w:ascii="仿宋" w:hAnsi="仿宋" w:eastAsia="仿宋" w:cs="Arial"/>
                <w:kern w:val="0"/>
                <w:sz w:val="24"/>
                <w:szCs w:val="24"/>
              </w:rPr>
            </w:pPr>
            <w:r>
              <w:rPr>
                <w:rFonts w:hint="eastAsia" w:ascii="仿宋" w:hAnsi="仿宋" w:eastAsia="仿宋"/>
                <w:color w:val="FF0000"/>
                <w:sz w:val="24"/>
                <w:szCs w:val="24"/>
              </w:rPr>
              <w:t>）</w:t>
            </w: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kern w:val="0"/>
                <w:sz w:val="24"/>
                <w:szCs w:val="24"/>
              </w:rPr>
              <w:t>市销率</w:t>
            </w:r>
          </w:p>
          <w:p>
            <w:pPr>
              <w:widowControl/>
              <w:snapToGrid w:val="0"/>
              <w:jc w:val="center"/>
              <w:rPr>
                <w:rFonts w:ascii="仿宋" w:hAnsi="仿宋" w:eastAsia="仿宋" w:cs="Arial"/>
                <w:kern w:val="0"/>
                <w:sz w:val="24"/>
                <w:szCs w:val="24"/>
              </w:rPr>
            </w:pPr>
            <w:r>
              <w:rPr>
                <w:rFonts w:ascii="仿宋" w:hAnsi="仿宋" w:eastAsia="仿宋" w:cs="Arial"/>
                <w:kern w:val="0"/>
                <w:sz w:val="24"/>
                <w:szCs w:val="24"/>
              </w:rPr>
              <w:t>（</w:t>
            </w:r>
            <w:r>
              <w:rPr>
                <w:rFonts w:hint="eastAsia" w:ascii="仿宋" w:hAnsi="仿宋" w:eastAsia="仿宋" w:cs="Arial"/>
                <w:kern w:val="0"/>
                <w:sz w:val="24"/>
                <w:szCs w:val="24"/>
              </w:rPr>
              <w:t>15%</w:t>
            </w:r>
            <w:r>
              <w:rPr>
                <w:rFonts w:ascii="仿宋" w:hAnsi="仿宋" w:eastAsia="仿宋" w:cs="Arial"/>
                <w:kern w:val="0"/>
                <w:sz w:val="24"/>
                <w:szCs w:val="24"/>
              </w:rPr>
              <w:t>）</w:t>
            </w:r>
          </w:p>
        </w:tc>
        <w:tc>
          <w:tcPr>
            <w:tcW w:w="2878" w:type="dxa"/>
            <w:vMerge w:val="restart"/>
            <w:shd w:val="clear" w:color="auto" w:fill="auto"/>
            <w:tcMar>
              <w:top w:w="15" w:type="dxa"/>
              <w:left w:w="108" w:type="dxa"/>
              <w:bottom w:w="0" w:type="dxa"/>
              <w:right w:w="108" w:type="dxa"/>
            </w:tcMar>
            <w:vAlign w:val="center"/>
          </w:tcPr>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10%</w:t>
            </w:r>
            <w:r>
              <w:rPr>
                <w:rFonts w:ascii="仿宋" w:hAnsi="仿宋" w:eastAsia="仿宋" w:cs="Arial"/>
                <w:kern w:val="0"/>
                <w:sz w:val="24"/>
                <w:szCs w:val="24"/>
              </w:rPr>
              <w:t>的个股（</w:t>
            </w:r>
            <w:r>
              <w:rPr>
                <w:rFonts w:hint="eastAsia" w:ascii="仿宋" w:hAnsi="仿宋" w:eastAsia="仿宋" w:cs="Arial"/>
                <w:kern w:val="0"/>
                <w:sz w:val="24"/>
                <w:szCs w:val="24"/>
              </w:rPr>
              <w:t>100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10%-20%</w:t>
            </w:r>
            <w:r>
              <w:rPr>
                <w:rFonts w:ascii="仿宋" w:hAnsi="仿宋" w:eastAsia="仿宋" w:cs="Arial"/>
                <w:kern w:val="0"/>
                <w:sz w:val="24"/>
                <w:szCs w:val="24"/>
              </w:rPr>
              <w:t>的个股（</w:t>
            </w:r>
            <w:r>
              <w:rPr>
                <w:rFonts w:hint="eastAsia" w:ascii="仿宋" w:hAnsi="仿宋" w:eastAsia="仿宋" w:cs="Arial"/>
                <w:kern w:val="0"/>
                <w:sz w:val="24"/>
                <w:szCs w:val="24"/>
              </w:rPr>
              <w:t>90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20%-30%</w:t>
            </w:r>
            <w:r>
              <w:rPr>
                <w:rFonts w:ascii="仿宋" w:hAnsi="仿宋" w:eastAsia="仿宋" w:cs="Arial"/>
                <w:kern w:val="0"/>
                <w:sz w:val="24"/>
                <w:szCs w:val="24"/>
              </w:rPr>
              <w:t>的个股（</w:t>
            </w:r>
            <w:r>
              <w:rPr>
                <w:rFonts w:hint="eastAsia" w:ascii="仿宋" w:hAnsi="仿宋" w:eastAsia="仿宋" w:cs="Arial"/>
                <w:kern w:val="0"/>
                <w:sz w:val="24"/>
                <w:szCs w:val="24"/>
              </w:rPr>
              <w:t>80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30%-40%</w:t>
            </w:r>
            <w:r>
              <w:rPr>
                <w:rFonts w:ascii="仿宋" w:hAnsi="仿宋" w:eastAsia="仿宋" w:cs="Arial"/>
                <w:kern w:val="0"/>
                <w:sz w:val="24"/>
                <w:szCs w:val="24"/>
              </w:rPr>
              <w:t>的个股（</w:t>
            </w:r>
            <w:r>
              <w:rPr>
                <w:rFonts w:hint="eastAsia" w:ascii="仿宋" w:hAnsi="仿宋" w:eastAsia="仿宋" w:cs="Arial"/>
                <w:kern w:val="0"/>
                <w:sz w:val="24"/>
                <w:szCs w:val="24"/>
              </w:rPr>
              <w:t>70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40%-50%</w:t>
            </w:r>
            <w:r>
              <w:rPr>
                <w:rFonts w:ascii="仿宋" w:hAnsi="仿宋" w:eastAsia="仿宋" w:cs="Arial"/>
                <w:kern w:val="0"/>
                <w:sz w:val="24"/>
                <w:szCs w:val="24"/>
              </w:rPr>
              <w:t>的个股（</w:t>
            </w:r>
            <w:r>
              <w:rPr>
                <w:rFonts w:hint="eastAsia" w:ascii="仿宋" w:hAnsi="仿宋" w:eastAsia="仿宋" w:cs="Arial"/>
                <w:kern w:val="0"/>
                <w:sz w:val="24"/>
                <w:szCs w:val="24"/>
              </w:rPr>
              <w:t>60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50%-60%</w:t>
            </w:r>
            <w:r>
              <w:rPr>
                <w:rFonts w:ascii="仿宋" w:hAnsi="仿宋" w:eastAsia="仿宋" w:cs="Arial"/>
                <w:kern w:val="0"/>
                <w:sz w:val="24"/>
                <w:szCs w:val="24"/>
              </w:rPr>
              <w:t>的个股（</w:t>
            </w:r>
            <w:r>
              <w:rPr>
                <w:rFonts w:hint="eastAsia" w:ascii="仿宋" w:hAnsi="仿宋" w:eastAsia="仿宋" w:cs="Arial"/>
                <w:kern w:val="0"/>
                <w:sz w:val="24"/>
                <w:szCs w:val="24"/>
              </w:rPr>
              <w:t>50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60%-70%</w:t>
            </w:r>
            <w:r>
              <w:rPr>
                <w:rFonts w:ascii="仿宋" w:hAnsi="仿宋" w:eastAsia="仿宋" w:cs="Arial"/>
                <w:kern w:val="0"/>
                <w:sz w:val="24"/>
                <w:szCs w:val="24"/>
              </w:rPr>
              <w:t>的个股（</w:t>
            </w:r>
            <w:r>
              <w:rPr>
                <w:rFonts w:hint="eastAsia" w:ascii="仿宋" w:hAnsi="仿宋" w:eastAsia="仿宋" w:cs="Arial"/>
                <w:kern w:val="0"/>
                <w:sz w:val="24"/>
                <w:szCs w:val="24"/>
              </w:rPr>
              <w:t>40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70%-80%</w:t>
            </w:r>
            <w:r>
              <w:rPr>
                <w:rFonts w:ascii="仿宋" w:hAnsi="仿宋" w:eastAsia="仿宋" w:cs="Arial"/>
                <w:kern w:val="0"/>
                <w:sz w:val="24"/>
                <w:szCs w:val="24"/>
              </w:rPr>
              <w:t>的个股（</w:t>
            </w:r>
            <w:r>
              <w:rPr>
                <w:rFonts w:hint="eastAsia" w:ascii="仿宋" w:hAnsi="仿宋" w:eastAsia="仿宋" w:cs="Arial"/>
                <w:kern w:val="0"/>
                <w:sz w:val="24"/>
                <w:szCs w:val="24"/>
              </w:rPr>
              <w:t>30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80%-90%</w:t>
            </w:r>
            <w:r>
              <w:rPr>
                <w:rFonts w:ascii="仿宋" w:hAnsi="仿宋" w:eastAsia="仿宋" w:cs="Arial"/>
                <w:kern w:val="0"/>
                <w:sz w:val="24"/>
                <w:szCs w:val="24"/>
              </w:rPr>
              <w:t>的个股（</w:t>
            </w:r>
            <w:r>
              <w:rPr>
                <w:rFonts w:hint="eastAsia" w:ascii="仿宋" w:hAnsi="仿宋" w:eastAsia="仿宋" w:cs="Arial"/>
                <w:kern w:val="0"/>
                <w:sz w:val="24"/>
                <w:szCs w:val="24"/>
              </w:rPr>
              <w:t>20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在股票池中按升序排名前</w:t>
            </w:r>
            <w:r>
              <w:rPr>
                <w:rFonts w:hint="eastAsia" w:ascii="仿宋" w:hAnsi="仿宋" w:eastAsia="仿宋" w:cs="Arial"/>
                <w:kern w:val="0"/>
                <w:sz w:val="24"/>
                <w:szCs w:val="24"/>
              </w:rPr>
              <w:t>90%</w:t>
            </w:r>
            <w:r>
              <w:rPr>
                <w:rFonts w:ascii="仿宋" w:hAnsi="仿宋" w:eastAsia="仿宋" w:cs="Arial"/>
                <w:kern w:val="0"/>
                <w:sz w:val="24"/>
                <w:szCs w:val="24"/>
              </w:rPr>
              <w:t>以后的个股（</w:t>
            </w:r>
            <w:r>
              <w:rPr>
                <w:rFonts w:hint="eastAsia" w:ascii="仿宋" w:hAnsi="仿宋" w:eastAsia="仿宋" w:cs="Arial"/>
                <w:kern w:val="0"/>
                <w:sz w:val="24"/>
                <w:szCs w:val="24"/>
              </w:rPr>
              <w:t>10</w:t>
            </w:r>
            <w:r>
              <w:rPr>
                <w:rFonts w:ascii="仿宋" w:hAnsi="仿宋" w:eastAsia="仿宋" w:cs="Arial"/>
                <w:kern w:val="0"/>
                <w:sz w:val="24"/>
                <w:szCs w:val="24"/>
              </w:rPr>
              <w:t>分）</w:t>
            </w:r>
          </w:p>
        </w:tc>
        <w:tc>
          <w:tcPr>
            <w:tcW w:w="2589" w:type="dxa"/>
          </w:tcPr>
          <w:p>
            <w:pPr>
              <w:widowControl/>
              <w:rPr>
                <w:rFonts w:ascii="仿宋" w:hAnsi="仿宋" w:eastAsia="仿宋" w:cs="Arial"/>
                <w:kern w:val="0"/>
                <w:sz w:val="24"/>
                <w:szCs w:val="24"/>
              </w:rPr>
            </w:pPr>
            <w:r>
              <w:rPr>
                <w:rFonts w:hint="eastAsia" w:ascii="仿宋" w:hAnsi="仿宋" w:eastAsia="仿宋"/>
                <w:color w:val="FF0000"/>
                <w:sz w:val="24"/>
                <w:szCs w:val="24"/>
              </w:rPr>
              <w:t>（最新交易日期）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87"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kern w:val="0"/>
                <w:sz w:val="24"/>
                <w:szCs w:val="24"/>
              </w:rPr>
              <w:t>市盈率</w:t>
            </w:r>
            <w:r>
              <w:rPr>
                <w:rFonts w:hint="eastAsia" w:ascii="仿宋" w:hAnsi="仿宋" w:eastAsia="仿宋" w:cs="Arial"/>
                <w:kern w:val="0"/>
                <w:sz w:val="24"/>
                <w:szCs w:val="24"/>
              </w:rPr>
              <w:t>PE</w:t>
            </w:r>
            <w:r>
              <w:rPr>
                <w:rFonts w:ascii="仿宋" w:hAnsi="仿宋" w:eastAsia="仿宋" w:cs="Arial"/>
                <w:kern w:val="0"/>
                <w:sz w:val="24"/>
                <w:szCs w:val="24"/>
              </w:rPr>
              <w:t>（</w:t>
            </w:r>
            <w:r>
              <w:rPr>
                <w:rFonts w:hint="eastAsia" w:ascii="仿宋" w:hAnsi="仿宋" w:eastAsia="仿宋" w:cs="Arial"/>
                <w:kern w:val="0"/>
                <w:sz w:val="24"/>
                <w:szCs w:val="24"/>
              </w:rPr>
              <w:t>10%</w:t>
            </w:r>
            <w:r>
              <w:rPr>
                <w:rFonts w:ascii="仿宋" w:hAnsi="仿宋" w:eastAsia="仿宋" w:cs="Arial"/>
                <w:kern w:val="0"/>
                <w:sz w:val="24"/>
                <w:szCs w:val="24"/>
              </w:rPr>
              <w:t>）</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（最新交易日期）</w:t>
            </w:r>
            <w:r>
              <w:comment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77"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kern w:val="0"/>
                <w:sz w:val="24"/>
                <w:szCs w:val="24"/>
              </w:rPr>
              <w:t>市净率</w:t>
            </w:r>
          </w:p>
          <w:p>
            <w:pPr>
              <w:widowControl/>
              <w:snapToGrid w:val="0"/>
              <w:jc w:val="center"/>
              <w:rPr>
                <w:rFonts w:ascii="仿宋" w:hAnsi="仿宋" w:eastAsia="仿宋" w:cs="Arial"/>
                <w:kern w:val="0"/>
                <w:sz w:val="24"/>
                <w:szCs w:val="24"/>
              </w:rPr>
            </w:pPr>
            <w:r>
              <w:rPr>
                <w:rFonts w:ascii="仿宋" w:hAnsi="仿宋" w:eastAsia="仿宋" w:cs="Arial"/>
                <w:kern w:val="0"/>
                <w:sz w:val="24"/>
                <w:szCs w:val="24"/>
              </w:rPr>
              <w:t>（</w:t>
            </w:r>
            <w:r>
              <w:rPr>
                <w:rFonts w:hint="eastAsia" w:ascii="仿宋" w:hAnsi="仿宋" w:eastAsia="仿宋" w:cs="Arial"/>
                <w:kern w:val="0"/>
                <w:sz w:val="24"/>
                <w:szCs w:val="24"/>
              </w:rPr>
              <w:t>10%</w:t>
            </w:r>
            <w:r>
              <w:rPr>
                <w:rFonts w:ascii="仿宋" w:hAnsi="仿宋" w:eastAsia="仿宋" w:cs="Arial"/>
                <w:kern w:val="0"/>
                <w:sz w:val="24"/>
                <w:szCs w:val="24"/>
              </w:rPr>
              <w:t>）</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（最新交易日期）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56" w:type="dxa"/>
            <w:vMerge w:val="restart"/>
            <w:shd w:val="clear" w:color="auto" w:fill="auto"/>
            <w:tcMar>
              <w:top w:w="15" w:type="dxa"/>
              <w:left w:w="108" w:type="dxa"/>
              <w:bottom w:w="0" w:type="dxa"/>
              <w:right w:w="108" w:type="dxa"/>
            </w:tcMar>
            <w:vAlign w:val="center"/>
          </w:tcPr>
          <w:p>
            <w:pPr>
              <w:widowControl/>
              <w:jc w:val="center"/>
              <w:rPr>
                <w:rFonts w:ascii="仿宋" w:hAnsi="仿宋" w:eastAsia="仿宋" w:cs="Arial"/>
                <w:kern w:val="0"/>
                <w:sz w:val="24"/>
                <w:szCs w:val="24"/>
              </w:rPr>
            </w:pPr>
            <w:r>
              <w:rPr>
                <w:rFonts w:ascii="仿宋" w:hAnsi="仿宋" w:eastAsia="仿宋" w:cs="Arial"/>
                <w:kern w:val="0"/>
                <w:sz w:val="24"/>
                <w:szCs w:val="24"/>
              </w:rPr>
              <w:t>流动性水平</w:t>
            </w:r>
          </w:p>
          <w:p>
            <w:pPr>
              <w:widowControl/>
              <w:jc w:val="center"/>
              <w:rPr>
                <w:rFonts w:ascii="仿宋" w:hAnsi="仿宋" w:eastAsia="仿宋" w:cs="Arial"/>
                <w:kern w:val="0"/>
                <w:sz w:val="24"/>
                <w:szCs w:val="24"/>
              </w:rPr>
            </w:pPr>
            <w:r>
              <w:rPr>
                <w:rFonts w:ascii="仿宋" w:hAnsi="仿宋" w:eastAsia="仿宋" w:cs="Arial"/>
                <w:kern w:val="0"/>
                <w:sz w:val="24"/>
                <w:szCs w:val="24"/>
              </w:rPr>
              <w:t>（</w:t>
            </w:r>
            <w:r>
              <w:rPr>
                <w:rFonts w:hint="eastAsia" w:ascii="仿宋" w:hAnsi="仿宋" w:eastAsia="仿宋" w:cs="Arial"/>
                <w:kern w:val="0"/>
                <w:sz w:val="24"/>
                <w:szCs w:val="24"/>
              </w:rPr>
              <w:t>15%</w:t>
            </w:r>
            <w:r>
              <w:rPr>
                <w:rFonts w:ascii="仿宋" w:hAnsi="仿宋" w:eastAsia="仿宋" w:cs="Arial"/>
                <w:kern w:val="0"/>
                <w:sz w:val="24"/>
                <w:szCs w:val="24"/>
              </w:rPr>
              <w:t>）</w:t>
            </w:r>
          </w:p>
          <w:p>
            <w:pPr>
              <w:widowControl/>
              <w:jc w:val="center"/>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kern w:val="0"/>
                <w:sz w:val="24"/>
                <w:szCs w:val="24"/>
              </w:rPr>
              <w:t>日均成交额（</w:t>
            </w:r>
            <w:r>
              <w:rPr>
                <w:rFonts w:hint="eastAsia" w:ascii="仿宋" w:hAnsi="仿宋" w:eastAsia="仿宋" w:cs="Arial"/>
                <w:kern w:val="0"/>
                <w:sz w:val="24"/>
                <w:szCs w:val="24"/>
              </w:rPr>
              <w:t>5%)</w:t>
            </w:r>
          </w:p>
        </w:tc>
        <w:tc>
          <w:tcPr>
            <w:tcW w:w="2878" w:type="dxa"/>
            <w:vMerge w:val="restart"/>
            <w:shd w:val="clear" w:color="auto" w:fill="auto"/>
            <w:tcMar>
              <w:top w:w="15" w:type="dxa"/>
              <w:left w:w="108" w:type="dxa"/>
              <w:bottom w:w="0" w:type="dxa"/>
              <w:right w:w="108" w:type="dxa"/>
            </w:tcMar>
            <w:vAlign w:val="center"/>
          </w:tcPr>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10%</w:t>
            </w:r>
            <w:r>
              <w:rPr>
                <w:rFonts w:ascii="仿宋" w:hAnsi="仿宋" w:eastAsia="仿宋" w:cs="Arial"/>
                <w:kern w:val="0"/>
                <w:sz w:val="24"/>
                <w:szCs w:val="24"/>
              </w:rPr>
              <w:t>的个股（</w:t>
            </w:r>
            <w:r>
              <w:rPr>
                <w:rFonts w:hint="eastAsia" w:ascii="仿宋" w:hAnsi="仿宋" w:eastAsia="仿宋" w:cs="Arial"/>
                <w:kern w:val="0"/>
                <w:sz w:val="24"/>
                <w:szCs w:val="24"/>
              </w:rPr>
              <w:t>100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10%-20%</w:t>
            </w:r>
            <w:r>
              <w:rPr>
                <w:rFonts w:ascii="仿宋" w:hAnsi="仿宋" w:eastAsia="仿宋" w:cs="Arial"/>
                <w:kern w:val="0"/>
                <w:sz w:val="24"/>
                <w:szCs w:val="24"/>
              </w:rPr>
              <w:t>的个股（</w:t>
            </w:r>
            <w:r>
              <w:rPr>
                <w:rFonts w:hint="eastAsia" w:ascii="仿宋" w:hAnsi="仿宋" w:eastAsia="仿宋" w:cs="Arial"/>
                <w:kern w:val="0"/>
                <w:sz w:val="24"/>
                <w:szCs w:val="24"/>
              </w:rPr>
              <w:t>90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20%-30%</w:t>
            </w:r>
            <w:r>
              <w:rPr>
                <w:rFonts w:ascii="仿宋" w:hAnsi="仿宋" w:eastAsia="仿宋" w:cs="Arial"/>
                <w:kern w:val="0"/>
                <w:sz w:val="24"/>
                <w:szCs w:val="24"/>
              </w:rPr>
              <w:t>的个股（</w:t>
            </w:r>
            <w:r>
              <w:rPr>
                <w:rFonts w:hint="eastAsia" w:ascii="仿宋" w:hAnsi="仿宋" w:eastAsia="仿宋" w:cs="Arial"/>
                <w:kern w:val="0"/>
                <w:sz w:val="24"/>
                <w:szCs w:val="24"/>
              </w:rPr>
              <w:t>80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30%-40%</w:t>
            </w:r>
            <w:r>
              <w:rPr>
                <w:rFonts w:ascii="仿宋" w:hAnsi="仿宋" w:eastAsia="仿宋" w:cs="Arial"/>
                <w:kern w:val="0"/>
                <w:sz w:val="24"/>
                <w:szCs w:val="24"/>
              </w:rPr>
              <w:t>的个股（</w:t>
            </w:r>
            <w:r>
              <w:rPr>
                <w:rFonts w:hint="eastAsia" w:ascii="仿宋" w:hAnsi="仿宋" w:eastAsia="仿宋" w:cs="Arial"/>
                <w:kern w:val="0"/>
                <w:sz w:val="24"/>
                <w:szCs w:val="24"/>
              </w:rPr>
              <w:t>70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40%-50%</w:t>
            </w:r>
            <w:r>
              <w:rPr>
                <w:rFonts w:ascii="仿宋" w:hAnsi="仿宋" w:eastAsia="仿宋" w:cs="Arial"/>
                <w:kern w:val="0"/>
                <w:sz w:val="24"/>
                <w:szCs w:val="24"/>
              </w:rPr>
              <w:t>的个股（</w:t>
            </w:r>
            <w:r>
              <w:rPr>
                <w:rFonts w:hint="eastAsia" w:ascii="仿宋" w:hAnsi="仿宋" w:eastAsia="仿宋" w:cs="Arial"/>
                <w:kern w:val="0"/>
                <w:sz w:val="24"/>
                <w:szCs w:val="24"/>
              </w:rPr>
              <w:t>60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50%-60%</w:t>
            </w:r>
            <w:r>
              <w:rPr>
                <w:rFonts w:ascii="仿宋" w:hAnsi="仿宋" w:eastAsia="仿宋" w:cs="Arial"/>
                <w:kern w:val="0"/>
                <w:sz w:val="24"/>
                <w:szCs w:val="24"/>
              </w:rPr>
              <w:t>的个股（</w:t>
            </w:r>
            <w:r>
              <w:rPr>
                <w:rFonts w:hint="eastAsia" w:ascii="仿宋" w:hAnsi="仿宋" w:eastAsia="仿宋" w:cs="Arial"/>
                <w:kern w:val="0"/>
                <w:sz w:val="24"/>
                <w:szCs w:val="24"/>
              </w:rPr>
              <w:t>50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60%-70%</w:t>
            </w:r>
            <w:r>
              <w:rPr>
                <w:rFonts w:ascii="仿宋" w:hAnsi="仿宋" w:eastAsia="仿宋" w:cs="Arial"/>
                <w:kern w:val="0"/>
                <w:sz w:val="24"/>
                <w:szCs w:val="24"/>
              </w:rPr>
              <w:t>的个股（</w:t>
            </w:r>
            <w:r>
              <w:rPr>
                <w:rFonts w:hint="eastAsia" w:ascii="仿宋" w:hAnsi="仿宋" w:eastAsia="仿宋" w:cs="Arial"/>
                <w:kern w:val="0"/>
                <w:sz w:val="24"/>
                <w:szCs w:val="24"/>
              </w:rPr>
              <w:t>40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70%-80%</w:t>
            </w:r>
            <w:r>
              <w:rPr>
                <w:rFonts w:ascii="仿宋" w:hAnsi="仿宋" w:eastAsia="仿宋" w:cs="Arial"/>
                <w:kern w:val="0"/>
                <w:sz w:val="24"/>
                <w:szCs w:val="24"/>
              </w:rPr>
              <w:t>的个股（</w:t>
            </w:r>
            <w:r>
              <w:rPr>
                <w:rFonts w:hint="eastAsia" w:ascii="仿宋" w:hAnsi="仿宋" w:eastAsia="仿宋" w:cs="Arial"/>
                <w:kern w:val="0"/>
                <w:sz w:val="24"/>
                <w:szCs w:val="24"/>
              </w:rPr>
              <w:t>30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80%-90%</w:t>
            </w:r>
            <w:r>
              <w:rPr>
                <w:rFonts w:ascii="仿宋" w:hAnsi="仿宋" w:eastAsia="仿宋" w:cs="Arial"/>
                <w:kern w:val="0"/>
                <w:sz w:val="24"/>
                <w:szCs w:val="24"/>
              </w:rPr>
              <w:t>的个股（</w:t>
            </w:r>
            <w:r>
              <w:rPr>
                <w:rFonts w:hint="eastAsia" w:ascii="仿宋" w:hAnsi="仿宋" w:eastAsia="仿宋" w:cs="Arial"/>
                <w:kern w:val="0"/>
                <w:sz w:val="24"/>
                <w:szCs w:val="24"/>
              </w:rPr>
              <w:t>20</w:t>
            </w:r>
            <w:r>
              <w:rPr>
                <w:rFonts w:ascii="仿宋" w:hAnsi="仿宋" w:eastAsia="仿宋" w:cs="Arial"/>
                <w:kern w:val="0"/>
                <w:sz w:val="24"/>
                <w:szCs w:val="24"/>
              </w:rPr>
              <w:t>分）</w:t>
            </w:r>
          </w:p>
          <w:p>
            <w:pPr>
              <w:widowControl/>
              <w:rPr>
                <w:rFonts w:ascii="仿宋" w:hAnsi="仿宋" w:eastAsia="仿宋" w:cs="Arial"/>
                <w:kern w:val="0"/>
                <w:sz w:val="24"/>
                <w:szCs w:val="24"/>
              </w:rPr>
            </w:pPr>
            <w:r>
              <w:rPr>
                <w:rFonts w:ascii="仿宋" w:hAnsi="仿宋" w:eastAsia="仿宋" w:cs="Arial"/>
                <w:kern w:val="0"/>
                <w:sz w:val="24"/>
                <w:szCs w:val="24"/>
              </w:rPr>
              <w:t>在股票池中按降序排名前</w:t>
            </w:r>
            <w:r>
              <w:rPr>
                <w:rFonts w:hint="eastAsia" w:ascii="仿宋" w:hAnsi="仿宋" w:eastAsia="仿宋" w:cs="Arial"/>
                <w:kern w:val="0"/>
                <w:sz w:val="24"/>
                <w:szCs w:val="24"/>
              </w:rPr>
              <w:t>90%</w:t>
            </w:r>
            <w:r>
              <w:rPr>
                <w:rFonts w:ascii="仿宋" w:hAnsi="仿宋" w:eastAsia="仿宋" w:cs="Arial"/>
                <w:kern w:val="0"/>
                <w:sz w:val="24"/>
                <w:szCs w:val="24"/>
              </w:rPr>
              <w:t>以后的个股（</w:t>
            </w:r>
            <w:r>
              <w:rPr>
                <w:rFonts w:hint="eastAsia" w:ascii="仿宋" w:hAnsi="仿宋" w:eastAsia="仿宋" w:cs="Arial"/>
                <w:kern w:val="0"/>
                <w:sz w:val="24"/>
                <w:szCs w:val="24"/>
              </w:rPr>
              <w:t>10</w:t>
            </w:r>
            <w:r>
              <w:rPr>
                <w:rFonts w:ascii="仿宋" w:hAnsi="仿宋" w:eastAsia="仿宋" w:cs="Arial"/>
                <w:kern w:val="0"/>
                <w:sz w:val="24"/>
                <w:szCs w:val="24"/>
              </w:rPr>
              <w:t>分）</w:t>
            </w:r>
          </w:p>
        </w:tc>
        <w:tc>
          <w:tcPr>
            <w:tcW w:w="2589" w:type="dxa"/>
          </w:tcPr>
          <w:p>
            <w:pPr>
              <w:widowControl/>
              <w:rPr>
                <w:rFonts w:ascii="仿宋" w:hAnsi="仿宋" w:eastAsia="仿宋" w:cs="Arial"/>
                <w:kern w:val="0"/>
                <w:sz w:val="24"/>
                <w:szCs w:val="24"/>
              </w:rPr>
            </w:pPr>
            <w:r>
              <w:rPr>
                <w:rFonts w:hint="eastAsia" w:ascii="仿宋" w:hAnsi="仿宋" w:eastAsia="仿宋"/>
                <w:color w:val="FF0000"/>
                <w:sz w:val="24"/>
                <w:szCs w:val="24"/>
              </w:rPr>
              <w:t>（自上市首日至即日的区间日均）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日均换手率（</w:t>
            </w:r>
            <w:r>
              <w:rPr>
                <w:rFonts w:hint="eastAsia" w:ascii="仿宋" w:hAnsi="仿宋" w:eastAsia="仿宋" w:cs="Arial"/>
                <w:color w:val="000000" w:themeColor="dark1"/>
                <w:kern w:val="0"/>
                <w:sz w:val="24"/>
                <w:szCs w:val="24"/>
                <w14:textFill>
                  <w14:solidFill>
                    <w14:schemeClr w14:val="dk1"/>
                  </w14:solidFill>
                </w14:textFill>
              </w:rPr>
              <w:t>5%)</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（自上市首日至即日的区间日均）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commentRangeStart w:id="12"/>
            <w:r>
              <w:rPr>
                <w:rFonts w:ascii="仿宋" w:hAnsi="仿宋" w:eastAsia="仿宋" w:cs="Arial"/>
                <w:color w:val="000000" w:themeColor="dark1"/>
                <w:kern w:val="0"/>
                <w:sz w:val="24"/>
                <w:szCs w:val="24"/>
                <w14:textFill>
                  <w14:solidFill>
                    <w14:schemeClr w14:val="dk1"/>
                  </w14:solidFill>
                </w14:textFill>
              </w:rPr>
              <w:t>日均流通市值（</w:t>
            </w:r>
            <w:r>
              <w:rPr>
                <w:rFonts w:hint="eastAsia" w:ascii="仿宋" w:hAnsi="仿宋" w:eastAsia="仿宋" w:cs="Arial"/>
                <w:color w:val="000000" w:themeColor="dark1"/>
                <w:kern w:val="0"/>
                <w:sz w:val="24"/>
                <w:szCs w:val="24"/>
                <w14:textFill>
                  <w14:solidFill>
                    <w14:schemeClr w14:val="dk1"/>
                  </w14:solidFill>
                </w14:textFill>
              </w:rPr>
              <w:t>5%)</w:t>
            </w:r>
            <w:commentRangeEnd w:id="12"/>
            <w:r>
              <w:rPr>
                <w:rStyle w:val="9"/>
                <w:rFonts w:ascii="仿宋" w:hAnsi="仿宋" w:eastAsia="仿宋"/>
                <w:sz w:val="24"/>
                <w:szCs w:val="24"/>
              </w:rPr>
              <w:commentReference w:id="12"/>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（自上市首日至即日的区间日均）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3" w:hRule="atLeast"/>
        </w:trPr>
        <w:tc>
          <w:tcPr>
            <w:tcW w:w="1056" w:type="dxa"/>
            <w:vMerge w:val="restart"/>
            <w:shd w:val="clear" w:color="auto" w:fill="auto"/>
            <w:tcMar>
              <w:top w:w="15" w:type="dxa"/>
              <w:left w:w="108" w:type="dxa"/>
              <w:bottom w:w="0" w:type="dxa"/>
              <w:right w:w="108" w:type="dxa"/>
            </w:tcMar>
            <w:vAlign w:val="center"/>
          </w:tcPr>
          <w:p>
            <w:pPr>
              <w:widowControl/>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盈利能力</w:t>
            </w:r>
          </w:p>
          <w:p>
            <w:pPr>
              <w:widowControl/>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w:t>
            </w:r>
            <w:r>
              <w:rPr>
                <w:rFonts w:hint="eastAsia" w:ascii="仿宋" w:hAnsi="仿宋" w:eastAsia="仿宋" w:cs="Arial"/>
                <w:color w:val="000000" w:themeColor="dark1"/>
                <w:kern w:val="0"/>
                <w:sz w:val="24"/>
                <w:szCs w:val="24"/>
                <w14:textFill>
                  <w14:solidFill>
                    <w14:schemeClr w14:val="dk1"/>
                  </w14:solidFill>
                </w14:textFill>
              </w:rPr>
              <w:t>20%</w:t>
            </w:r>
            <w:r>
              <w:rPr>
                <w:rFonts w:ascii="仿宋" w:hAnsi="仿宋" w:eastAsia="仿宋" w:cs="Arial"/>
                <w:color w:val="000000" w:themeColor="dark1"/>
                <w:kern w:val="0"/>
                <w:sz w:val="24"/>
                <w:szCs w:val="24"/>
                <w14:textFill>
                  <w14:solidFill>
                    <w14:schemeClr w14:val="dk1"/>
                  </w14:solidFill>
                </w14:textFill>
              </w:rPr>
              <w:t>）</w:t>
            </w: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color w:val="000000" w:themeColor="dark1"/>
                <w:kern w:val="0"/>
                <w:sz w:val="24"/>
                <w:szCs w:val="24"/>
                <w14:textFill>
                  <w14:solidFill>
                    <w14:schemeClr w14:val="dk1"/>
                  </w14:solidFill>
                </w14:textFill>
              </w:rPr>
            </w:pPr>
            <w:r>
              <w:rPr>
                <w:rFonts w:ascii="仿宋" w:hAnsi="仿宋" w:eastAsia="仿宋" w:cs="Arial"/>
                <w:color w:val="000000" w:themeColor="dark1"/>
                <w:kern w:val="0"/>
                <w:sz w:val="24"/>
                <w:szCs w:val="24"/>
                <w14:textFill>
                  <w14:solidFill>
                    <w14:schemeClr w14:val="dk1"/>
                  </w14:solidFill>
                </w14:textFill>
              </w:rPr>
              <w:t>扣非加权净资产收益率</w:t>
            </w:r>
            <w:r>
              <w:rPr>
                <w:rFonts w:hint="eastAsia" w:ascii="仿宋" w:hAnsi="仿宋" w:eastAsia="仿宋" w:cs="Arial"/>
                <w:color w:val="000000" w:themeColor="dark1"/>
                <w:kern w:val="0"/>
                <w:sz w:val="24"/>
                <w:szCs w:val="24"/>
                <w14:textFill>
                  <w14:solidFill>
                    <w14:schemeClr w14:val="dk1"/>
                  </w14:solidFill>
                </w14:textFill>
              </w:rPr>
              <w:t>ROE(10%)</w:t>
            </w:r>
          </w:p>
          <w:p>
            <w:pPr>
              <w:widowControl/>
              <w:snapToGrid w:val="0"/>
              <w:jc w:val="center"/>
              <w:rPr>
                <w:rFonts w:ascii="仿宋" w:hAnsi="仿宋" w:eastAsia="仿宋" w:cs="Arial"/>
                <w:kern w:val="0"/>
                <w:sz w:val="24"/>
                <w:szCs w:val="24"/>
              </w:rPr>
            </w:pP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（年报）</w:t>
            </w:r>
            <w:r>
              <w:commentReference w:id="1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3"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color w:val="000000" w:themeColor="dark1"/>
                <w:kern w:val="0"/>
                <w:sz w:val="24"/>
                <w:szCs w:val="24"/>
                <w14:textFill>
                  <w14:solidFill>
                    <w14:schemeClr w14:val="dk1"/>
                  </w14:solidFill>
                </w14:textFill>
              </w:rPr>
            </w:pPr>
            <w:r>
              <w:rPr>
                <w:rFonts w:ascii="仿宋" w:hAnsi="仿宋" w:eastAsia="仿宋" w:cs="Arial"/>
                <w:color w:val="000000" w:themeColor="dark1"/>
                <w:kern w:val="0"/>
                <w:sz w:val="24"/>
                <w:szCs w:val="24"/>
                <w14:textFill>
                  <w14:solidFill>
                    <w14:schemeClr w14:val="dk1"/>
                  </w14:solidFill>
                </w14:textFill>
              </w:rPr>
              <w:t>扣除非经常性损益后的净利润</w:t>
            </w:r>
            <w:r>
              <w:rPr>
                <w:rFonts w:hint="eastAsia" w:ascii="仿宋" w:hAnsi="仿宋" w:eastAsia="仿宋" w:cs="Arial"/>
                <w:color w:val="000000" w:themeColor="dark1"/>
                <w:kern w:val="0"/>
                <w:sz w:val="24"/>
                <w:szCs w:val="24"/>
                <w14:textFill>
                  <w14:solidFill>
                    <w14:schemeClr w14:val="dk1"/>
                  </w14:solidFill>
                </w14:textFill>
              </w:rPr>
              <w:t>(5%)</w:t>
            </w:r>
          </w:p>
          <w:p>
            <w:pPr>
              <w:widowControl/>
              <w:snapToGrid w:val="0"/>
              <w:jc w:val="center"/>
              <w:rPr>
                <w:rFonts w:ascii="仿宋" w:hAnsi="仿宋" w:eastAsia="仿宋" w:cs="Arial"/>
                <w:kern w:val="0"/>
                <w:sz w:val="24"/>
                <w:szCs w:val="24"/>
              </w:rPr>
            </w:pP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color w:val="FF0000"/>
                <w:kern w:val="0"/>
                <w:sz w:val="24"/>
                <w:szCs w:val="24"/>
              </w:rPr>
            </w:pPr>
            <w:r>
              <w:rPr>
                <w:rFonts w:ascii="仿宋" w:hAnsi="仿宋" w:eastAsia="仿宋" w:cs="Arial"/>
                <w:color w:val="FF0000"/>
                <w:kern w:val="0"/>
                <w:sz w:val="24"/>
                <w:szCs w:val="24"/>
              </w:rPr>
              <w:t>W</w:t>
            </w:r>
            <w:r>
              <w:rPr>
                <w:rFonts w:hint="eastAsia" w:ascii="仿宋" w:hAnsi="仿宋" w:eastAsia="仿宋" w:cs="Arial"/>
                <w:color w:val="FF0000"/>
                <w:kern w:val="0"/>
                <w:sz w:val="24"/>
                <w:szCs w:val="24"/>
              </w:rPr>
              <w:t>ind公式：扣除非经常性损益后的净利润</w:t>
            </w:r>
            <w:r>
              <w:rPr>
                <w:rFonts w:ascii="仿宋" w:hAnsi="仿宋" w:eastAsia="仿宋" w:cs="Arial"/>
                <w:color w:val="FF0000"/>
                <w:kern w:val="0"/>
                <w:sz w:val="24"/>
                <w:szCs w:val="24"/>
              </w:rPr>
              <w:t>(TTM)</w:t>
            </w:r>
          </w:p>
          <w:p>
            <w:pPr>
              <w:widowControl/>
              <w:jc w:val="left"/>
              <w:rPr>
                <w:rFonts w:ascii="仿宋" w:hAnsi="仿宋" w:eastAsia="仿宋" w:cs="Arial"/>
                <w:color w:val="FF0000"/>
                <w:kern w:val="0"/>
                <w:sz w:val="24"/>
                <w:szCs w:val="24"/>
              </w:rPr>
            </w:pPr>
            <w:r>
              <w:rPr>
                <w:rFonts w:hint="eastAsia" w:ascii="仿宋" w:hAnsi="仿宋" w:eastAsia="仿宋"/>
                <w:color w:val="FF0000"/>
                <w:sz w:val="24"/>
                <w:szCs w:val="24"/>
              </w:rPr>
              <w:t>（最新交易日期）</w:t>
            </w:r>
            <w:r>
              <w:commentReference w:id="1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color w:val="000000" w:themeColor="dark1"/>
                <w:kern w:val="0"/>
                <w:sz w:val="24"/>
                <w:szCs w:val="24"/>
                <w14:textFill>
                  <w14:solidFill>
                    <w14:schemeClr w14:val="dk1"/>
                  </w14:solidFill>
                </w14:textFill>
              </w:rPr>
            </w:pPr>
            <w:r>
              <w:rPr>
                <w:rFonts w:ascii="仿宋" w:hAnsi="仿宋" w:eastAsia="仿宋" w:cs="Arial"/>
                <w:color w:val="000000" w:themeColor="dark1"/>
                <w:kern w:val="0"/>
                <w:sz w:val="24"/>
                <w:szCs w:val="24"/>
                <w14:textFill>
                  <w14:solidFill>
                    <w14:schemeClr w14:val="dk1"/>
                  </w14:solidFill>
                </w14:textFill>
              </w:rPr>
              <w:t>销售净利率</w:t>
            </w:r>
            <w:r>
              <w:rPr>
                <w:rFonts w:hint="eastAsia" w:ascii="仿宋" w:hAnsi="仿宋" w:eastAsia="仿宋" w:cs="Arial"/>
                <w:color w:val="000000" w:themeColor="dark1"/>
                <w:kern w:val="0"/>
                <w:sz w:val="24"/>
                <w:szCs w:val="24"/>
                <w14:textFill>
                  <w14:solidFill>
                    <w14:schemeClr w14:val="dk1"/>
                  </w14:solidFill>
                </w14:textFill>
              </w:rPr>
              <w:t>(5%)</w:t>
            </w:r>
          </w:p>
          <w:p>
            <w:pPr>
              <w:widowControl/>
              <w:snapToGrid w:val="0"/>
              <w:jc w:val="center"/>
              <w:rPr>
                <w:rFonts w:ascii="仿宋" w:hAnsi="仿宋" w:eastAsia="仿宋" w:cs="Arial"/>
                <w:kern w:val="0"/>
                <w:sz w:val="24"/>
                <w:szCs w:val="24"/>
              </w:rPr>
            </w:pP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olor w:val="FF0000"/>
                <w:sz w:val="24"/>
                <w:szCs w:val="24"/>
              </w:rPr>
              <w:t>（年报）</w:t>
            </w:r>
            <w:r>
              <w:commentReference w:id="1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3" w:hRule="atLeast"/>
        </w:trPr>
        <w:tc>
          <w:tcPr>
            <w:tcW w:w="1056" w:type="dxa"/>
            <w:vMerge w:val="restart"/>
            <w:shd w:val="clear" w:color="auto" w:fill="auto"/>
            <w:tcMar>
              <w:top w:w="15" w:type="dxa"/>
              <w:left w:w="108" w:type="dxa"/>
              <w:bottom w:w="0" w:type="dxa"/>
              <w:right w:w="108" w:type="dxa"/>
            </w:tcMar>
            <w:vAlign w:val="center"/>
          </w:tcPr>
          <w:p>
            <w:pPr>
              <w:widowControl/>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成长能力</w:t>
            </w:r>
            <w:r>
              <w:rPr>
                <w:rFonts w:hint="eastAsia" w:ascii="仿宋" w:hAnsi="仿宋" w:eastAsia="仿宋" w:cs="Arial"/>
                <w:color w:val="000000" w:themeColor="dark1"/>
                <w:kern w:val="0"/>
                <w:sz w:val="24"/>
                <w:szCs w:val="24"/>
                <w14:textFill>
                  <w14:solidFill>
                    <w14:schemeClr w14:val="dk1"/>
                  </w14:solidFill>
                </w14:textFill>
              </w:rPr>
              <w:t>(30%)</w:t>
            </w: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营业总收入近三年复合年增长率</w:t>
            </w:r>
            <w:r>
              <w:rPr>
                <w:rFonts w:hint="eastAsia" w:ascii="仿宋" w:hAnsi="仿宋" w:eastAsia="仿宋" w:cs="Arial"/>
                <w:color w:val="000000" w:themeColor="dark1"/>
                <w:kern w:val="0"/>
                <w:sz w:val="24"/>
                <w:szCs w:val="24"/>
                <w14:textFill>
                  <w14:solidFill>
                    <w14:schemeClr w14:val="dk1"/>
                  </w14:solidFill>
                </w14:textFill>
              </w:rPr>
              <w:t>(15%)</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s="Arial"/>
                <w:color w:val="FF0000"/>
                <w:kern w:val="0"/>
                <w:sz w:val="24"/>
                <w:szCs w:val="24"/>
              </w:rPr>
              <w:t>（与核准制模型对应指标逻辑一致）</w:t>
            </w:r>
            <w:r>
              <w:commentReference w:id="1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3"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净利润近三年复合年增长率</w:t>
            </w:r>
            <w:r>
              <w:rPr>
                <w:rFonts w:hint="eastAsia" w:ascii="仿宋" w:hAnsi="仿宋" w:eastAsia="仿宋" w:cs="Arial"/>
                <w:color w:val="000000" w:themeColor="dark1"/>
                <w:kern w:val="0"/>
                <w:sz w:val="24"/>
                <w:szCs w:val="24"/>
                <w14:textFill>
                  <w14:solidFill>
                    <w14:schemeClr w14:val="dk1"/>
                  </w14:solidFill>
                </w14:textFill>
              </w:rPr>
              <w:t>(10%)</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s="Arial"/>
                <w:color w:val="FF0000"/>
                <w:kern w:val="0"/>
                <w:sz w:val="24"/>
                <w:szCs w:val="24"/>
              </w:rPr>
              <w:t>（与核准制模型对应指标逻辑一致）</w:t>
            </w:r>
            <w:r>
              <w:commentReference w:id="1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1" w:hRule="atLeast"/>
        </w:trPr>
        <w:tc>
          <w:tcPr>
            <w:tcW w:w="1056" w:type="dxa"/>
            <w:vMerge w:val="continue"/>
            <w:shd w:val="clear" w:color="auto" w:fill="auto"/>
            <w:vAlign w:val="center"/>
          </w:tcPr>
          <w:p>
            <w:pPr>
              <w:widowControl/>
              <w:jc w:val="left"/>
              <w:rPr>
                <w:rFonts w:ascii="仿宋" w:hAnsi="仿宋" w:eastAsia="仿宋" w:cs="Arial"/>
                <w:kern w:val="0"/>
                <w:sz w:val="24"/>
                <w:szCs w:val="24"/>
              </w:rPr>
            </w:pPr>
          </w:p>
        </w:tc>
        <w:tc>
          <w:tcPr>
            <w:tcW w:w="1773" w:type="dxa"/>
            <w:shd w:val="clear" w:color="auto" w:fill="auto"/>
            <w:tcMar>
              <w:top w:w="15" w:type="dxa"/>
              <w:left w:w="108" w:type="dxa"/>
              <w:bottom w:w="0" w:type="dxa"/>
              <w:right w:w="108" w:type="dxa"/>
            </w:tcMar>
            <w:vAlign w:val="center"/>
          </w:tcPr>
          <w:p>
            <w:pPr>
              <w:widowControl/>
              <w:snapToGrid w:val="0"/>
              <w:jc w:val="center"/>
              <w:rPr>
                <w:rFonts w:ascii="仿宋" w:hAnsi="仿宋" w:eastAsia="仿宋" w:cs="Arial"/>
                <w:kern w:val="0"/>
                <w:sz w:val="24"/>
                <w:szCs w:val="24"/>
              </w:rPr>
            </w:pPr>
            <w:r>
              <w:rPr>
                <w:rFonts w:ascii="仿宋" w:hAnsi="仿宋" w:eastAsia="仿宋" w:cs="Arial"/>
                <w:color w:val="000000" w:themeColor="dark1"/>
                <w:kern w:val="0"/>
                <w:sz w:val="24"/>
                <w:szCs w:val="24"/>
                <w14:textFill>
                  <w14:solidFill>
                    <w14:schemeClr w14:val="dk1"/>
                  </w14:solidFill>
                </w14:textFill>
              </w:rPr>
              <w:t>总资产近三年复合增长率</w:t>
            </w:r>
            <w:r>
              <w:rPr>
                <w:rFonts w:hint="eastAsia" w:ascii="仿宋" w:hAnsi="仿宋" w:eastAsia="仿宋" w:cs="Arial"/>
                <w:color w:val="000000" w:themeColor="dark1"/>
                <w:kern w:val="0"/>
                <w:sz w:val="24"/>
                <w:szCs w:val="24"/>
                <w14:textFill>
                  <w14:solidFill>
                    <w14:schemeClr w14:val="dk1"/>
                  </w14:solidFill>
                </w14:textFill>
              </w:rPr>
              <w:t>(5%)</w:t>
            </w:r>
          </w:p>
        </w:tc>
        <w:tc>
          <w:tcPr>
            <w:tcW w:w="2878" w:type="dxa"/>
            <w:vMerge w:val="continue"/>
            <w:shd w:val="clear" w:color="auto" w:fill="auto"/>
            <w:vAlign w:val="center"/>
          </w:tcPr>
          <w:p>
            <w:pPr>
              <w:widowControl/>
              <w:jc w:val="left"/>
              <w:rPr>
                <w:rFonts w:ascii="仿宋" w:hAnsi="仿宋" w:eastAsia="仿宋" w:cs="Arial"/>
                <w:kern w:val="0"/>
                <w:sz w:val="24"/>
                <w:szCs w:val="24"/>
              </w:rPr>
            </w:pPr>
          </w:p>
        </w:tc>
        <w:tc>
          <w:tcPr>
            <w:tcW w:w="2589" w:type="dxa"/>
          </w:tcPr>
          <w:p>
            <w:pPr>
              <w:widowControl/>
              <w:jc w:val="left"/>
              <w:rPr>
                <w:rFonts w:ascii="仿宋" w:hAnsi="仿宋" w:eastAsia="仿宋" w:cs="Arial"/>
                <w:kern w:val="0"/>
                <w:sz w:val="24"/>
                <w:szCs w:val="24"/>
              </w:rPr>
            </w:pPr>
            <w:r>
              <w:rPr>
                <w:rFonts w:hint="eastAsia" w:ascii="仿宋" w:hAnsi="仿宋" w:eastAsia="仿宋" w:cs="Arial"/>
                <w:color w:val="FF0000"/>
                <w:kern w:val="0"/>
                <w:sz w:val="24"/>
                <w:szCs w:val="24"/>
              </w:rPr>
              <w:t>（与核准制模型对应指标逻辑一致）</w:t>
            </w:r>
            <w:r>
              <w:commentReference w:id="18"/>
            </w:r>
          </w:p>
        </w:tc>
      </w:tr>
    </w:tbl>
    <w:p>
      <w:pPr>
        <w:rPr>
          <w:rFonts w:ascii="仿宋" w:hAnsi="仿宋" w:eastAsia="仿宋"/>
          <w:szCs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ZYZ" w:date="2022-01-25T14:55:34Z" w:initials="J">
    <w:p w14:paraId="1BBB767B">
      <w:pPr>
        <w:pStyle w:val="2"/>
      </w:pPr>
      <w:r>
        <w:rPr>
          <w:rFonts w:ascii="微软雅黑" w:hAnsi="微软雅黑" w:eastAsia="微软雅黑" w:cs="微软雅黑"/>
          <w:i w:val="0"/>
          <w:iCs w:val="0"/>
          <w:caps w:val="0"/>
          <w:color w:val="111111"/>
          <w:spacing w:val="0"/>
          <w:sz w:val="27"/>
          <w:szCs w:val="27"/>
          <w:shd w:val="clear" w:fill="FFFFFF"/>
        </w:rPr>
        <w:t>第二十条 年度报告应当在每个会计年度结束之日起4个月内，中期报告应当在每个会计年度的上半年结束之日起2个月内，季度报告应当在</w:t>
      </w:r>
      <w:r>
        <w:rPr>
          <w:rStyle w:val="8"/>
          <w:rFonts w:hint="eastAsia" w:ascii="微软雅黑" w:hAnsi="微软雅黑" w:eastAsia="微软雅黑" w:cs="微软雅黑"/>
          <w:b/>
          <w:bCs/>
          <w:i w:val="0"/>
          <w:iCs w:val="0"/>
          <w:caps w:val="0"/>
          <w:color w:val="111111"/>
          <w:spacing w:val="0"/>
          <w:sz w:val="27"/>
          <w:szCs w:val="27"/>
          <w:shd w:val="clear" w:fill="FFFFFF"/>
        </w:rPr>
        <w:t>每个会计年度第3个月、第9个月结束后的1个月内</w:t>
      </w:r>
      <w:r>
        <w:rPr>
          <w:rFonts w:hint="eastAsia" w:ascii="微软雅黑" w:hAnsi="微软雅黑" w:eastAsia="微软雅黑" w:cs="微软雅黑"/>
          <w:i w:val="0"/>
          <w:iCs w:val="0"/>
          <w:caps w:val="0"/>
          <w:color w:val="111111"/>
          <w:spacing w:val="0"/>
          <w:sz w:val="27"/>
          <w:szCs w:val="27"/>
          <w:shd w:val="clear" w:fill="FFFFFF"/>
        </w:rPr>
        <w:t>编制完成并披露。</w:t>
      </w:r>
    </w:p>
  </w:comment>
  <w:comment w:id="1" w:author="JZYZ" w:date="2022-01-25T16:59:09Z" w:initials="J">
    <w:p w14:paraId="7F6B0DAE">
      <w:pPr>
        <w:pStyle w:val="2"/>
        <w:rPr>
          <w:rFonts w:hint="default" w:eastAsiaTheme="minorEastAsia"/>
          <w:lang w:val="en-US" w:eastAsia="zh-CN"/>
        </w:rPr>
      </w:pPr>
      <w:r>
        <w:rPr>
          <w:rFonts w:hint="eastAsia"/>
          <w:lang w:val="en-US" w:eastAsia="zh-CN"/>
        </w:rPr>
        <w:t>六个自然月</w:t>
      </w:r>
    </w:p>
  </w:comment>
  <w:comment w:id="2" w:author="JZYZ" w:date="2022-01-25T17:00:30Z" w:initials="J">
    <w:p w14:paraId="4C1C4D64">
      <w:pPr>
        <w:pStyle w:val="2"/>
        <w:rPr>
          <w:rFonts w:hint="eastAsia"/>
          <w:lang w:val="en-US" w:eastAsia="zh-CN"/>
        </w:rPr>
      </w:pPr>
      <w:r>
        <w:rPr>
          <w:rFonts w:hint="eastAsia"/>
          <w:lang w:val="en-US" w:eastAsia="zh-CN"/>
        </w:rPr>
        <w:t>三年年报数据，取新逻辑</w:t>
      </w:r>
    </w:p>
    <w:p w14:paraId="5A825F7A">
      <w:pPr>
        <w:pStyle w:val="2"/>
        <w:rPr>
          <w:rFonts w:hint="eastAsia"/>
          <w:lang w:val="en-US" w:eastAsia="zh-CN"/>
        </w:rPr>
      </w:pPr>
    </w:p>
    <w:p w14:paraId="721A5EF8">
      <w:pPr>
        <w:pStyle w:val="2"/>
        <w:rPr>
          <w:rFonts w:hint="default"/>
          <w:lang w:val="en-US" w:eastAsia="zh-CN"/>
        </w:rPr>
      </w:pPr>
      <w:r>
        <w:rPr>
          <w:rFonts w:hint="eastAsia"/>
          <w:lang w:val="en-US" w:eastAsia="zh-CN"/>
        </w:rPr>
        <w:t>没有三年的证券，则默认为0</w:t>
      </w:r>
    </w:p>
  </w:comment>
  <w:comment w:id="3" w:author="JZYZ" w:date="2022-01-25T17:00:49Z" w:initials="J">
    <w:p w14:paraId="29251398">
      <w:pPr>
        <w:pStyle w:val="2"/>
        <w:rPr>
          <w:rFonts w:hint="default" w:eastAsiaTheme="minorEastAsia"/>
          <w:lang w:val="en-US" w:eastAsia="zh-CN"/>
        </w:rPr>
      </w:pPr>
      <w:r>
        <w:rPr>
          <w:rFonts w:hint="eastAsia"/>
          <w:lang w:val="en-US" w:eastAsia="zh-CN"/>
        </w:rPr>
        <w:t>年报数据</w:t>
      </w:r>
      <w:r>
        <w:rPr>
          <w:rFonts w:hint="eastAsia"/>
          <w:lang w:val="en-US" w:eastAsia="zh-CN"/>
        </w:rPr>
        <w:br w:type="textWrapping"/>
      </w:r>
      <w:r>
        <w:rPr>
          <w:rFonts w:hint="eastAsia"/>
          <w:lang w:val="en-US" w:eastAsia="zh-CN"/>
        </w:rPr>
        <w:t>PS：原逻辑预估为财报</w:t>
      </w:r>
    </w:p>
  </w:comment>
  <w:comment w:id="4" w:author="JZYZ" w:date="2022-01-25T17:00:55Z" w:initials="J">
    <w:p w14:paraId="11611A57">
      <w:pPr>
        <w:pStyle w:val="2"/>
        <w:rPr>
          <w:rFonts w:hint="eastAsia"/>
          <w:lang w:val="en-US" w:eastAsia="zh-CN"/>
        </w:rPr>
      </w:pPr>
      <w:r>
        <w:rPr>
          <w:rFonts w:hint="eastAsia"/>
          <w:lang w:val="en-US" w:eastAsia="zh-CN"/>
        </w:rPr>
        <w:t>年报数据</w:t>
      </w:r>
    </w:p>
    <w:p w14:paraId="7F896BD1">
      <w:pPr>
        <w:pStyle w:val="2"/>
        <w:rPr>
          <w:rFonts w:hint="eastAsia"/>
          <w:lang w:val="en-US" w:eastAsia="zh-CN"/>
        </w:rPr>
      </w:pPr>
      <w:r>
        <w:rPr>
          <w:rFonts w:hint="eastAsia"/>
          <w:lang w:val="en-US" w:eastAsia="zh-CN"/>
        </w:rPr>
        <w:t>PS：原逻辑预估为财报</w:t>
      </w:r>
    </w:p>
  </w:comment>
  <w:comment w:id="5" w:author="JZYZ" w:date="2022-01-25T17:01:00Z" w:initials="J">
    <w:p w14:paraId="6BEB7635">
      <w:pPr>
        <w:pStyle w:val="2"/>
        <w:rPr>
          <w:rFonts w:hint="eastAsia"/>
          <w:lang w:val="en-US" w:eastAsia="zh-CN"/>
        </w:rPr>
      </w:pPr>
      <w:r>
        <w:rPr>
          <w:rFonts w:hint="eastAsia"/>
          <w:lang w:val="en-US" w:eastAsia="zh-CN"/>
        </w:rPr>
        <w:t>年报数据</w:t>
      </w:r>
    </w:p>
    <w:p w14:paraId="1C91700C">
      <w:pPr>
        <w:pStyle w:val="2"/>
        <w:rPr>
          <w:rFonts w:hint="eastAsia"/>
          <w:lang w:val="en-US" w:eastAsia="zh-CN"/>
        </w:rPr>
      </w:pPr>
      <w:r>
        <w:rPr>
          <w:rFonts w:hint="eastAsia"/>
          <w:lang w:val="en-US" w:eastAsia="zh-CN"/>
        </w:rPr>
        <w:t>PS：原逻辑预估为财报</w:t>
      </w:r>
    </w:p>
  </w:comment>
  <w:comment w:id="6" w:author="JZYZ" w:date="2022-01-25T17:04:24Z" w:initials="J">
    <w:p w14:paraId="0DD17238">
      <w:pPr>
        <w:pStyle w:val="2"/>
        <w:rPr>
          <w:rFonts w:hint="default"/>
          <w:color w:val="auto"/>
          <w:lang w:val="en-US" w:eastAsia="zh-CN"/>
        </w:rPr>
      </w:pPr>
      <w:r>
        <w:rPr>
          <w:rFonts w:hint="eastAsia" w:ascii="仿宋" w:hAnsi="仿宋" w:eastAsia="仿宋"/>
          <w:color w:val="auto"/>
          <w:sz w:val="24"/>
          <w:szCs w:val="24"/>
        </w:rPr>
        <w:t>最近一个报告期</w:t>
      </w:r>
      <w:r>
        <w:rPr>
          <w:rFonts w:hint="eastAsia" w:ascii="仿宋" w:hAnsi="仿宋" w:eastAsia="仿宋"/>
          <w:color w:val="auto"/>
          <w:sz w:val="24"/>
          <w:szCs w:val="24"/>
          <w:lang w:eastAsia="zh-CN"/>
        </w:rPr>
        <w:t>：</w:t>
      </w:r>
      <w:r>
        <w:rPr>
          <w:rFonts w:hint="eastAsia"/>
          <w:color w:val="auto"/>
          <w:lang w:val="en-US" w:eastAsia="zh-CN"/>
        </w:rPr>
        <w:t>一季度、二季度（中报）、三季度【待定】</w:t>
      </w:r>
    </w:p>
  </w:comment>
  <w:comment w:id="7" w:author="JZYZ" w:date="2022-01-25T17:10:00Z" w:initials="J">
    <w:p w14:paraId="74421ACA">
      <w:pPr>
        <w:pStyle w:val="2"/>
        <w:rPr>
          <w:rFonts w:hint="eastAsia"/>
          <w:lang w:val="en-US" w:eastAsia="zh-CN"/>
        </w:rPr>
      </w:pPr>
      <w:r>
        <w:rPr>
          <w:rFonts w:hint="eastAsia"/>
          <w:lang w:val="en-US" w:eastAsia="zh-CN"/>
        </w:rPr>
        <w:t>三年年报数据</w:t>
      </w:r>
    </w:p>
    <w:p w14:paraId="4B6147A1">
      <w:pPr>
        <w:pStyle w:val="2"/>
        <w:rPr>
          <w:rFonts w:hint="eastAsia"/>
          <w:lang w:val="en-US" w:eastAsia="zh-CN"/>
        </w:rPr>
      </w:pPr>
      <w:r>
        <w:rPr>
          <w:rFonts w:hint="eastAsia"/>
          <w:lang w:val="en-US" w:eastAsia="zh-CN"/>
        </w:rPr>
        <w:t>若两年的复合年增长率都为0也就两年</w:t>
      </w:r>
    </w:p>
    <w:p w14:paraId="3E772EF4">
      <w:pPr>
        <w:pStyle w:val="2"/>
        <w:rPr>
          <w:rFonts w:hint="eastAsia"/>
          <w:lang w:val="en-US" w:eastAsia="zh-CN"/>
        </w:rPr>
      </w:pPr>
    </w:p>
    <w:p w14:paraId="65720D2F">
      <w:pPr>
        <w:pStyle w:val="2"/>
        <w:rPr>
          <w:rFonts w:hint="default"/>
          <w:lang w:val="en-US" w:eastAsia="zh-CN"/>
        </w:rPr>
      </w:pPr>
      <w:r>
        <w:rPr>
          <w:rFonts w:hint="eastAsia"/>
          <w:lang w:val="en-US" w:eastAsia="zh-CN"/>
        </w:rPr>
        <w:t>若没有三年，近两年数据</w:t>
      </w:r>
    </w:p>
  </w:comment>
  <w:comment w:id="8" w:author="zgz" w:date="2022-01-26T13:47:11Z" w:initials="">
    <w:p w14:paraId="5DD51AD6">
      <w:pPr>
        <w:pStyle w:val="2"/>
        <w:rPr>
          <w:rFonts w:hint="eastAsia"/>
          <w:lang w:val="en-US" w:eastAsia="zh-CN"/>
        </w:rPr>
      </w:pPr>
      <w:r>
        <w:rPr>
          <w:rFonts w:hint="eastAsia"/>
          <w:lang w:val="en-US" w:eastAsia="zh-CN"/>
        </w:rPr>
        <w:t>【问题】最近一个报告期和年报重合情况</w:t>
      </w:r>
    </w:p>
    <w:p w14:paraId="47F45240">
      <w:pPr>
        <w:pStyle w:val="2"/>
      </w:pPr>
      <w:r>
        <w:rPr>
          <w:rFonts w:hint="eastAsia"/>
          <w:lang w:val="en-US" w:eastAsia="zh-CN"/>
        </w:rPr>
        <w:t>如3月1号所有证券年报已披露</w:t>
      </w:r>
    </w:p>
  </w:comment>
  <w:comment w:id="9" w:author="JZYZ" w:date="2022-01-25T17:24:35Z" w:initials="J">
    <w:p w14:paraId="33020C6B">
      <w:pPr>
        <w:pStyle w:val="2"/>
        <w:rPr>
          <w:rFonts w:hint="eastAsia" w:eastAsiaTheme="minorEastAsia"/>
          <w:lang w:val="en-US" w:eastAsia="zh-CN"/>
        </w:rPr>
      </w:pPr>
      <w:r>
        <w:rPr>
          <w:rFonts w:hint="eastAsia"/>
          <w:lang w:val="en-US" w:eastAsia="zh-CN"/>
        </w:rPr>
        <w:t>六个自然月</w:t>
      </w:r>
    </w:p>
  </w:comment>
  <w:comment w:id="10" w:author="zgz" w:date="2022-01-26T10:05:25Z" w:initials="">
    <w:p w14:paraId="16CB753A">
      <w:pPr>
        <w:pStyle w:val="2"/>
        <w:rPr>
          <w:rFonts w:hint="eastAsia"/>
          <w:lang w:val="en-US" w:eastAsia="zh-CN"/>
        </w:rPr>
      </w:pPr>
      <w:r>
        <w:rPr>
          <w:rFonts w:hint="eastAsia"/>
          <w:lang w:val="en-US" w:eastAsia="zh-CN"/>
        </w:rPr>
        <w:t>先判断质押的日期，</w:t>
      </w:r>
    </w:p>
    <w:p w14:paraId="30121ADB">
      <w:pPr>
        <w:pStyle w:val="2"/>
        <w:rPr>
          <w:rFonts w:hint="eastAsia"/>
          <w:lang w:val="en-US" w:eastAsia="zh-CN"/>
        </w:rPr>
      </w:pPr>
      <w:r>
        <w:rPr>
          <w:rFonts w:hint="eastAsia"/>
          <w:lang w:val="en-US" w:eastAsia="zh-CN"/>
        </w:rPr>
        <w:t>然后取质押日期对应的担保证券市值和质押股份市值和总市值</w:t>
      </w:r>
    </w:p>
    <w:p w14:paraId="7CDE3929">
      <w:pPr>
        <w:pStyle w:val="2"/>
        <w:rPr>
          <w:rFonts w:hint="eastAsia"/>
          <w:lang w:val="en-US" w:eastAsia="zh-CN"/>
        </w:rPr>
      </w:pPr>
      <w:r>
        <w:rPr>
          <w:rFonts w:hint="eastAsia"/>
          <w:lang w:val="en-US" w:eastAsia="zh-CN"/>
        </w:rPr>
        <w:t>然后计算数值</w:t>
      </w:r>
    </w:p>
    <w:p w14:paraId="40422942">
      <w:pPr>
        <w:pStyle w:val="2"/>
        <w:rPr>
          <w:rFonts w:hint="eastAsia"/>
          <w:lang w:val="en-US" w:eastAsia="zh-CN"/>
        </w:rPr>
      </w:pPr>
    </w:p>
    <w:p w14:paraId="716A5EAA">
      <w:pPr>
        <w:pStyle w:val="2"/>
        <w:rPr>
          <w:rFonts w:hint="default"/>
          <w:lang w:val="en-US" w:eastAsia="zh-CN"/>
        </w:rPr>
      </w:pPr>
      <w:r>
        <w:rPr>
          <w:rFonts w:hint="eastAsia"/>
          <w:lang w:val="en-US" w:eastAsia="zh-CN"/>
        </w:rPr>
        <w:t>单独出数据</w:t>
      </w:r>
    </w:p>
  </w:comment>
  <w:comment w:id="11" w:author="zgz" w:date="2022-01-26T15:24:38Z" w:initials="">
    <w:p w14:paraId="57E966B3">
      <w:pPr>
        <w:pStyle w:val="2"/>
        <w:rPr>
          <w:rFonts w:hint="default"/>
          <w:lang w:val="en-US" w:eastAsia="zh-CN"/>
        </w:rPr>
      </w:pPr>
      <w:r>
        <w:rPr>
          <w:rFonts w:hint="eastAsia"/>
          <w:lang w:val="en-US" w:eastAsia="zh-CN"/>
        </w:rPr>
        <w:t>【问题】</w:t>
      </w:r>
    </w:p>
    <w:p w14:paraId="679D4407">
      <w:pPr>
        <w:pStyle w:val="2"/>
        <w:rPr>
          <w:rFonts w:hint="default" w:eastAsiaTheme="minorEastAsia"/>
          <w:lang w:val="en-US" w:eastAsia="zh-CN"/>
        </w:rPr>
      </w:pPr>
      <w:r>
        <w:rPr>
          <w:rFonts w:hint="eastAsia"/>
          <w:lang w:val="en-US" w:eastAsia="zh-CN"/>
        </w:rPr>
        <w:t>TTM</w:t>
      </w:r>
    </w:p>
  </w:comment>
  <w:comment w:id="12" w:author="辛璐" w:date="2021-09-22T14:47:00Z" w:initials="辛璐">
    <w:p w14:paraId="40AB0F7D">
      <w:pPr>
        <w:pStyle w:val="2"/>
      </w:pPr>
      <w:r>
        <w:rPr>
          <w:rFonts w:hint="eastAsia"/>
        </w:rPr>
        <w:t>自上市首日至即日的区间日均。</w:t>
      </w:r>
    </w:p>
  </w:comment>
  <w:comment w:id="13" w:author="zgz" w:date="2022-01-26T10:06:25Z" w:initials="">
    <w:p w14:paraId="1C6050A3">
      <w:pPr>
        <w:pStyle w:val="2"/>
        <w:rPr>
          <w:rFonts w:hint="default" w:eastAsiaTheme="minorEastAsia"/>
          <w:lang w:val="en-US" w:eastAsia="zh-CN"/>
        </w:rPr>
      </w:pPr>
      <w:r>
        <w:rPr>
          <w:rFonts w:hint="eastAsia"/>
          <w:lang w:val="en-US" w:eastAsia="zh-CN"/>
        </w:rPr>
        <w:t>最近年报</w:t>
      </w:r>
    </w:p>
  </w:comment>
  <w:comment w:id="14" w:author="zgz" w:date="2022-01-26T13:52:26Z" w:initials="">
    <w:p w14:paraId="75F053AC">
      <w:pPr>
        <w:pStyle w:val="2"/>
        <w:rPr>
          <w:rFonts w:hint="default" w:eastAsiaTheme="minorEastAsia"/>
          <w:lang w:val="en-US" w:eastAsia="zh-CN"/>
        </w:rPr>
      </w:pPr>
      <w:r>
        <w:rPr>
          <w:rFonts w:hint="eastAsia"/>
          <w:lang w:eastAsia="zh-CN"/>
        </w:rPr>
        <w:t>【</w:t>
      </w:r>
      <w:r>
        <w:rPr>
          <w:rFonts w:hint="eastAsia"/>
          <w:lang w:val="en-US" w:eastAsia="zh-CN"/>
        </w:rPr>
        <w:t>问题</w:t>
      </w:r>
      <w:r>
        <w:rPr>
          <w:rFonts w:hint="eastAsia"/>
          <w:lang w:eastAsia="zh-CN"/>
        </w:rPr>
        <w:t>】</w:t>
      </w:r>
      <w:r>
        <w:rPr>
          <w:rFonts w:hint="eastAsia"/>
          <w:lang w:val="en-US" w:eastAsia="zh-CN"/>
        </w:rPr>
        <w:t>是否可以提供下wind公式</w:t>
      </w:r>
    </w:p>
  </w:comment>
  <w:comment w:id="15" w:author="zgz" w:date="2022-01-26T10:07:35Z" w:initials="">
    <w:p w14:paraId="76742F99">
      <w:pPr>
        <w:pStyle w:val="2"/>
      </w:pPr>
      <w:r>
        <w:rPr>
          <w:rFonts w:hint="eastAsia"/>
          <w:lang w:val="en-US" w:eastAsia="zh-CN"/>
        </w:rPr>
        <w:t>最近年报</w:t>
      </w:r>
    </w:p>
  </w:comment>
  <w:comment w:id="16" w:author="zgz" w:date="2022-01-26T10:08:14Z" w:initials="">
    <w:p w14:paraId="259406D3">
      <w:pPr>
        <w:pStyle w:val="2"/>
      </w:pPr>
      <w:r>
        <w:rPr>
          <w:rFonts w:hint="eastAsia"/>
        </w:rPr>
        <w:t>若近三年复合年增长率为0，则取近两年的复合年增长率</w:t>
      </w:r>
    </w:p>
  </w:comment>
  <w:comment w:id="17" w:author="zgz" w:date="2022-01-26T13:51:48Z" w:initials="">
    <w:p w14:paraId="2CC01DA0">
      <w:pPr>
        <w:pStyle w:val="2"/>
      </w:pPr>
      <w:r>
        <w:rPr>
          <w:rFonts w:hint="eastAsia"/>
        </w:rPr>
        <w:t>若近三年复合年增长率为0，则取近两年的复合年增长率</w:t>
      </w:r>
    </w:p>
  </w:comment>
  <w:comment w:id="18" w:author="zgz" w:date="2022-01-26T13:51:40Z" w:initials="">
    <w:p w14:paraId="28E17D09">
      <w:pPr>
        <w:pStyle w:val="2"/>
      </w:pPr>
      <w:r>
        <w:rPr>
          <w:rFonts w:hint="eastAsia"/>
        </w:rPr>
        <w:t>若近三年复合年增长率为0，则取近两年的复合年增长率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BB767B" w15:done="0"/>
  <w15:commentEx w15:paraId="7F6B0DAE" w15:done="0"/>
  <w15:commentEx w15:paraId="721A5EF8" w15:done="0"/>
  <w15:commentEx w15:paraId="29251398" w15:done="0"/>
  <w15:commentEx w15:paraId="7F896BD1" w15:done="0"/>
  <w15:commentEx w15:paraId="1C91700C" w15:done="0"/>
  <w15:commentEx w15:paraId="0DD17238" w15:done="0"/>
  <w15:commentEx w15:paraId="65720D2F" w15:done="0"/>
  <w15:commentEx w15:paraId="47F45240" w15:done="0"/>
  <w15:commentEx w15:paraId="33020C6B" w15:done="0"/>
  <w15:commentEx w15:paraId="716A5EAA" w15:done="0"/>
  <w15:commentEx w15:paraId="679D4407" w15:done="0"/>
  <w15:commentEx w15:paraId="40AB0F7D" w15:done="0"/>
  <w15:commentEx w15:paraId="1C6050A3" w15:done="0"/>
  <w15:commentEx w15:paraId="75F053AC" w15:done="0"/>
  <w15:commentEx w15:paraId="76742F99" w15:done="0"/>
  <w15:commentEx w15:paraId="259406D3" w15:done="0"/>
  <w15:commentEx w15:paraId="2CC01DA0" w15:done="0"/>
  <w15:commentEx w15:paraId="28E17D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ZYZ">
    <w15:presenceInfo w15:providerId="None" w15:userId="JZYZ"/>
  </w15:person>
  <w15:person w15:author="zgz">
    <w15:presenceInfo w15:providerId="WPS Office" w15:userId="5811309001"/>
  </w15:person>
  <w15:person w15:author="辛璐">
    <w15:presenceInfo w15:providerId="AD" w15:userId="S-1-5-21-1292428093-884357618-682003330-95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AF"/>
    <w:rsid w:val="000A3E45"/>
    <w:rsid w:val="000E45F0"/>
    <w:rsid w:val="00167F1F"/>
    <w:rsid w:val="002C421E"/>
    <w:rsid w:val="0055474C"/>
    <w:rsid w:val="00586108"/>
    <w:rsid w:val="00586AB0"/>
    <w:rsid w:val="00601C9E"/>
    <w:rsid w:val="006F376E"/>
    <w:rsid w:val="0088107C"/>
    <w:rsid w:val="0088623C"/>
    <w:rsid w:val="008F3179"/>
    <w:rsid w:val="009A7370"/>
    <w:rsid w:val="00AD3854"/>
    <w:rsid w:val="00BE76AF"/>
    <w:rsid w:val="00CC0064"/>
    <w:rsid w:val="00E769D9"/>
    <w:rsid w:val="00FE1AF4"/>
    <w:rsid w:val="02B31C57"/>
    <w:rsid w:val="030D2310"/>
    <w:rsid w:val="065D476C"/>
    <w:rsid w:val="082C148A"/>
    <w:rsid w:val="085C5C3A"/>
    <w:rsid w:val="08B611BF"/>
    <w:rsid w:val="08D02D33"/>
    <w:rsid w:val="0C5821E5"/>
    <w:rsid w:val="0D5F7C0C"/>
    <w:rsid w:val="0DF36C1E"/>
    <w:rsid w:val="141F6347"/>
    <w:rsid w:val="14C81C91"/>
    <w:rsid w:val="15431BC1"/>
    <w:rsid w:val="162E22A7"/>
    <w:rsid w:val="1ADC4070"/>
    <w:rsid w:val="1AF57E02"/>
    <w:rsid w:val="1E736F52"/>
    <w:rsid w:val="22FF7BB1"/>
    <w:rsid w:val="2438746B"/>
    <w:rsid w:val="29610BCC"/>
    <w:rsid w:val="2D0348A8"/>
    <w:rsid w:val="2E953036"/>
    <w:rsid w:val="31D241E5"/>
    <w:rsid w:val="34026EE8"/>
    <w:rsid w:val="393B10DD"/>
    <w:rsid w:val="3B60677A"/>
    <w:rsid w:val="3D710BE5"/>
    <w:rsid w:val="3DDA5550"/>
    <w:rsid w:val="3EEF22EE"/>
    <w:rsid w:val="3F406418"/>
    <w:rsid w:val="41354204"/>
    <w:rsid w:val="420324D5"/>
    <w:rsid w:val="437B05F4"/>
    <w:rsid w:val="43F9313D"/>
    <w:rsid w:val="453142D1"/>
    <w:rsid w:val="45513D03"/>
    <w:rsid w:val="483D4758"/>
    <w:rsid w:val="4B9F4DC6"/>
    <w:rsid w:val="4DA370C6"/>
    <w:rsid w:val="4EC5325E"/>
    <w:rsid w:val="51B80C66"/>
    <w:rsid w:val="51F66670"/>
    <w:rsid w:val="52DC47A1"/>
    <w:rsid w:val="54C31DFB"/>
    <w:rsid w:val="560D4EBC"/>
    <w:rsid w:val="578F360F"/>
    <w:rsid w:val="57AE6D93"/>
    <w:rsid w:val="57FB7184"/>
    <w:rsid w:val="5C9122C7"/>
    <w:rsid w:val="5CC26E3C"/>
    <w:rsid w:val="5D240B4E"/>
    <w:rsid w:val="5D9541F5"/>
    <w:rsid w:val="5F1A4A8A"/>
    <w:rsid w:val="61683FE1"/>
    <w:rsid w:val="618307D3"/>
    <w:rsid w:val="621C1427"/>
    <w:rsid w:val="63AF00F5"/>
    <w:rsid w:val="64C61940"/>
    <w:rsid w:val="65055B18"/>
    <w:rsid w:val="65A77479"/>
    <w:rsid w:val="66521CDF"/>
    <w:rsid w:val="6C202B2E"/>
    <w:rsid w:val="6CA4030D"/>
    <w:rsid w:val="6E313E22"/>
    <w:rsid w:val="717208D5"/>
    <w:rsid w:val="71CC7658"/>
    <w:rsid w:val="71EA606C"/>
    <w:rsid w:val="722F68CA"/>
    <w:rsid w:val="745B7503"/>
    <w:rsid w:val="77F75594"/>
    <w:rsid w:val="782D12C2"/>
    <w:rsid w:val="78AC4D98"/>
    <w:rsid w:val="78BE62B2"/>
    <w:rsid w:val="7B7B492E"/>
    <w:rsid w:val="7C594E55"/>
    <w:rsid w:val="7E01111B"/>
    <w:rsid w:val="7E714476"/>
    <w:rsid w:val="7F85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annotation reference"/>
    <w:basedOn w:val="7"/>
    <w:semiHidden/>
    <w:unhideWhenUsed/>
    <w:qFormat/>
    <w:uiPriority w:val="99"/>
    <w:rPr>
      <w:sz w:val="21"/>
      <w:szCs w:val="21"/>
    </w:rPr>
  </w:style>
  <w:style w:type="character" w:customStyle="1" w:styleId="10">
    <w:name w:val="页眉 字符"/>
    <w:basedOn w:val="7"/>
    <w:link w:val="5"/>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批注文字 字符"/>
    <w:basedOn w:val="7"/>
    <w:link w:val="2"/>
    <w:semiHidden/>
    <w:uiPriority w:val="99"/>
  </w:style>
  <w:style w:type="character" w:customStyle="1" w:styleId="13">
    <w:name w:val="批注框文本 字符"/>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chinastock.com.cn</Company>
  <Pages>4</Pages>
  <Words>386</Words>
  <Characters>2201</Characters>
  <Lines>18</Lines>
  <Paragraphs>5</Paragraphs>
  <TotalTime>37</TotalTime>
  <ScaleCrop>false</ScaleCrop>
  <LinksUpToDate>false</LinksUpToDate>
  <CharactersWithSpaces>2582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2022-01-17T06:10:00Z</dcterms:created>
  <dc:creator>辛璐</dc:creator>
  <cp:lastModifiedBy>zgz</cp:lastModifiedBy>
  <dcterms:modified xsi:type="dcterms:W3CDTF">2022-02-07T02:53:15Z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2D6C320CDFB848B0897D21BEA5DB993A</vt:lpwstr>
  </property>
</Properties>
</file>