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7BF0F" w14:textId="77777777" w:rsidR="001777A9" w:rsidRDefault="002035FD">
      <w:pPr>
        <w:jc w:val="left"/>
        <w:rPr>
          <w:rFonts w:ascii="仿宋" w:eastAsia="仿宋" w:hAnsi="仿宋"/>
          <w:b/>
          <w:sz w:val="28"/>
          <w:szCs w:val="28"/>
        </w:rPr>
      </w:pPr>
      <w:r>
        <w:rPr>
          <w:rFonts w:ascii="仿宋" w:eastAsia="仿宋" w:hAnsi="仿宋" w:hint="eastAsia"/>
          <w:b/>
          <w:sz w:val="28"/>
          <w:szCs w:val="28"/>
        </w:rPr>
        <w:t>现有功能的优化完善：</w:t>
      </w:r>
    </w:p>
    <w:p w14:paraId="0BF99937" w14:textId="77777777" w:rsidR="001777A9" w:rsidRDefault="002035FD">
      <w:pPr>
        <w:pStyle w:val="af"/>
        <w:numPr>
          <w:ilvl w:val="0"/>
          <w:numId w:val="1"/>
        </w:numPr>
        <w:ind w:firstLineChars="0"/>
        <w:jc w:val="left"/>
        <w:rPr>
          <w:rFonts w:ascii="仿宋" w:eastAsia="仿宋" w:hAnsi="仿宋"/>
          <w:b/>
          <w:sz w:val="28"/>
          <w:szCs w:val="28"/>
        </w:rPr>
      </w:pPr>
      <w:r>
        <w:rPr>
          <w:rFonts w:ascii="仿宋" w:eastAsia="仿宋" w:hAnsi="仿宋" w:hint="eastAsia"/>
          <w:b/>
          <w:sz w:val="28"/>
          <w:szCs w:val="28"/>
        </w:rPr>
        <w:t>高风险股票监控：</w:t>
      </w:r>
    </w:p>
    <w:p w14:paraId="017782B7" w14:textId="77777777" w:rsidR="001777A9" w:rsidRDefault="002035FD">
      <w:pPr>
        <w:ind w:left="420"/>
        <w:jc w:val="left"/>
        <w:rPr>
          <w:rFonts w:ascii="仿宋" w:eastAsia="仿宋" w:hAnsi="仿宋"/>
          <w:sz w:val="28"/>
          <w:szCs w:val="28"/>
        </w:rPr>
      </w:pPr>
      <w:r>
        <w:rPr>
          <w:rFonts w:ascii="仿宋" w:eastAsia="仿宋" w:hAnsi="仿宋" w:hint="eastAsia"/>
          <w:sz w:val="28"/>
          <w:szCs w:val="28"/>
        </w:rPr>
        <w:t>1、</w:t>
      </w:r>
      <w:r>
        <w:rPr>
          <w:rFonts w:ascii="仿宋" w:eastAsia="仿宋" w:hAnsi="仿宋"/>
          <w:sz w:val="28"/>
          <w:szCs w:val="28"/>
        </w:rPr>
        <w:t>股票基准名单为交易所范围内的所有可充抵保证金股票</w:t>
      </w:r>
      <w:r>
        <w:rPr>
          <w:rFonts w:ascii="仿宋" w:eastAsia="仿宋" w:hAnsi="仿宋" w:hint="eastAsia"/>
          <w:sz w:val="28"/>
          <w:szCs w:val="28"/>
        </w:rPr>
        <w:t>，“交易所担保证券”一列修改为“是否我司担保范围”。</w:t>
      </w:r>
      <w:r>
        <w:rPr>
          <w:rFonts w:ascii="仿宋" w:eastAsia="仿宋" w:hAnsi="仿宋" w:hint="eastAsia"/>
          <w:color w:val="FF0000"/>
          <w:sz w:val="28"/>
          <w:szCs w:val="28"/>
        </w:rPr>
        <w:t>（已实现）</w:t>
      </w:r>
      <w:commentRangeStart w:id="0"/>
      <w:commentRangeEnd w:id="0"/>
      <w:r>
        <w:commentReference w:id="0"/>
      </w:r>
    </w:p>
    <w:p w14:paraId="6815A535" w14:textId="77777777" w:rsidR="001777A9" w:rsidRDefault="002035FD">
      <w:pPr>
        <w:ind w:left="420"/>
        <w:jc w:val="left"/>
        <w:rPr>
          <w:rFonts w:ascii="仿宋" w:eastAsia="仿宋" w:hAnsi="仿宋"/>
          <w:sz w:val="28"/>
          <w:szCs w:val="28"/>
        </w:rPr>
      </w:pPr>
      <w:r>
        <w:rPr>
          <w:rFonts w:ascii="仿宋" w:eastAsia="仿宋" w:hAnsi="仿宋"/>
          <w:sz w:val="28"/>
          <w:szCs w:val="28"/>
        </w:rPr>
        <w:t>2</w:t>
      </w:r>
      <w:r>
        <w:rPr>
          <w:rFonts w:ascii="仿宋" w:eastAsia="仿宋" w:hAnsi="仿宋" w:hint="eastAsia"/>
          <w:sz w:val="28"/>
          <w:szCs w:val="28"/>
        </w:rPr>
        <w:t>、所有占比</w:t>
      </w:r>
      <w:r>
        <w:rPr>
          <w:rFonts w:ascii="仿宋" w:eastAsia="仿宋" w:hAnsi="仿宋"/>
          <w:sz w:val="28"/>
          <w:szCs w:val="28"/>
        </w:rPr>
        <w:t>数据保留四位小数。</w:t>
      </w:r>
      <w:r>
        <w:rPr>
          <w:rFonts w:ascii="仿宋" w:eastAsia="仿宋" w:hAnsi="仿宋" w:hint="eastAsia"/>
          <w:color w:val="FF0000"/>
          <w:sz w:val="28"/>
          <w:szCs w:val="28"/>
        </w:rPr>
        <w:t>（已实现）</w:t>
      </w:r>
    </w:p>
    <w:p w14:paraId="216FE2FC" w14:textId="77777777" w:rsidR="001777A9" w:rsidRDefault="002035FD">
      <w:pPr>
        <w:ind w:leftChars="202" w:left="426" w:hanging="2"/>
        <w:jc w:val="left"/>
        <w:rPr>
          <w:rFonts w:ascii="仿宋" w:eastAsia="仿宋" w:hAnsi="仿宋"/>
          <w:sz w:val="28"/>
          <w:szCs w:val="28"/>
        </w:rPr>
      </w:pPr>
      <w:r>
        <w:rPr>
          <w:rFonts w:ascii="仿宋" w:eastAsia="仿宋" w:hAnsi="仿宋"/>
          <w:sz w:val="28"/>
          <w:szCs w:val="28"/>
        </w:rPr>
        <w:t>3、查询条件增加</w:t>
      </w:r>
      <w:r>
        <w:rPr>
          <w:rFonts w:ascii="仿宋" w:eastAsia="仿宋" w:hAnsi="仿宋" w:hint="eastAsia"/>
          <w:sz w:val="28"/>
          <w:szCs w:val="28"/>
        </w:rPr>
        <w:t>一个</w:t>
      </w:r>
      <w:r>
        <w:rPr>
          <w:rFonts w:ascii="仿宋" w:eastAsia="仿宋" w:hAnsi="仿宋"/>
          <w:sz w:val="28"/>
          <w:szCs w:val="28"/>
        </w:rPr>
        <w:t>“历史日期”，列表增加一列信息展示</w:t>
      </w:r>
      <w:r>
        <w:rPr>
          <w:rFonts w:ascii="仿宋" w:eastAsia="仿宋" w:hAnsi="仿宋" w:hint="eastAsia"/>
          <w:sz w:val="28"/>
          <w:szCs w:val="28"/>
        </w:rPr>
        <w:t>查询日期</w:t>
      </w:r>
      <w:r>
        <w:rPr>
          <w:rFonts w:ascii="仿宋" w:eastAsia="仿宋" w:hAnsi="仿宋"/>
          <w:sz w:val="28"/>
          <w:szCs w:val="28"/>
        </w:rPr>
        <w:t>与历史查询日期对比，有</w:t>
      </w:r>
      <w:proofErr w:type="gramStart"/>
      <w:r>
        <w:rPr>
          <w:rFonts w:ascii="仿宋" w:eastAsia="仿宋" w:hAnsi="仿宋"/>
          <w:sz w:val="28"/>
          <w:szCs w:val="28"/>
        </w:rPr>
        <w:t>哪些高</w:t>
      </w:r>
      <w:proofErr w:type="gramEnd"/>
      <w:r>
        <w:rPr>
          <w:rFonts w:ascii="仿宋" w:eastAsia="仿宋" w:hAnsi="仿宋"/>
          <w:sz w:val="28"/>
          <w:szCs w:val="28"/>
        </w:rPr>
        <w:t>风险股票是新增的。</w:t>
      </w:r>
      <w:r>
        <w:rPr>
          <w:rFonts w:ascii="仿宋" w:eastAsia="仿宋" w:hAnsi="仿宋" w:hint="eastAsia"/>
          <w:color w:val="FF0000"/>
          <w:sz w:val="28"/>
          <w:szCs w:val="28"/>
        </w:rPr>
        <w:t>（《2022年金证信用风险评估系统需求》内需求，未开始）</w:t>
      </w:r>
    </w:p>
    <w:p w14:paraId="5C639345" w14:textId="77777777" w:rsidR="001777A9" w:rsidRDefault="002035FD">
      <w:pPr>
        <w:pStyle w:val="af"/>
        <w:numPr>
          <w:ilvl w:val="0"/>
          <w:numId w:val="1"/>
        </w:numPr>
        <w:ind w:firstLineChars="0"/>
        <w:jc w:val="left"/>
        <w:rPr>
          <w:rFonts w:ascii="仿宋" w:eastAsia="仿宋" w:hAnsi="仿宋"/>
          <w:b/>
          <w:sz w:val="28"/>
          <w:szCs w:val="28"/>
        </w:rPr>
      </w:pPr>
      <w:proofErr w:type="gramStart"/>
      <w:r>
        <w:rPr>
          <w:rFonts w:ascii="仿宋" w:eastAsia="仿宋" w:hAnsi="仿宋" w:hint="eastAsia"/>
          <w:b/>
          <w:sz w:val="28"/>
          <w:szCs w:val="28"/>
        </w:rPr>
        <w:t>交易类退市</w:t>
      </w:r>
      <w:proofErr w:type="gramEnd"/>
      <w:r>
        <w:rPr>
          <w:rFonts w:ascii="仿宋" w:eastAsia="仿宋" w:hAnsi="仿宋" w:hint="eastAsia"/>
          <w:b/>
          <w:sz w:val="28"/>
          <w:szCs w:val="28"/>
        </w:rPr>
        <w:t>监控</w:t>
      </w:r>
    </w:p>
    <w:p w14:paraId="7315A0F8" w14:textId="77777777" w:rsidR="001777A9" w:rsidRDefault="002035FD">
      <w:pPr>
        <w:ind w:left="420"/>
        <w:jc w:val="left"/>
        <w:rPr>
          <w:rFonts w:ascii="仿宋" w:eastAsia="仿宋" w:hAnsi="仿宋"/>
          <w:sz w:val="28"/>
          <w:szCs w:val="28"/>
        </w:rPr>
      </w:pPr>
      <w:r>
        <w:rPr>
          <w:rFonts w:ascii="仿宋" w:eastAsia="仿宋" w:hAnsi="仿宋" w:hint="eastAsia"/>
          <w:sz w:val="28"/>
          <w:szCs w:val="28"/>
        </w:rPr>
        <w:t>1、</w:t>
      </w:r>
      <w:r>
        <w:rPr>
          <w:rFonts w:ascii="仿宋" w:eastAsia="仿宋" w:hAnsi="仿宋"/>
          <w:sz w:val="28"/>
          <w:szCs w:val="28"/>
        </w:rPr>
        <w:t>股票基准名单为交易所范围内的所有可充抵保证金股票</w:t>
      </w:r>
      <w:r>
        <w:rPr>
          <w:rFonts w:ascii="仿宋" w:eastAsia="仿宋" w:hAnsi="仿宋" w:hint="eastAsia"/>
          <w:sz w:val="28"/>
          <w:szCs w:val="28"/>
        </w:rPr>
        <w:t>，四个子页面例表中增加列“是否我司担保范围”。</w:t>
      </w:r>
      <w:r>
        <w:rPr>
          <w:rFonts w:ascii="仿宋" w:eastAsia="仿宋" w:hAnsi="仿宋" w:hint="eastAsia"/>
          <w:color w:val="FF0000"/>
          <w:sz w:val="28"/>
          <w:szCs w:val="28"/>
        </w:rPr>
        <w:t>（已实现）</w:t>
      </w:r>
      <w:commentRangeStart w:id="1"/>
      <w:commentRangeEnd w:id="1"/>
      <w:r>
        <w:commentReference w:id="1"/>
      </w:r>
    </w:p>
    <w:p w14:paraId="204F26E1" w14:textId="77777777" w:rsidR="001777A9" w:rsidRDefault="002035FD">
      <w:pPr>
        <w:ind w:left="420"/>
        <w:jc w:val="left"/>
        <w:rPr>
          <w:rFonts w:ascii="仿宋" w:eastAsia="仿宋" w:hAnsi="仿宋"/>
          <w:sz w:val="28"/>
          <w:szCs w:val="28"/>
        </w:rPr>
      </w:pPr>
      <w:r>
        <w:rPr>
          <w:rFonts w:ascii="仿宋" w:eastAsia="仿宋" w:hAnsi="仿宋" w:hint="eastAsia"/>
          <w:sz w:val="28"/>
          <w:szCs w:val="28"/>
        </w:rPr>
        <w:t>2、成交量监控中，连续交易日</w:t>
      </w:r>
      <w:r>
        <w:rPr>
          <w:rFonts w:ascii="仿宋" w:eastAsia="仿宋" w:hAnsi="仿宋"/>
          <w:sz w:val="28"/>
          <w:szCs w:val="28"/>
        </w:rPr>
        <w:t>=XX</w:t>
      </w:r>
      <w:r>
        <w:rPr>
          <w:rFonts w:ascii="仿宋" w:eastAsia="仿宋" w:hAnsi="仿宋" w:hint="eastAsia"/>
          <w:sz w:val="28"/>
          <w:szCs w:val="28"/>
        </w:rPr>
        <w:t>，修改为连续交易日&gt;</w:t>
      </w:r>
      <w:r>
        <w:rPr>
          <w:rFonts w:ascii="仿宋" w:eastAsia="仿宋" w:hAnsi="仿宋"/>
          <w:sz w:val="28"/>
          <w:szCs w:val="28"/>
        </w:rPr>
        <w:t>=XX</w:t>
      </w:r>
      <w:r>
        <w:rPr>
          <w:rFonts w:ascii="仿宋" w:eastAsia="仿宋" w:hAnsi="仿宋" w:hint="eastAsia"/>
          <w:color w:val="FF0000"/>
          <w:sz w:val="28"/>
          <w:szCs w:val="28"/>
        </w:rPr>
        <w:t>（已实现）</w:t>
      </w:r>
    </w:p>
    <w:p w14:paraId="17933B8A" w14:textId="77777777" w:rsidR="001777A9" w:rsidRDefault="002035FD">
      <w:pPr>
        <w:ind w:left="420"/>
        <w:jc w:val="left"/>
        <w:rPr>
          <w:rFonts w:ascii="仿宋" w:eastAsia="仿宋" w:hAnsi="仿宋"/>
          <w:sz w:val="28"/>
          <w:szCs w:val="28"/>
        </w:rPr>
      </w:pPr>
      <w:r>
        <w:rPr>
          <w:rFonts w:ascii="仿宋" w:eastAsia="仿宋" w:hAnsi="仿宋"/>
          <w:sz w:val="28"/>
          <w:szCs w:val="28"/>
        </w:rPr>
        <w:t>3、发送监控</w:t>
      </w:r>
      <w:r>
        <w:rPr>
          <w:rFonts w:ascii="仿宋" w:eastAsia="仿宋" w:hAnsi="仿宋" w:hint="eastAsia"/>
          <w:sz w:val="28"/>
          <w:szCs w:val="28"/>
        </w:rPr>
        <w:t>邮件</w:t>
      </w:r>
      <w:r>
        <w:rPr>
          <w:rFonts w:ascii="仿宋" w:eastAsia="仿宋" w:hAnsi="仿宋"/>
          <w:sz w:val="28"/>
          <w:szCs w:val="28"/>
        </w:rPr>
        <w:t>提示，累计成交量低于XXX万股，第89、90、91个交易日进行提示邮件；其他三个时点数据</w:t>
      </w:r>
      <w:r>
        <w:rPr>
          <w:rFonts w:ascii="仿宋" w:eastAsia="仿宋" w:hAnsi="仿宋" w:hint="eastAsia"/>
          <w:sz w:val="28"/>
          <w:szCs w:val="28"/>
        </w:rPr>
        <w:t>（收盘价、市值、股东人数）</w:t>
      </w:r>
      <w:r>
        <w:rPr>
          <w:rFonts w:ascii="仿宋" w:eastAsia="仿宋" w:hAnsi="仿宋"/>
          <w:sz w:val="28"/>
          <w:szCs w:val="28"/>
        </w:rPr>
        <w:t>只要触发了就发送提示邮件。</w:t>
      </w:r>
      <w:r>
        <w:rPr>
          <w:rFonts w:ascii="仿宋" w:eastAsia="仿宋" w:hAnsi="仿宋" w:hint="eastAsia"/>
          <w:sz w:val="28"/>
          <w:szCs w:val="28"/>
        </w:rPr>
        <w:t>邮件内容模板之后提供。</w:t>
      </w:r>
      <w:r>
        <w:rPr>
          <w:rFonts w:ascii="仿宋" w:eastAsia="仿宋" w:hAnsi="仿宋" w:hint="eastAsia"/>
          <w:color w:val="FF0000"/>
          <w:sz w:val="28"/>
          <w:szCs w:val="28"/>
        </w:rPr>
        <w:t>（《2022年金证信用风险评估系统需求》内需求，未开始）</w:t>
      </w:r>
    </w:p>
    <w:p w14:paraId="065FE0A6" w14:textId="77777777" w:rsidR="001777A9" w:rsidRDefault="002035FD">
      <w:pPr>
        <w:jc w:val="left"/>
        <w:rPr>
          <w:rFonts w:ascii="仿宋" w:eastAsia="仿宋" w:hAnsi="仿宋"/>
          <w:b/>
          <w:sz w:val="28"/>
          <w:szCs w:val="28"/>
        </w:rPr>
      </w:pPr>
      <w:r>
        <w:rPr>
          <w:rFonts w:ascii="仿宋" w:eastAsia="仿宋" w:hAnsi="仿宋" w:hint="eastAsia"/>
          <w:b/>
          <w:sz w:val="28"/>
          <w:szCs w:val="28"/>
        </w:rPr>
        <w:t>三、折算率管理和担保</w:t>
      </w:r>
      <w:proofErr w:type="gramStart"/>
      <w:r>
        <w:rPr>
          <w:rFonts w:ascii="仿宋" w:eastAsia="仿宋" w:hAnsi="仿宋" w:hint="eastAsia"/>
          <w:b/>
          <w:sz w:val="28"/>
          <w:szCs w:val="28"/>
        </w:rPr>
        <w:t>券</w:t>
      </w:r>
      <w:proofErr w:type="gramEnd"/>
      <w:r>
        <w:rPr>
          <w:rFonts w:ascii="仿宋" w:eastAsia="仿宋" w:hAnsi="仿宋" w:hint="eastAsia"/>
          <w:b/>
          <w:sz w:val="28"/>
          <w:szCs w:val="28"/>
        </w:rPr>
        <w:t>评分</w:t>
      </w:r>
    </w:p>
    <w:p w14:paraId="2739E6AB" w14:textId="77777777" w:rsidR="001777A9" w:rsidRDefault="002035FD">
      <w:pPr>
        <w:jc w:val="left"/>
        <w:rPr>
          <w:rFonts w:ascii="仿宋" w:eastAsia="仿宋" w:hAnsi="仿宋"/>
          <w:sz w:val="28"/>
          <w:szCs w:val="28"/>
        </w:rPr>
      </w:pPr>
      <w:r>
        <w:rPr>
          <w:rFonts w:ascii="仿宋" w:eastAsia="仿宋" w:hAnsi="仿宋" w:hint="eastAsia"/>
          <w:sz w:val="28"/>
          <w:szCs w:val="28"/>
        </w:rPr>
        <w:t>1、</w:t>
      </w:r>
      <w:r>
        <w:rPr>
          <w:rFonts w:ascii="仿宋" w:eastAsia="仿宋" w:hAnsi="仿宋"/>
          <w:sz w:val="28"/>
          <w:szCs w:val="28"/>
        </w:rPr>
        <w:t>股票基准名单为交易所范围内的所有可充抵保证金股票</w:t>
      </w:r>
      <w:r>
        <w:rPr>
          <w:rFonts w:ascii="仿宋" w:eastAsia="仿宋" w:hAnsi="仿宋" w:hint="eastAsia"/>
          <w:sz w:val="28"/>
          <w:szCs w:val="28"/>
        </w:rPr>
        <w:t>，“是否为担保</w:t>
      </w:r>
      <w:proofErr w:type="gramStart"/>
      <w:r>
        <w:rPr>
          <w:rFonts w:ascii="仿宋" w:eastAsia="仿宋" w:hAnsi="仿宋" w:hint="eastAsia"/>
          <w:sz w:val="28"/>
          <w:szCs w:val="28"/>
        </w:rPr>
        <w:t>券</w:t>
      </w:r>
      <w:proofErr w:type="gramEnd"/>
      <w:r>
        <w:rPr>
          <w:rFonts w:ascii="仿宋" w:eastAsia="仿宋" w:hAnsi="仿宋" w:hint="eastAsia"/>
          <w:sz w:val="28"/>
          <w:szCs w:val="28"/>
        </w:rPr>
        <w:t>”一列信息展示应为“是否我司担保范围”。</w:t>
      </w:r>
      <w:r>
        <w:rPr>
          <w:rFonts w:ascii="仿宋" w:eastAsia="仿宋" w:hAnsi="仿宋" w:hint="eastAsia"/>
          <w:color w:val="FF0000"/>
          <w:sz w:val="28"/>
          <w:szCs w:val="28"/>
        </w:rPr>
        <w:t>（已实现）</w:t>
      </w:r>
    </w:p>
    <w:p w14:paraId="735307F5" w14:textId="18E069E7" w:rsidR="001777A9" w:rsidRDefault="002035FD">
      <w:pPr>
        <w:jc w:val="left"/>
        <w:rPr>
          <w:rFonts w:ascii="仿宋" w:eastAsia="仿宋" w:hAnsi="仿宋"/>
          <w:sz w:val="28"/>
          <w:szCs w:val="28"/>
        </w:rPr>
      </w:pPr>
      <w:r>
        <w:rPr>
          <w:rFonts w:ascii="仿宋" w:eastAsia="仿宋" w:hAnsi="仿宋" w:hint="eastAsia"/>
          <w:sz w:val="28"/>
          <w:szCs w:val="28"/>
        </w:rPr>
        <w:t>2、核准</w:t>
      </w:r>
      <w:proofErr w:type="gramStart"/>
      <w:r>
        <w:rPr>
          <w:rFonts w:ascii="仿宋" w:eastAsia="仿宋" w:hAnsi="仿宋" w:hint="eastAsia"/>
          <w:sz w:val="28"/>
          <w:szCs w:val="28"/>
        </w:rPr>
        <w:t>制股票</w:t>
      </w:r>
      <w:proofErr w:type="gramEnd"/>
      <w:r>
        <w:rPr>
          <w:rFonts w:ascii="仿宋" w:eastAsia="仿宋" w:hAnsi="仿宋" w:hint="eastAsia"/>
          <w:sz w:val="28"/>
          <w:szCs w:val="28"/>
        </w:rPr>
        <w:t>模型中，评价指标选取规则详见以下文档。注册</w:t>
      </w:r>
      <w:proofErr w:type="gramStart"/>
      <w:r>
        <w:rPr>
          <w:rFonts w:ascii="仿宋" w:eastAsia="仿宋" w:hAnsi="仿宋" w:hint="eastAsia"/>
          <w:sz w:val="28"/>
          <w:szCs w:val="28"/>
        </w:rPr>
        <w:t>制股</w:t>
      </w:r>
      <w:r>
        <w:rPr>
          <w:rFonts w:ascii="仿宋" w:eastAsia="仿宋" w:hAnsi="仿宋" w:hint="eastAsia"/>
          <w:sz w:val="28"/>
          <w:szCs w:val="28"/>
        </w:rPr>
        <w:lastRenderedPageBreak/>
        <w:t>票</w:t>
      </w:r>
      <w:proofErr w:type="gramEnd"/>
      <w:r>
        <w:rPr>
          <w:rFonts w:ascii="仿宋" w:eastAsia="仿宋" w:hAnsi="仿宋" w:hint="eastAsia"/>
          <w:sz w:val="28"/>
          <w:szCs w:val="28"/>
        </w:rPr>
        <w:t>模型中除日均（注册制</w:t>
      </w:r>
      <w:proofErr w:type="gramStart"/>
      <w:r>
        <w:rPr>
          <w:rFonts w:ascii="仿宋" w:eastAsia="仿宋" w:hAnsi="仿宋" w:hint="eastAsia"/>
          <w:sz w:val="28"/>
          <w:szCs w:val="28"/>
        </w:rPr>
        <w:t>日均指</w:t>
      </w:r>
      <w:proofErr w:type="gramEnd"/>
      <w:r>
        <w:rPr>
          <w:rFonts w:ascii="仿宋" w:eastAsia="仿宋" w:hAnsi="仿宋" w:hint="eastAsia"/>
          <w:sz w:val="28"/>
          <w:szCs w:val="28"/>
        </w:rPr>
        <w:t>自上市首日至</w:t>
      </w:r>
      <w:proofErr w:type="gramStart"/>
      <w:r>
        <w:rPr>
          <w:rFonts w:ascii="仿宋" w:eastAsia="仿宋" w:hAnsi="仿宋" w:hint="eastAsia"/>
          <w:sz w:val="28"/>
          <w:szCs w:val="28"/>
        </w:rPr>
        <w:t>即日的</w:t>
      </w:r>
      <w:proofErr w:type="gramEnd"/>
      <w:r>
        <w:rPr>
          <w:rFonts w:ascii="仿宋" w:eastAsia="仿宋" w:hAnsi="仿宋" w:hint="eastAsia"/>
          <w:sz w:val="28"/>
          <w:szCs w:val="28"/>
        </w:rPr>
        <w:t>区间日均）指标外，其他指标逻辑也与以下一致。</w:t>
      </w:r>
      <w:r>
        <w:rPr>
          <w:rFonts w:ascii="仿宋" w:eastAsia="仿宋" w:hAnsi="仿宋" w:hint="eastAsia"/>
          <w:color w:val="FF0000"/>
          <w:sz w:val="28"/>
          <w:szCs w:val="28"/>
        </w:rPr>
        <w:t>（</w:t>
      </w:r>
      <w:r w:rsidR="00A95C47">
        <w:rPr>
          <w:rFonts w:ascii="仿宋" w:eastAsia="仿宋" w:hAnsi="仿宋" w:hint="eastAsia"/>
          <w:color w:val="FF0000"/>
          <w:sz w:val="28"/>
          <w:szCs w:val="28"/>
        </w:rPr>
        <w:t>新需求 和</w:t>
      </w:r>
      <w:r w:rsidR="00A95C47">
        <w:rPr>
          <w:rFonts w:ascii="仿宋" w:eastAsia="仿宋" w:hAnsi="仿宋" w:hint="eastAsia"/>
          <w:b/>
          <w:color w:val="FF0000"/>
          <w:sz w:val="28"/>
          <w:szCs w:val="28"/>
        </w:rPr>
        <w:t>《2022年金证信用风险评估系统需求》</w:t>
      </w:r>
      <w:r w:rsidR="00A95C47">
        <w:rPr>
          <w:rFonts w:ascii="仿宋" w:eastAsia="仿宋" w:hAnsi="仿宋" w:hint="eastAsia"/>
          <w:b/>
          <w:color w:val="FF0000"/>
          <w:sz w:val="28"/>
          <w:szCs w:val="28"/>
        </w:rPr>
        <w:t>的</w:t>
      </w:r>
      <w:r w:rsidR="00A95C47">
        <w:rPr>
          <w:rFonts w:ascii="仿宋" w:eastAsia="仿宋" w:hAnsi="仿宋" w:hint="eastAsia"/>
          <w:b/>
          <w:color w:val="FF0000"/>
          <w:sz w:val="28"/>
          <w:szCs w:val="28"/>
        </w:rPr>
        <w:t>需求</w:t>
      </w:r>
      <w:r w:rsidR="00A95C47">
        <w:rPr>
          <w:rFonts w:ascii="仿宋" w:eastAsia="仿宋" w:hAnsi="仿宋" w:hint="eastAsia"/>
          <w:b/>
          <w:color w:val="FF0000"/>
          <w:sz w:val="28"/>
          <w:szCs w:val="28"/>
        </w:rPr>
        <w:t>一起开发</w:t>
      </w:r>
      <w:r>
        <w:rPr>
          <w:rFonts w:ascii="仿宋" w:eastAsia="仿宋" w:hAnsi="仿宋" w:hint="eastAsia"/>
          <w:color w:val="FF0000"/>
          <w:sz w:val="28"/>
          <w:szCs w:val="28"/>
        </w:rPr>
        <w:t>）</w:t>
      </w:r>
    </w:p>
    <w:bookmarkStart w:id="2" w:name="_MON_1704196549"/>
    <w:bookmarkEnd w:id="2"/>
    <w:p w14:paraId="53653A0A" w14:textId="77777777" w:rsidR="001777A9" w:rsidRDefault="002035FD">
      <w:pPr>
        <w:jc w:val="center"/>
        <w:rPr>
          <w:rFonts w:ascii="仿宋" w:eastAsia="仿宋" w:hAnsi="仿宋"/>
          <w:sz w:val="28"/>
          <w:szCs w:val="28"/>
        </w:rPr>
      </w:pPr>
      <w:r>
        <w:rPr>
          <w:rFonts w:ascii="仿宋" w:eastAsia="仿宋" w:hAnsi="仿宋"/>
          <w:sz w:val="28"/>
          <w:szCs w:val="28"/>
        </w:rPr>
        <w:object w:dxaOrig="1552" w:dyaOrig="1122" w14:anchorId="00E55B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6.25pt" o:ole="">
            <v:imagedata r:id="rId11" o:title=""/>
          </v:shape>
          <o:OLEObject Type="Embed" ProgID="Word.Document.12" ShapeID="_x0000_i1025" DrawAspect="Icon" ObjectID="_1708350665" r:id="rId12"/>
        </w:object>
      </w:r>
    </w:p>
    <w:p w14:paraId="6799E4CE" w14:textId="76C99C26" w:rsidR="001777A9" w:rsidRDefault="002035FD">
      <w:pPr>
        <w:jc w:val="left"/>
        <w:rPr>
          <w:rFonts w:ascii="仿宋" w:eastAsia="仿宋" w:hAnsi="仿宋"/>
          <w:b/>
          <w:sz w:val="28"/>
          <w:szCs w:val="28"/>
        </w:rPr>
      </w:pPr>
      <w:r>
        <w:rPr>
          <w:rFonts w:ascii="仿宋" w:eastAsia="仿宋" w:hAnsi="仿宋" w:hint="eastAsia"/>
          <w:b/>
          <w:sz w:val="28"/>
          <w:szCs w:val="28"/>
        </w:rPr>
        <w:t>四、在现有核准</w:t>
      </w:r>
      <w:proofErr w:type="gramStart"/>
      <w:r>
        <w:rPr>
          <w:rFonts w:ascii="仿宋" w:eastAsia="仿宋" w:hAnsi="仿宋" w:hint="eastAsia"/>
          <w:b/>
          <w:sz w:val="28"/>
          <w:szCs w:val="28"/>
        </w:rPr>
        <w:t>制股票</w:t>
      </w:r>
      <w:proofErr w:type="gramEnd"/>
      <w:r>
        <w:rPr>
          <w:rFonts w:ascii="仿宋" w:eastAsia="仿宋" w:hAnsi="仿宋" w:hint="eastAsia"/>
          <w:b/>
          <w:sz w:val="28"/>
          <w:szCs w:val="28"/>
        </w:rPr>
        <w:t>折算率模型中，加入一个逆周期调节因子的加减分项</w:t>
      </w:r>
      <w:r>
        <w:rPr>
          <w:rFonts w:ascii="仿宋" w:eastAsia="仿宋" w:hAnsi="仿宋" w:hint="eastAsia"/>
          <w:b/>
          <w:color w:val="FF0000"/>
          <w:sz w:val="28"/>
          <w:szCs w:val="28"/>
        </w:rPr>
        <w:t>（</w:t>
      </w:r>
      <w:r w:rsidR="00CB0F6C">
        <w:rPr>
          <w:rFonts w:ascii="仿宋" w:eastAsia="仿宋" w:hAnsi="仿宋" w:hint="eastAsia"/>
          <w:b/>
          <w:color w:val="FF0000"/>
          <w:sz w:val="28"/>
          <w:szCs w:val="28"/>
        </w:rPr>
        <w:t>《2022年金证信用风险评估系统需求》内需求，</w:t>
      </w:r>
      <w:r>
        <w:rPr>
          <w:rFonts w:ascii="仿宋" w:eastAsia="仿宋" w:hAnsi="仿宋" w:hint="eastAsia"/>
          <w:b/>
          <w:color w:val="FF0000"/>
          <w:sz w:val="28"/>
          <w:szCs w:val="28"/>
        </w:rPr>
        <w:t>未开始）</w:t>
      </w:r>
    </w:p>
    <w:p w14:paraId="15EB90B9" w14:textId="77777777" w:rsidR="001777A9" w:rsidRDefault="001777A9"/>
    <w:tbl>
      <w:tblPr>
        <w:tblW w:w="96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2"/>
        <w:gridCol w:w="3020"/>
        <w:gridCol w:w="4961"/>
      </w:tblGrid>
      <w:tr w:rsidR="001777A9" w14:paraId="0B8F0FCE" w14:textId="77777777">
        <w:trPr>
          <w:trHeight w:val="557"/>
        </w:trPr>
        <w:tc>
          <w:tcPr>
            <w:tcW w:w="9643" w:type="dxa"/>
            <w:gridSpan w:val="3"/>
            <w:shd w:val="clear" w:color="auto" w:fill="A8D08D" w:themeFill="accent6" w:themeFillTint="99"/>
            <w:vAlign w:val="center"/>
          </w:tcPr>
          <w:p w14:paraId="091BD38A" w14:textId="77777777" w:rsidR="001777A9" w:rsidRDefault="002035FD">
            <w:pPr>
              <w:spacing w:line="360" w:lineRule="auto"/>
              <w:jc w:val="center"/>
              <w:rPr>
                <w:rFonts w:ascii="仿宋" w:eastAsia="仿宋" w:hAnsi="仿宋"/>
                <w:b/>
                <w:sz w:val="24"/>
                <w:szCs w:val="24"/>
              </w:rPr>
            </w:pPr>
            <w:r>
              <w:rPr>
                <w:rFonts w:ascii="仿宋" w:eastAsia="仿宋" w:hAnsi="仿宋" w:hint="eastAsia"/>
                <w:b/>
                <w:sz w:val="32"/>
                <w:szCs w:val="24"/>
              </w:rPr>
              <w:t>加减分项</w:t>
            </w:r>
          </w:p>
        </w:tc>
      </w:tr>
      <w:tr w:rsidR="001777A9" w14:paraId="1A61DD7C" w14:textId="77777777">
        <w:tc>
          <w:tcPr>
            <w:tcW w:w="1662" w:type="dxa"/>
            <w:vAlign w:val="center"/>
          </w:tcPr>
          <w:p w14:paraId="0A5E0DEF" w14:textId="77777777" w:rsidR="001777A9" w:rsidRDefault="002035FD">
            <w:pPr>
              <w:spacing w:line="300" w:lineRule="auto"/>
              <w:jc w:val="center"/>
              <w:rPr>
                <w:rFonts w:ascii="仿宋" w:eastAsia="仿宋" w:hAnsi="仿宋"/>
                <w:b/>
                <w:sz w:val="24"/>
                <w:szCs w:val="24"/>
              </w:rPr>
            </w:pPr>
            <w:r>
              <w:rPr>
                <w:rFonts w:ascii="仿宋" w:eastAsia="仿宋" w:hAnsi="仿宋" w:hint="eastAsia"/>
                <w:b/>
                <w:sz w:val="24"/>
                <w:szCs w:val="24"/>
              </w:rPr>
              <w:t>加减分项分类</w:t>
            </w:r>
          </w:p>
        </w:tc>
        <w:tc>
          <w:tcPr>
            <w:tcW w:w="3020" w:type="dxa"/>
            <w:vAlign w:val="center"/>
          </w:tcPr>
          <w:p w14:paraId="554930DC" w14:textId="77777777" w:rsidR="001777A9" w:rsidRDefault="002035FD">
            <w:pPr>
              <w:spacing w:line="360" w:lineRule="auto"/>
              <w:jc w:val="center"/>
              <w:rPr>
                <w:rFonts w:ascii="仿宋" w:eastAsia="仿宋" w:hAnsi="仿宋"/>
                <w:b/>
                <w:sz w:val="24"/>
                <w:szCs w:val="24"/>
              </w:rPr>
            </w:pPr>
            <w:r>
              <w:rPr>
                <w:rFonts w:ascii="仿宋" w:eastAsia="仿宋" w:hAnsi="仿宋" w:hint="eastAsia"/>
                <w:b/>
                <w:sz w:val="24"/>
                <w:szCs w:val="24"/>
              </w:rPr>
              <w:t>加减分项明细</w:t>
            </w:r>
          </w:p>
        </w:tc>
        <w:tc>
          <w:tcPr>
            <w:tcW w:w="4961" w:type="dxa"/>
            <w:vAlign w:val="center"/>
          </w:tcPr>
          <w:p w14:paraId="73E45A1C" w14:textId="77777777" w:rsidR="001777A9" w:rsidRDefault="002035FD">
            <w:pPr>
              <w:spacing w:line="360" w:lineRule="auto"/>
              <w:jc w:val="center"/>
              <w:rPr>
                <w:rFonts w:ascii="仿宋" w:eastAsia="仿宋" w:hAnsi="仿宋"/>
                <w:b/>
                <w:sz w:val="24"/>
                <w:szCs w:val="24"/>
              </w:rPr>
            </w:pPr>
            <w:r>
              <w:rPr>
                <w:rFonts w:ascii="仿宋" w:eastAsia="仿宋" w:hAnsi="仿宋" w:hint="eastAsia"/>
                <w:b/>
                <w:sz w:val="24"/>
                <w:szCs w:val="24"/>
              </w:rPr>
              <w:t>加减分项注释</w:t>
            </w:r>
          </w:p>
        </w:tc>
      </w:tr>
      <w:tr w:rsidR="001777A9" w14:paraId="12B0C1F8" w14:textId="77777777">
        <w:tc>
          <w:tcPr>
            <w:tcW w:w="1662" w:type="dxa"/>
            <w:vAlign w:val="center"/>
          </w:tcPr>
          <w:p w14:paraId="377A9485" w14:textId="77777777" w:rsidR="001777A9" w:rsidRDefault="002035FD">
            <w:pPr>
              <w:spacing w:line="360" w:lineRule="auto"/>
              <w:jc w:val="center"/>
              <w:rPr>
                <w:rFonts w:ascii="仿宋" w:eastAsia="仿宋" w:hAnsi="仿宋"/>
                <w:sz w:val="24"/>
                <w:szCs w:val="24"/>
              </w:rPr>
            </w:pPr>
            <w:r>
              <w:rPr>
                <w:rFonts w:ascii="仿宋" w:eastAsia="仿宋" w:hAnsi="仿宋" w:hint="eastAsia"/>
                <w:sz w:val="24"/>
                <w:szCs w:val="24"/>
              </w:rPr>
              <w:t>逆周期调节</w:t>
            </w:r>
          </w:p>
          <w:p w14:paraId="74A08E2D" w14:textId="77777777" w:rsidR="001777A9" w:rsidRDefault="002035FD">
            <w:pPr>
              <w:spacing w:line="360" w:lineRule="auto"/>
              <w:jc w:val="center"/>
              <w:rPr>
                <w:rFonts w:ascii="仿宋" w:eastAsia="仿宋" w:hAnsi="仿宋"/>
                <w:sz w:val="24"/>
                <w:szCs w:val="24"/>
              </w:rPr>
            </w:pPr>
            <w:r>
              <w:rPr>
                <w:rFonts w:ascii="仿宋" w:eastAsia="仿宋" w:hAnsi="仿宋" w:hint="eastAsia"/>
                <w:sz w:val="24"/>
                <w:szCs w:val="24"/>
              </w:rPr>
              <w:t>因子</w:t>
            </w:r>
          </w:p>
        </w:tc>
        <w:tc>
          <w:tcPr>
            <w:tcW w:w="3020" w:type="dxa"/>
            <w:vAlign w:val="center"/>
          </w:tcPr>
          <w:p w14:paraId="4E7B48B6" w14:textId="77777777" w:rsidR="001777A9" w:rsidRDefault="002035FD">
            <w:pPr>
              <w:spacing w:line="360" w:lineRule="auto"/>
              <w:rPr>
                <w:rFonts w:ascii="仿宋" w:eastAsia="仿宋" w:hAnsi="仿宋"/>
                <w:sz w:val="24"/>
                <w:szCs w:val="24"/>
              </w:rPr>
            </w:pPr>
            <w:r>
              <w:rPr>
                <w:rFonts w:ascii="仿宋" w:eastAsia="仿宋" w:hAnsi="仿宋" w:hint="eastAsia"/>
                <w:sz w:val="24"/>
                <w:szCs w:val="24"/>
              </w:rPr>
              <w:t>市盈率分位数</w:t>
            </w:r>
            <w:r>
              <w:rPr>
                <w:rFonts w:ascii="仿宋" w:eastAsia="仿宋" w:hAnsi="仿宋" w:hint="eastAsia"/>
                <w:color w:val="FF0000"/>
                <w:sz w:val="24"/>
                <w:szCs w:val="24"/>
              </w:rPr>
              <w:t>（最新交易日往前推两年）</w:t>
            </w:r>
          </w:p>
        </w:tc>
        <w:tc>
          <w:tcPr>
            <w:tcW w:w="4961" w:type="dxa"/>
            <w:vAlign w:val="center"/>
          </w:tcPr>
          <w:p w14:paraId="6AA14B67" w14:textId="77777777" w:rsidR="001777A9" w:rsidRDefault="002035FD">
            <w:pPr>
              <w:spacing w:line="300" w:lineRule="auto"/>
              <w:rPr>
                <w:rFonts w:ascii="仿宋" w:eastAsia="仿宋" w:hAnsi="仿宋"/>
                <w:sz w:val="24"/>
                <w:szCs w:val="24"/>
              </w:rPr>
            </w:pPr>
            <w:r>
              <w:rPr>
                <w:rFonts w:ascii="仿宋" w:eastAsia="仿宋" w:hAnsi="仿宋" w:hint="eastAsia"/>
                <w:sz w:val="24"/>
                <w:szCs w:val="24"/>
              </w:rPr>
              <w:t>当前滚动市盈率P</w:t>
            </w:r>
            <w:r>
              <w:rPr>
                <w:rFonts w:ascii="仿宋" w:eastAsia="仿宋" w:hAnsi="仿宋"/>
                <w:sz w:val="24"/>
                <w:szCs w:val="24"/>
              </w:rPr>
              <w:t>E</w:t>
            </w:r>
            <w:r>
              <w:rPr>
                <w:rFonts w:ascii="仿宋" w:eastAsia="仿宋" w:hAnsi="仿宋" w:hint="eastAsia"/>
                <w:sz w:val="24"/>
                <w:szCs w:val="24"/>
              </w:rPr>
              <w:t>(TTM)估值在近两年历史数组中的分布点。</w:t>
            </w:r>
          </w:p>
          <w:p w14:paraId="48D68DBA" w14:textId="77777777" w:rsidR="001777A9" w:rsidRDefault="002035FD">
            <w:pPr>
              <w:spacing w:line="300" w:lineRule="auto"/>
              <w:rPr>
                <w:rFonts w:ascii="仿宋" w:eastAsia="仿宋" w:hAnsi="仿宋"/>
                <w:sz w:val="24"/>
                <w:szCs w:val="24"/>
              </w:rPr>
            </w:pPr>
            <w:r>
              <w:rPr>
                <w:rFonts w:ascii="仿宋" w:eastAsia="仿宋" w:hAnsi="仿宋" w:hint="eastAsia"/>
                <w:sz w:val="24"/>
                <w:szCs w:val="24"/>
              </w:rPr>
              <w:t>市盈率分位数具体算法：</w:t>
            </w:r>
          </w:p>
          <w:p w14:paraId="6A07F435" w14:textId="77777777" w:rsidR="001777A9" w:rsidRDefault="002035FD">
            <w:pPr>
              <w:spacing w:line="300" w:lineRule="auto"/>
              <w:rPr>
                <w:rFonts w:ascii="仿宋" w:eastAsia="仿宋" w:hAnsi="仿宋"/>
                <w:sz w:val="24"/>
                <w:szCs w:val="24"/>
              </w:rPr>
            </w:pPr>
            <w:r>
              <w:rPr>
                <w:rFonts w:ascii="仿宋" w:eastAsia="仿宋" w:hAnsi="仿宋"/>
                <w:sz w:val="24"/>
                <w:szCs w:val="24"/>
              </w:rPr>
              <w:t>1</w:t>
            </w:r>
            <w:r>
              <w:rPr>
                <w:rFonts w:ascii="仿宋" w:eastAsia="仿宋" w:hAnsi="仿宋" w:hint="eastAsia"/>
                <w:sz w:val="24"/>
                <w:szCs w:val="24"/>
              </w:rPr>
              <w:t>、取区间PE(TTM)值，剔除空值或者负值，记录参与计算的PE(TTM)值个数n。</w:t>
            </w:r>
          </w:p>
          <w:p w14:paraId="4E3074B6" w14:textId="77777777" w:rsidR="001777A9" w:rsidRDefault="002035FD">
            <w:pPr>
              <w:spacing w:line="300" w:lineRule="auto"/>
              <w:rPr>
                <w:rFonts w:ascii="仿宋" w:eastAsia="仿宋" w:hAnsi="仿宋"/>
                <w:sz w:val="24"/>
                <w:szCs w:val="24"/>
              </w:rPr>
            </w:pPr>
            <w:r>
              <w:rPr>
                <w:rFonts w:ascii="仿宋" w:eastAsia="仿宋" w:hAnsi="仿宋"/>
                <w:sz w:val="24"/>
                <w:szCs w:val="24"/>
              </w:rPr>
              <w:t>2</w:t>
            </w:r>
            <w:r>
              <w:rPr>
                <w:rFonts w:ascii="仿宋" w:eastAsia="仿宋" w:hAnsi="仿宋" w:hint="eastAsia"/>
                <w:sz w:val="24"/>
                <w:szCs w:val="24"/>
              </w:rPr>
              <w:t>、将PE(TTM)值从小到大排序，记录每个日期对应PE(TTM)</w:t>
            </w:r>
            <w:proofErr w:type="gramStart"/>
            <w:r>
              <w:rPr>
                <w:rFonts w:ascii="仿宋" w:eastAsia="仿宋" w:hAnsi="仿宋" w:hint="eastAsia"/>
                <w:sz w:val="24"/>
                <w:szCs w:val="24"/>
              </w:rPr>
              <w:t>值所在</w:t>
            </w:r>
            <w:proofErr w:type="gramEnd"/>
            <w:r>
              <w:rPr>
                <w:rFonts w:ascii="仿宋" w:eastAsia="仿宋" w:hAnsi="仿宋" w:hint="eastAsia"/>
                <w:sz w:val="24"/>
                <w:szCs w:val="24"/>
              </w:rPr>
              <w:t>的位置。</w:t>
            </w:r>
          </w:p>
          <w:p w14:paraId="33FA53B1" w14:textId="77777777" w:rsidR="001777A9" w:rsidRDefault="002035FD">
            <w:pPr>
              <w:spacing w:line="300" w:lineRule="auto"/>
              <w:rPr>
                <w:rFonts w:ascii="仿宋" w:eastAsia="仿宋" w:hAnsi="仿宋"/>
                <w:sz w:val="24"/>
                <w:szCs w:val="24"/>
              </w:rPr>
            </w:pPr>
            <w:r>
              <w:rPr>
                <w:rFonts w:ascii="仿宋" w:eastAsia="仿宋" w:hAnsi="仿宋"/>
                <w:sz w:val="24"/>
                <w:szCs w:val="24"/>
              </w:rPr>
              <w:t>3</w:t>
            </w:r>
            <w:r>
              <w:rPr>
                <w:rFonts w:ascii="仿宋" w:eastAsia="仿宋" w:hAnsi="仿宋" w:hint="eastAsia"/>
                <w:sz w:val="24"/>
                <w:szCs w:val="24"/>
              </w:rPr>
              <w:t>、在区间中找到指定交易日期对应的PE(TTM)</w:t>
            </w:r>
            <w:proofErr w:type="gramStart"/>
            <w:r>
              <w:rPr>
                <w:rFonts w:ascii="仿宋" w:eastAsia="仿宋" w:hAnsi="仿宋" w:hint="eastAsia"/>
                <w:sz w:val="24"/>
                <w:szCs w:val="24"/>
              </w:rPr>
              <w:t>值所在</w:t>
            </w:r>
            <w:proofErr w:type="gramEnd"/>
            <w:r>
              <w:rPr>
                <w:rFonts w:ascii="仿宋" w:eastAsia="仿宋" w:hAnsi="仿宋" w:hint="eastAsia"/>
                <w:sz w:val="24"/>
                <w:szCs w:val="24"/>
              </w:rPr>
              <w:t>的位置</w:t>
            </w:r>
            <w:proofErr w:type="spellStart"/>
            <w:r>
              <w:rPr>
                <w:rFonts w:ascii="仿宋" w:eastAsia="仿宋" w:hAnsi="仿宋" w:hint="eastAsia"/>
                <w:sz w:val="24"/>
                <w:szCs w:val="24"/>
              </w:rPr>
              <w:t>i</w:t>
            </w:r>
            <w:proofErr w:type="spellEnd"/>
            <w:r>
              <w:rPr>
                <w:rFonts w:ascii="仿宋" w:eastAsia="仿宋" w:hAnsi="仿宋" w:hint="eastAsia"/>
                <w:sz w:val="24"/>
                <w:szCs w:val="24"/>
              </w:rPr>
              <w:t>。</w:t>
            </w:r>
          </w:p>
          <w:p w14:paraId="25698485" w14:textId="77777777" w:rsidR="001777A9" w:rsidRDefault="002035FD">
            <w:pPr>
              <w:spacing w:line="300" w:lineRule="auto"/>
              <w:rPr>
                <w:rFonts w:ascii="仿宋" w:eastAsia="仿宋" w:hAnsi="仿宋"/>
                <w:sz w:val="24"/>
                <w:szCs w:val="24"/>
              </w:rPr>
            </w:pPr>
            <w:r>
              <w:rPr>
                <w:rFonts w:ascii="仿宋" w:eastAsia="仿宋" w:hAnsi="仿宋"/>
                <w:sz w:val="24"/>
                <w:szCs w:val="24"/>
              </w:rPr>
              <w:t>4</w:t>
            </w:r>
            <w:r>
              <w:rPr>
                <w:rFonts w:ascii="仿宋" w:eastAsia="仿宋" w:hAnsi="仿宋" w:hint="eastAsia"/>
                <w:sz w:val="24"/>
                <w:szCs w:val="24"/>
              </w:rPr>
              <w:t>、计算分位数=（i-1)/(n-1)*100。</w:t>
            </w:r>
          </w:p>
          <w:p w14:paraId="5C0DA646" w14:textId="77777777" w:rsidR="001777A9" w:rsidRDefault="002035FD">
            <w:pPr>
              <w:spacing w:line="300" w:lineRule="auto"/>
              <w:rPr>
                <w:rFonts w:ascii="仿宋" w:eastAsia="仿宋" w:hAnsi="仿宋"/>
                <w:sz w:val="24"/>
                <w:szCs w:val="24"/>
              </w:rPr>
            </w:pPr>
            <w:r>
              <w:rPr>
                <w:rFonts w:ascii="仿宋" w:eastAsia="仿宋" w:hAnsi="仿宋" w:hint="eastAsia"/>
                <w:sz w:val="24"/>
                <w:szCs w:val="24"/>
              </w:rPr>
              <w:t>注：若指定日期取不到PE(TTM)</w:t>
            </w:r>
            <w:proofErr w:type="gramStart"/>
            <w:r>
              <w:rPr>
                <w:rFonts w:ascii="仿宋" w:eastAsia="仿宋" w:hAnsi="仿宋" w:hint="eastAsia"/>
                <w:sz w:val="24"/>
                <w:szCs w:val="24"/>
              </w:rPr>
              <w:t>值或者</w:t>
            </w:r>
            <w:proofErr w:type="gramEnd"/>
            <w:r>
              <w:rPr>
                <w:rFonts w:ascii="仿宋" w:eastAsia="仿宋" w:hAnsi="仿宋" w:hint="eastAsia"/>
                <w:sz w:val="24"/>
                <w:szCs w:val="24"/>
              </w:rPr>
              <w:t>该值为负数则返回为空，负值估值数据不参与计算。</w:t>
            </w:r>
          </w:p>
        </w:tc>
      </w:tr>
    </w:tbl>
    <w:p w14:paraId="220E0835" w14:textId="77777777" w:rsidR="001777A9" w:rsidRDefault="001777A9"/>
    <w:p w14:paraId="0F5DAD2D" w14:textId="77777777" w:rsidR="001777A9" w:rsidRDefault="002035FD">
      <w:pPr>
        <w:rPr>
          <w:rFonts w:ascii="仿宋" w:eastAsia="仿宋" w:hAnsi="仿宋"/>
          <w:sz w:val="28"/>
          <w:szCs w:val="28"/>
        </w:rPr>
      </w:pPr>
      <w:r>
        <w:rPr>
          <w:rFonts w:ascii="仿宋" w:eastAsia="仿宋" w:hAnsi="仿宋" w:hint="eastAsia"/>
          <w:sz w:val="28"/>
          <w:szCs w:val="28"/>
        </w:rPr>
        <w:t>加减分项对应的评分规则</w:t>
      </w:r>
    </w:p>
    <w:p w14:paraId="17C95B9C" w14:textId="77777777" w:rsidR="001777A9" w:rsidRDefault="002035FD">
      <w:pPr>
        <w:jc w:val="left"/>
        <w:rPr>
          <w:rFonts w:ascii="仿宋" w:eastAsia="仿宋" w:hAnsi="仿宋"/>
          <w:sz w:val="28"/>
          <w:szCs w:val="28"/>
        </w:rPr>
      </w:pPr>
      <w:r>
        <w:rPr>
          <w:rFonts w:ascii="仿宋" w:eastAsia="仿宋" w:hAnsi="仿宋" w:hint="eastAsia"/>
          <w:sz w:val="28"/>
          <w:szCs w:val="28"/>
        </w:rPr>
        <w:t>逆周期调节因子（市盈率分位数）</w:t>
      </w:r>
    </w:p>
    <w:tbl>
      <w:tblPr>
        <w:tblW w:w="3692" w:type="pct"/>
        <w:jc w:val="center"/>
        <w:tblLook w:val="04A0" w:firstRow="1" w:lastRow="0" w:firstColumn="1" w:lastColumn="0" w:noHBand="0" w:noVBand="1"/>
      </w:tblPr>
      <w:tblGrid>
        <w:gridCol w:w="3032"/>
        <w:gridCol w:w="3094"/>
      </w:tblGrid>
      <w:tr w:rsidR="001777A9" w14:paraId="6161BC9D" w14:textId="77777777">
        <w:trPr>
          <w:trHeight w:val="762"/>
          <w:jc w:val="center"/>
        </w:trPr>
        <w:tc>
          <w:tcPr>
            <w:tcW w:w="2475" w:type="pct"/>
            <w:tcBorders>
              <w:top w:val="single" w:sz="4" w:space="0" w:color="auto"/>
              <w:left w:val="single" w:sz="4" w:space="0" w:color="auto"/>
              <w:bottom w:val="single" w:sz="4" w:space="0" w:color="auto"/>
              <w:right w:val="single" w:sz="4" w:space="0" w:color="auto"/>
            </w:tcBorders>
            <w:shd w:val="clear" w:color="auto" w:fill="ACB9CA" w:themeFill="text2" w:themeFillTint="66"/>
            <w:noWrap/>
            <w:vAlign w:val="center"/>
          </w:tcPr>
          <w:p w14:paraId="22CC355B" w14:textId="77777777" w:rsidR="001777A9" w:rsidRDefault="002035FD">
            <w:pPr>
              <w:widowControl/>
              <w:jc w:val="center"/>
              <w:rPr>
                <w:rFonts w:ascii="宋体" w:eastAsia="宋体" w:hAnsi="宋体" w:cs="宋体"/>
                <w:b/>
                <w:color w:val="000000"/>
                <w:kern w:val="0"/>
                <w:sz w:val="28"/>
              </w:rPr>
            </w:pPr>
            <w:r>
              <w:rPr>
                <w:rFonts w:ascii="宋体" w:eastAsia="宋体" w:hAnsi="宋体" w:cs="宋体" w:hint="eastAsia"/>
                <w:b/>
                <w:color w:val="000000"/>
                <w:kern w:val="0"/>
                <w:sz w:val="28"/>
              </w:rPr>
              <w:t>评分区间</w:t>
            </w:r>
          </w:p>
          <w:p w14:paraId="0F27BB0E" w14:textId="77777777" w:rsidR="001777A9" w:rsidRDefault="002035FD">
            <w:pPr>
              <w:widowControl/>
              <w:jc w:val="center"/>
              <w:rPr>
                <w:rFonts w:ascii="宋体" w:eastAsia="宋体" w:hAnsi="宋体" w:cs="宋体"/>
                <w:b/>
                <w:color w:val="000000"/>
                <w:kern w:val="0"/>
                <w:sz w:val="28"/>
              </w:rPr>
            </w:pPr>
            <w:r>
              <w:rPr>
                <w:rFonts w:ascii="宋体" w:eastAsia="宋体" w:hAnsi="宋体" w:cs="宋体" w:hint="eastAsia"/>
                <w:b/>
                <w:color w:val="000000"/>
                <w:kern w:val="0"/>
                <w:sz w:val="24"/>
              </w:rPr>
              <w:t>（单位：%）</w:t>
            </w:r>
          </w:p>
        </w:tc>
        <w:tc>
          <w:tcPr>
            <w:tcW w:w="2525" w:type="pct"/>
            <w:tcBorders>
              <w:top w:val="single" w:sz="4" w:space="0" w:color="auto"/>
              <w:left w:val="nil"/>
              <w:bottom w:val="single" w:sz="4" w:space="0" w:color="auto"/>
              <w:right w:val="single" w:sz="4" w:space="0" w:color="auto"/>
            </w:tcBorders>
            <w:shd w:val="clear" w:color="auto" w:fill="ACB9CA" w:themeFill="text2" w:themeFillTint="66"/>
            <w:noWrap/>
            <w:vAlign w:val="center"/>
          </w:tcPr>
          <w:p w14:paraId="023FB725" w14:textId="77777777" w:rsidR="001777A9" w:rsidRDefault="002035FD">
            <w:pPr>
              <w:widowControl/>
              <w:jc w:val="center"/>
              <w:rPr>
                <w:rFonts w:ascii="宋体" w:eastAsia="宋体" w:hAnsi="宋体" w:cs="宋体"/>
                <w:b/>
                <w:color w:val="000000"/>
                <w:kern w:val="0"/>
                <w:sz w:val="28"/>
              </w:rPr>
            </w:pPr>
            <w:r>
              <w:rPr>
                <w:rFonts w:ascii="宋体" w:eastAsia="宋体" w:hAnsi="宋体" w:cs="宋体" w:hint="eastAsia"/>
                <w:b/>
                <w:color w:val="000000"/>
                <w:kern w:val="0"/>
                <w:sz w:val="28"/>
              </w:rPr>
              <w:t>得分</w:t>
            </w:r>
          </w:p>
        </w:tc>
      </w:tr>
      <w:tr w:rsidR="001777A9" w14:paraId="513434C9" w14:textId="77777777">
        <w:trPr>
          <w:trHeight w:val="270"/>
          <w:jc w:val="center"/>
        </w:trPr>
        <w:tc>
          <w:tcPr>
            <w:tcW w:w="247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D8DB963" w14:textId="77777777" w:rsidR="001777A9" w:rsidRDefault="002035F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[0,10)</w:t>
            </w:r>
          </w:p>
        </w:tc>
        <w:tc>
          <w:tcPr>
            <w:tcW w:w="252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10E0074" w14:textId="77777777" w:rsidR="001777A9" w:rsidRDefault="002035F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20</w:t>
            </w:r>
          </w:p>
        </w:tc>
      </w:tr>
      <w:tr w:rsidR="001777A9" w14:paraId="32516C0A" w14:textId="77777777">
        <w:trPr>
          <w:trHeight w:val="270"/>
          <w:jc w:val="center"/>
        </w:trPr>
        <w:tc>
          <w:tcPr>
            <w:tcW w:w="2475" w:type="pct"/>
            <w:tcBorders>
              <w:top w:val="nil"/>
              <w:left w:val="single" w:sz="4" w:space="0" w:color="auto"/>
              <w:bottom w:val="single" w:sz="4" w:space="0" w:color="auto"/>
              <w:right w:val="single" w:sz="4" w:space="0" w:color="auto"/>
            </w:tcBorders>
            <w:shd w:val="clear" w:color="auto" w:fill="auto"/>
            <w:noWrap/>
            <w:vAlign w:val="center"/>
          </w:tcPr>
          <w:p w14:paraId="5AD9EA45" w14:textId="77777777" w:rsidR="001777A9" w:rsidRDefault="002035F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lastRenderedPageBreak/>
              <w:t>[10,20)</w:t>
            </w:r>
          </w:p>
        </w:tc>
        <w:tc>
          <w:tcPr>
            <w:tcW w:w="2525" w:type="pct"/>
            <w:tcBorders>
              <w:top w:val="nil"/>
              <w:left w:val="single" w:sz="4" w:space="0" w:color="auto"/>
              <w:bottom w:val="single" w:sz="4" w:space="0" w:color="auto"/>
              <w:right w:val="single" w:sz="4" w:space="0" w:color="auto"/>
            </w:tcBorders>
            <w:shd w:val="clear" w:color="auto" w:fill="auto"/>
            <w:noWrap/>
            <w:vAlign w:val="center"/>
          </w:tcPr>
          <w:p w14:paraId="74FD3E71" w14:textId="77777777" w:rsidR="001777A9" w:rsidRDefault="002035F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15</w:t>
            </w:r>
          </w:p>
        </w:tc>
      </w:tr>
      <w:tr w:rsidR="001777A9" w14:paraId="1047C515" w14:textId="77777777">
        <w:trPr>
          <w:trHeight w:val="270"/>
          <w:jc w:val="center"/>
        </w:trPr>
        <w:tc>
          <w:tcPr>
            <w:tcW w:w="2475" w:type="pct"/>
            <w:tcBorders>
              <w:top w:val="nil"/>
              <w:left w:val="single" w:sz="4" w:space="0" w:color="auto"/>
              <w:bottom w:val="single" w:sz="4" w:space="0" w:color="auto"/>
              <w:right w:val="single" w:sz="4" w:space="0" w:color="auto"/>
            </w:tcBorders>
            <w:shd w:val="clear" w:color="auto" w:fill="auto"/>
            <w:noWrap/>
            <w:vAlign w:val="center"/>
          </w:tcPr>
          <w:p w14:paraId="78AA8030" w14:textId="77777777" w:rsidR="001777A9" w:rsidRDefault="002035F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[20,30)</w:t>
            </w:r>
          </w:p>
        </w:tc>
        <w:tc>
          <w:tcPr>
            <w:tcW w:w="2525" w:type="pct"/>
            <w:tcBorders>
              <w:top w:val="nil"/>
              <w:left w:val="single" w:sz="4" w:space="0" w:color="auto"/>
              <w:bottom w:val="single" w:sz="4" w:space="0" w:color="auto"/>
              <w:right w:val="single" w:sz="4" w:space="0" w:color="auto"/>
            </w:tcBorders>
            <w:shd w:val="clear" w:color="auto" w:fill="auto"/>
            <w:noWrap/>
            <w:vAlign w:val="center"/>
          </w:tcPr>
          <w:p w14:paraId="4004B95C" w14:textId="77777777" w:rsidR="001777A9" w:rsidRDefault="002035F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10</w:t>
            </w:r>
          </w:p>
        </w:tc>
      </w:tr>
      <w:tr w:rsidR="001777A9" w14:paraId="5F719900" w14:textId="77777777">
        <w:trPr>
          <w:trHeight w:val="270"/>
          <w:jc w:val="center"/>
        </w:trPr>
        <w:tc>
          <w:tcPr>
            <w:tcW w:w="2475" w:type="pct"/>
            <w:tcBorders>
              <w:top w:val="nil"/>
              <w:left w:val="single" w:sz="4" w:space="0" w:color="auto"/>
              <w:bottom w:val="single" w:sz="4" w:space="0" w:color="auto"/>
              <w:right w:val="single" w:sz="4" w:space="0" w:color="auto"/>
            </w:tcBorders>
            <w:shd w:val="clear" w:color="auto" w:fill="auto"/>
            <w:noWrap/>
            <w:vAlign w:val="center"/>
          </w:tcPr>
          <w:p w14:paraId="2C60751F" w14:textId="77777777" w:rsidR="001777A9" w:rsidRDefault="002035F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[30,40)</w:t>
            </w:r>
          </w:p>
        </w:tc>
        <w:tc>
          <w:tcPr>
            <w:tcW w:w="2525" w:type="pct"/>
            <w:tcBorders>
              <w:top w:val="nil"/>
              <w:left w:val="single" w:sz="4" w:space="0" w:color="auto"/>
              <w:bottom w:val="single" w:sz="4" w:space="0" w:color="auto"/>
              <w:right w:val="single" w:sz="4" w:space="0" w:color="auto"/>
            </w:tcBorders>
            <w:shd w:val="clear" w:color="auto" w:fill="auto"/>
            <w:noWrap/>
            <w:vAlign w:val="center"/>
          </w:tcPr>
          <w:p w14:paraId="0B79EC79" w14:textId="77777777" w:rsidR="001777A9" w:rsidRDefault="002035F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5</w:t>
            </w:r>
          </w:p>
        </w:tc>
      </w:tr>
      <w:tr w:rsidR="001777A9" w14:paraId="4C9C6F3F" w14:textId="77777777">
        <w:trPr>
          <w:trHeight w:val="270"/>
          <w:jc w:val="center"/>
        </w:trPr>
        <w:tc>
          <w:tcPr>
            <w:tcW w:w="2475" w:type="pct"/>
            <w:tcBorders>
              <w:top w:val="nil"/>
              <w:left w:val="single" w:sz="4" w:space="0" w:color="auto"/>
              <w:bottom w:val="single" w:sz="4" w:space="0" w:color="auto"/>
              <w:right w:val="single" w:sz="4" w:space="0" w:color="auto"/>
            </w:tcBorders>
            <w:shd w:val="clear" w:color="auto" w:fill="auto"/>
            <w:noWrap/>
            <w:vAlign w:val="center"/>
          </w:tcPr>
          <w:p w14:paraId="240773F0" w14:textId="77777777" w:rsidR="001777A9" w:rsidRDefault="002035F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[40,50)</w:t>
            </w:r>
          </w:p>
        </w:tc>
        <w:tc>
          <w:tcPr>
            <w:tcW w:w="2525" w:type="pct"/>
            <w:tcBorders>
              <w:top w:val="nil"/>
              <w:left w:val="single" w:sz="4" w:space="0" w:color="auto"/>
              <w:bottom w:val="single" w:sz="4" w:space="0" w:color="auto"/>
              <w:right w:val="single" w:sz="4" w:space="0" w:color="auto"/>
            </w:tcBorders>
            <w:shd w:val="clear" w:color="auto" w:fill="auto"/>
            <w:noWrap/>
            <w:vAlign w:val="center"/>
          </w:tcPr>
          <w:p w14:paraId="4CF776FC" w14:textId="77777777" w:rsidR="001777A9" w:rsidRDefault="002035F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0</w:t>
            </w:r>
          </w:p>
        </w:tc>
      </w:tr>
      <w:tr w:rsidR="001777A9" w14:paraId="55EF3BAF" w14:textId="77777777">
        <w:trPr>
          <w:trHeight w:val="270"/>
          <w:jc w:val="center"/>
        </w:trPr>
        <w:tc>
          <w:tcPr>
            <w:tcW w:w="2475" w:type="pct"/>
            <w:tcBorders>
              <w:top w:val="nil"/>
              <w:left w:val="single" w:sz="4" w:space="0" w:color="auto"/>
              <w:bottom w:val="single" w:sz="4" w:space="0" w:color="auto"/>
              <w:right w:val="single" w:sz="4" w:space="0" w:color="auto"/>
            </w:tcBorders>
            <w:shd w:val="clear" w:color="auto" w:fill="auto"/>
            <w:noWrap/>
            <w:vAlign w:val="center"/>
          </w:tcPr>
          <w:p w14:paraId="2864AB97" w14:textId="77777777" w:rsidR="001777A9" w:rsidRDefault="002035F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[50,60)</w:t>
            </w:r>
          </w:p>
        </w:tc>
        <w:tc>
          <w:tcPr>
            <w:tcW w:w="2525" w:type="pct"/>
            <w:tcBorders>
              <w:top w:val="nil"/>
              <w:left w:val="single" w:sz="4" w:space="0" w:color="auto"/>
              <w:bottom w:val="single" w:sz="4" w:space="0" w:color="auto"/>
              <w:right w:val="single" w:sz="4" w:space="0" w:color="auto"/>
            </w:tcBorders>
            <w:shd w:val="clear" w:color="auto" w:fill="auto"/>
            <w:noWrap/>
            <w:vAlign w:val="center"/>
          </w:tcPr>
          <w:p w14:paraId="39178251" w14:textId="77777777" w:rsidR="001777A9" w:rsidRDefault="002035F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0</w:t>
            </w:r>
          </w:p>
        </w:tc>
      </w:tr>
      <w:tr w:rsidR="001777A9" w14:paraId="66A8EBE4" w14:textId="77777777">
        <w:trPr>
          <w:trHeight w:val="270"/>
          <w:jc w:val="center"/>
        </w:trPr>
        <w:tc>
          <w:tcPr>
            <w:tcW w:w="2475" w:type="pct"/>
            <w:tcBorders>
              <w:top w:val="nil"/>
              <w:left w:val="single" w:sz="4" w:space="0" w:color="auto"/>
              <w:bottom w:val="single" w:sz="4" w:space="0" w:color="auto"/>
              <w:right w:val="single" w:sz="4" w:space="0" w:color="auto"/>
            </w:tcBorders>
            <w:shd w:val="clear" w:color="auto" w:fill="auto"/>
            <w:noWrap/>
            <w:vAlign w:val="center"/>
          </w:tcPr>
          <w:p w14:paraId="55D195BE" w14:textId="77777777" w:rsidR="001777A9" w:rsidRDefault="002035F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[60,70)</w:t>
            </w:r>
          </w:p>
        </w:tc>
        <w:tc>
          <w:tcPr>
            <w:tcW w:w="2525" w:type="pct"/>
            <w:tcBorders>
              <w:top w:val="nil"/>
              <w:left w:val="single" w:sz="4" w:space="0" w:color="auto"/>
              <w:bottom w:val="single" w:sz="4" w:space="0" w:color="auto"/>
              <w:right w:val="single" w:sz="4" w:space="0" w:color="auto"/>
            </w:tcBorders>
            <w:shd w:val="clear" w:color="auto" w:fill="auto"/>
            <w:noWrap/>
            <w:vAlign w:val="center"/>
          </w:tcPr>
          <w:p w14:paraId="646A8CD0" w14:textId="77777777" w:rsidR="001777A9" w:rsidRDefault="002035F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-5</w:t>
            </w:r>
          </w:p>
        </w:tc>
      </w:tr>
      <w:tr w:rsidR="001777A9" w14:paraId="3132F713" w14:textId="77777777">
        <w:trPr>
          <w:trHeight w:val="270"/>
          <w:jc w:val="center"/>
        </w:trPr>
        <w:tc>
          <w:tcPr>
            <w:tcW w:w="2475" w:type="pct"/>
            <w:tcBorders>
              <w:top w:val="nil"/>
              <w:left w:val="single" w:sz="4" w:space="0" w:color="auto"/>
              <w:bottom w:val="single" w:sz="4" w:space="0" w:color="auto"/>
              <w:right w:val="single" w:sz="4" w:space="0" w:color="auto"/>
            </w:tcBorders>
            <w:shd w:val="clear" w:color="auto" w:fill="auto"/>
            <w:noWrap/>
            <w:vAlign w:val="center"/>
          </w:tcPr>
          <w:p w14:paraId="796E6BFB" w14:textId="77777777" w:rsidR="001777A9" w:rsidRDefault="002035F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[70,80)</w:t>
            </w:r>
          </w:p>
        </w:tc>
        <w:tc>
          <w:tcPr>
            <w:tcW w:w="2525" w:type="pct"/>
            <w:tcBorders>
              <w:top w:val="nil"/>
              <w:left w:val="single" w:sz="4" w:space="0" w:color="auto"/>
              <w:bottom w:val="single" w:sz="4" w:space="0" w:color="auto"/>
              <w:right w:val="single" w:sz="4" w:space="0" w:color="auto"/>
            </w:tcBorders>
            <w:shd w:val="clear" w:color="auto" w:fill="auto"/>
            <w:noWrap/>
            <w:vAlign w:val="center"/>
          </w:tcPr>
          <w:p w14:paraId="1C317A71" w14:textId="77777777" w:rsidR="001777A9" w:rsidRDefault="002035F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-10</w:t>
            </w:r>
          </w:p>
        </w:tc>
      </w:tr>
      <w:tr w:rsidR="001777A9" w14:paraId="6A9D2121" w14:textId="77777777">
        <w:trPr>
          <w:trHeight w:val="270"/>
          <w:jc w:val="center"/>
        </w:trPr>
        <w:tc>
          <w:tcPr>
            <w:tcW w:w="2475" w:type="pct"/>
            <w:tcBorders>
              <w:top w:val="nil"/>
              <w:left w:val="single" w:sz="4" w:space="0" w:color="auto"/>
              <w:bottom w:val="single" w:sz="4" w:space="0" w:color="auto"/>
              <w:right w:val="single" w:sz="4" w:space="0" w:color="auto"/>
            </w:tcBorders>
            <w:shd w:val="clear" w:color="auto" w:fill="auto"/>
            <w:noWrap/>
            <w:vAlign w:val="center"/>
          </w:tcPr>
          <w:p w14:paraId="0B3D6C52" w14:textId="77777777" w:rsidR="001777A9" w:rsidRDefault="002035F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[80,90)</w:t>
            </w:r>
          </w:p>
        </w:tc>
        <w:tc>
          <w:tcPr>
            <w:tcW w:w="2525" w:type="pct"/>
            <w:tcBorders>
              <w:top w:val="nil"/>
              <w:left w:val="single" w:sz="4" w:space="0" w:color="auto"/>
              <w:bottom w:val="single" w:sz="4" w:space="0" w:color="auto"/>
              <w:right w:val="single" w:sz="4" w:space="0" w:color="auto"/>
            </w:tcBorders>
            <w:shd w:val="clear" w:color="auto" w:fill="auto"/>
            <w:noWrap/>
            <w:vAlign w:val="center"/>
          </w:tcPr>
          <w:p w14:paraId="4E714627" w14:textId="77777777" w:rsidR="001777A9" w:rsidRDefault="002035F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-15</w:t>
            </w:r>
          </w:p>
        </w:tc>
      </w:tr>
      <w:tr w:rsidR="001777A9" w14:paraId="575F1EAE" w14:textId="77777777">
        <w:trPr>
          <w:trHeight w:val="270"/>
          <w:jc w:val="center"/>
        </w:trPr>
        <w:tc>
          <w:tcPr>
            <w:tcW w:w="2475" w:type="pct"/>
            <w:tcBorders>
              <w:top w:val="nil"/>
              <w:left w:val="single" w:sz="4" w:space="0" w:color="auto"/>
              <w:bottom w:val="single" w:sz="4" w:space="0" w:color="auto"/>
              <w:right w:val="single" w:sz="4" w:space="0" w:color="auto"/>
            </w:tcBorders>
            <w:shd w:val="clear" w:color="auto" w:fill="auto"/>
            <w:noWrap/>
            <w:vAlign w:val="center"/>
          </w:tcPr>
          <w:p w14:paraId="290CDC76" w14:textId="77777777" w:rsidR="001777A9" w:rsidRDefault="002035F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[90,100)</w:t>
            </w:r>
          </w:p>
        </w:tc>
        <w:tc>
          <w:tcPr>
            <w:tcW w:w="2525" w:type="pct"/>
            <w:tcBorders>
              <w:top w:val="nil"/>
              <w:left w:val="single" w:sz="4" w:space="0" w:color="auto"/>
              <w:bottom w:val="single" w:sz="4" w:space="0" w:color="auto"/>
              <w:right w:val="single" w:sz="4" w:space="0" w:color="auto"/>
            </w:tcBorders>
            <w:shd w:val="clear" w:color="auto" w:fill="auto"/>
            <w:noWrap/>
            <w:vAlign w:val="center"/>
          </w:tcPr>
          <w:p w14:paraId="6D725CCD" w14:textId="77777777" w:rsidR="001777A9" w:rsidRDefault="002035FD">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-20</w:t>
            </w:r>
          </w:p>
        </w:tc>
      </w:tr>
    </w:tbl>
    <w:p w14:paraId="7728DCF0" w14:textId="77777777" w:rsidR="001777A9" w:rsidRDefault="002035FD">
      <w:pPr>
        <w:rPr>
          <w:rFonts w:ascii="仿宋" w:eastAsia="仿宋" w:hAnsi="仿宋"/>
          <w:b/>
          <w:sz w:val="28"/>
          <w:szCs w:val="28"/>
        </w:rPr>
      </w:pPr>
      <w:r>
        <w:rPr>
          <w:rFonts w:ascii="仿宋" w:eastAsia="仿宋" w:hAnsi="仿宋" w:hint="eastAsia"/>
          <w:b/>
          <w:sz w:val="28"/>
          <w:szCs w:val="28"/>
        </w:rPr>
        <w:t>综合评分计算</w:t>
      </w:r>
    </w:p>
    <w:p w14:paraId="75B0DA52" w14:textId="77777777" w:rsidR="001777A9" w:rsidRDefault="002035FD">
      <w:pPr>
        <w:spacing w:line="360" w:lineRule="auto"/>
        <w:ind w:firstLineChars="200" w:firstLine="560"/>
        <w:jc w:val="left"/>
        <w:rPr>
          <w:rFonts w:ascii="仿宋" w:eastAsia="仿宋" w:hAnsi="仿宋"/>
          <w:sz w:val="28"/>
          <w:szCs w:val="28"/>
        </w:rPr>
      </w:pPr>
      <w:r>
        <w:rPr>
          <w:rFonts w:ascii="仿宋" w:eastAsia="仿宋" w:hAnsi="仿宋" w:hint="eastAsia"/>
          <w:sz w:val="28"/>
          <w:szCs w:val="28"/>
        </w:rPr>
        <w:t>担保股票的综合评分为将担保股票各项评价指标的得分按相应的评分权重加权汇总后计入加减分项得分，计算公式为：</w:t>
      </w:r>
    </w:p>
    <w:p w14:paraId="1CB474CD" w14:textId="77777777" w:rsidR="001777A9" w:rsidRDefault="002035FD">
      <w:pPr>
        <w:spacing w:line="360" w:lineRule="auto"/>
        <w:jc w:val="left"/>
        <w:rPr>
          <w:rFonts w:ascii="仿宋" w:eastAsia="仿宋" w:hAnsi="仿宋"/>
          <w:b/>
          <w:sz w:val="28"/>
          <w:szCs w:val="28"/>
        </w:rPr>
      </w:pPr>
      <w:r>
        <w:rPr>
          <w:rFonts w:ascii="仿宋" w:eastAsia="仿宋" w:hAnsi="仿宋" w:hint="eastAsia"/>
          <w:b/>
          <w:sz w:val="28"/>
          <w:szCs w:val="28"/>
        </w:rPr>
        <w:t>综合评分=∑（评价指标</w:t>
      </w:r>
      <w:proofErr w:type="spellStart"/>
      <w:r>
        <w:rPr>
          <w:rFonts w:ascii="仿宋" w:eastAsia="仿宋" w:hAnsi="仿宋" w:hint="eastAsia"/>
          <w:b/>
          <w:sz w:val="28"/>
          <w:szCs w:val="28"/>
        </w:rPr>
        <w:t>i</w:t>
      </w:r>
      <w:proofErr w:type="spellEnd"/>
      <w:r>
        <w:rPr>
          <w:rFonts w:ascii="仿宋" w:eastAsia="仿宋" w:hAnsi="仿宋" w:hint="eastAsia"/>
          <w:b/>
          <w:sz w:val="28"/>
          <w:szCs w:val="28"/>
        </w:rPr>
        <w:t>得分</w:t>
      </w:r>
      <w:r>
        <w:rPr>
          <w:rFonts w:ascii="仿宋" w:eastAsia="仿宋" w:hAnsi="仿宋"/>
          <w:b/>
          <w:sz w:val="28"/>
          <w:szCs w:val="28"/>
        </w:rPr>
        <w:t>×</w:t>
      </w:r>
      <w:r>
        <w:rPr>
          <w:rFonts w:ascii="仿宋" w:eastAsia="仿宋" w:hAnsi="仿宋" w:hint="eastAsia"/>
          <w:b/>
          <w:sz w:val="28"/>
          <w:szCs w:val="28"/>
        </w:rPr>
        <w:t>评价指标</w:t>
      </w:r>
      <w:proofErr w:type="spellStart"/>
      <w:r>
        <w:rPr>
          <w:rFonts w:ascii="仿宋" w:eastAsia="仿宋" w:hAnsi="仿宋" w:hint="eastAsia"/>
          <w:b/>
          <w:sz w:val="28"/>
          <w:szCs w:val="28"/>
        </w:rPr>
        <w:t>i</w:t>
      </w:r>
      <w:proofErr w:type="spellEnd"/>
      <w:r>
        <w:rPr>
          <w:rFonts w:ascii="仿宋" w:eastAsia="仿宋" w:hAnsi="仿宋" w:hint="eastAsia"/>
          <w:b/>
          <w:sz w:val="28"/>
          <w:szCs w:val="28"/>
        </w:rPr>
        <w:t>评分权重）</w:t>
      </w:r>
      <w:r>
        <w:rPr>
          <w:rFonts w:ascii="仿宋" w:eastAsia="仿宋" w:hAnsi="仿宋"/>
          <w:b/>
          <w:sz w:val="28"/>
          <w:szCs w:val="28"/>
        </w:rPr>
        <w:t>-</w:t>
      </w:r>
      <w:r>
        <w:rPr>
          <w:rFonts w:ascii="仿宋" w:eastAsia="仿宋" w:hAnsi="仿宋" w:hint="eastAsia"/>
          <w:b/>
          <w:sz w:val="28"/>
          <w:szCs w:val="28"/>
        </w:rPr>
        <w:t>减分项得分</w:t>
      </w:r>
      <w:commentRangeStart w:id="3"/>
      <w:r>
        <w:rPr>
          <w:rFonts w:ascii="仿宋" w:eastAsia="仿宋" w:hAnsi="仿宋" w:hint="eastAsia"/>
          <w:b/>
          <w:sz w:val="28"/>
          <w:szCs w:val="28"/>
        </w:rPr>
        <w:t>+加减分项得分</w:t>
      </w:r>
      <w:commentRangeEnd w:id="3"/>
      <w:r>
        <w:rPr>
          <w:rStyle w:val="ae"/>
        </w:rPr>
        <w:commentReference w:id="3"/>
      </w:r>
    </w:p>
    <w:p w14:paraId="3D3197AC" w14:textId="77777777" w:rsidR="001777A9" w:rsidRDefault="002035FD">
      <w:pPr>
        <w:spacing w:line="360" w:lineRule="auto"/>
        <w:ind w:firstLineChars="201" w:firstLine="563"/>
        <w:jc w:val="left"/>
        <w:rPr>
          <w:rFonts w:ascii="仿宋" w:eastAsia="仿宋" w:hAnsi="仿宋"/>
          <w:sz w:val="28"/>
          <w:szCs w:val="28"/>
        </w:rPr>
      </w:pPr>
      <w:r>
        <w:rPr>
          <w:rFonts w:ascii="仿宋" w:eastAsia="仿宋" w:hAnsi="仿宋" w:hint="eastAsia"/>
          <w:sz w:val="28"/>
          <w:szCs w:val="28"/>
        </w:rPr>
        <w:t>当综合评分小于0分时，按0分计算；当综合评分大于1</w:t>
      </w:r>
      <w:r>
        <w:rPr>
          <w:rFonts w:ascii="仿宋" w:eastAsia="仿宋" w:hAnsi="仿宋"/>
          <w:sz w:val="28"/>
          <w:szCs w:val="28"/>
        </w:rPr>
        <w:t>00</w:t>
      </w:r>
      <w:r>
        <w:rPr>
          <w:rFonts w:ascii="仿宋" w:eastAsia="仿宋" w:hAnsi="仿宋" w:hint="eastAsia"/>
          <w:sz w:val="28"/>
          <w:szCs w:val="28"/>
        </w:rPr>
        <w:t>分时，按1</w:t>
      </w:r>
      <w:r>
        <w:rPr>
          <w:rFonts w:ascii="仿宋" w:eastAsia="仿宋" w:hAnsi="仿宋"/>
          <w:sz w:val="28"/>
          <w:szCs w:val="28"/>
        </w:rPr>
        <w:t>00</w:t>
      </w:r>
      <w:r>
        <w:rPr>
          <w:rFonts w:ascii="仿宋" w:eastAsia="仿宋" w:hAnsi="仿宋" w:hint="eastAsia"/>
          <w:sz w:val="28"/>
          <w:szCs w:val="28"/>
        </w:rPr>
        <w:t>分计算。</w:t>
      </w:r>
    </w:p>
    <w:p w14:paraId="59CCB6D6" w14:textId="77777777" w:rsidR="00DC3E83" w:rsidRDefault="00DC3E83">
      <w:pPr>
        <w:jc w:val="left"/>
        <w:rPr>
          <w:rFonts w:ascii="仿宋" w:eastAsia="仿宋" w:hAnsi="仿宋"/>
          <w:b/>
          <w:sz w:val="28"/>
          <w:szCs w:val="28"/>
        </w:rPr>
      </w:pPr>
    </w:p>
    <w:p w14:paraId="32946DFD" w14:textId="69E037E2" w:rsidR="001777A9" w:rsidRDefault="002035FD">
      <w:pPr>
        <w:jc w:val="left"/>
        <w:rPr>
          <w:rFonts w:ascii="仿宋" w:eastAsia="仿宋" w:hAnsi="仿宋"/>
          <w:b/>
          <w:sz w:val="28"/>
          <w:szCs w:val="28"/>
        </w:rPr>
      </w:pPr>
      <w:r>
        <w:rPr>
          <w:rFonts w:ascii="仿宋" w:eastAsia="仿宋" w:hAnsi="仿宋" w:hint="eastAsia"/>
          <w:b/>
          <w:sz w:val="28"/>
          <w:szCs w:val="28"/>
        </w:rPr>
        <w:t>五、担保基金、担保债券范围筛选及折算率计算模型</w:t>
      </w:r>
      <w:r>
        <w:rPr>
          <w:rFonts w:ascii="仿宋" w:eastAsia="仿宋" w:hAnsi="仿宋" w:hint="eastAsia"/>
          <w:b/>
          <w:color w:val="FF0000"/>
          <w:sz w:val="28"/>
          <w:szCs w:val="28"/>
        </w:rPr>
        <w:t>（《2022年金证信用风险评估系统需求》内需求，未开始）</w:t>
      </w:r>
    </w:p>
    <w:p w14:paraId="034C47D9" w14:textId="77777777" w:rsidR="001777A9" w:rsidRDefault="002035FD">
      <w:pPr>
        <w:spacing w:line="360" w:lineRule="auto"/>
        <w:ind w:firstLineChars="201" w:firstLine="565"/>
        <w:jc w:val="left"/>
        <w:rPr>
          <w:rFonts w:ascii="仿宋" w:eastAsia="仿宋" w:hAnsi="仿宋"/>
          <w:b/>
          <w:bCs/>
          <w:sz w:val="28"/>
          <w:szCs w:val="28"/>
        </w:rPr>
      </w:pPr>
      <w:r>
        <w:rPr>
          <w:rFonts w:ascii="仿宋" w:eastAsia="仿宋" w:hAnsi="仿宋"/>
          <w:b/>
          <w:bCs/>
          <w:sz w:val="28"/>
          <w:szCs w:val="28"/>
        </w:rPr>
        <w:t>需求</w:t>
      </w:r>
      <w:proofErr w:type="gramStart"/>
      <w:r>
        <w:rPr>
          <w:rFonts w:ascii="仿宋" w:eastAsia="仿宋" w:hAnsi="仿宋"/>
          <w:b/>
          <w:bCs/>
          <w:sz w:val="28"/>
          <w:szCs w:val="28"/>
        </w:rPr>
        <w:t>一</w:t>
      </w:r>
      <w:proofErr w:type="gramEnd"/>
      <w:r>
        <w:rPr>
          <w:rFonts w:ascii="仿宋" w:eastAsia="仿宋" w:hAnsi="仿宋"/>
          <w:b/>
          <w:bCs/>
          <w:sz w:val="28"/>
          <w:szCs w:val="28"/>
        </w:rPr>
        <w:t>：担保基金范围筛选及折算率计算模型</w:t>
      </w:r>
    </w:p>
    <w:p w14:paraId="206D0782" w14:textId="77777777" w:rsidR="001777A9" w:rsidRDefault="002035FD">
      <w:pPr>
        <w:spacing w:line="360" w:lineRule="auto"/>
        <w:ind w:firstLineChars="201" w:firstLine="563"/>
        <w:jc w:val="left"/>
        <w:rPr>
          <w:rFonts w:ascii="仿宋" w:eastAsia="仿宋" w:hAnsi="仿宋"/>
          <w:sz w:val="28"/>
          <w:szCs w:val="28"/>
        </w:rPr>
      </w:pPr>
      <w:r>
        <w:rPr>
          <w:rFonts w:ascii="仿宋" w:eastAsia="仿宋" w:hAnsi="仿宋"/>
          <w:sz w:val="28"/>
          <w:szCs w:val="28"/>
        </w:rPr>
        <w:t>基础范围为交易所可充抵保证金的基金。</w:t>
      </w:r>
    </w:p>
    <w:p w14:paraId="11C5B822" w14:textId="77777777" w:rsidR="001777A9" w:rsidRDefault="002035FD">
      <w:pPr>
        <w:spacing w:line="360" w:lineRule="auto"/>
        <w:ind w:firstLineChars="201" w:firstLine="563"/>
        <w:jc w:val="left"/>
        <w:rPr>
          <w:rFonts w:ascii="仿宋" w:eastAsia="仿宋" w:hAnsi="仿宋"/>
          <w:sz w:val="28"/>
          <w:szCs w:val="28"/>
        </w:rPr>
      </w:pPr>
      <w:r>
        <w:rPr>
          <w:rFonts w:ascii="仿宋" w:eastAsia="仿宋" w:hAnsi="仿宋"/>
          <w:sz w:val="28"/>
          <w:szCs w:val="28"/>
        </w:rPr>
        <w:t>1、我司可充抵保证金基金范围：</w:t>
      </w:r>
    </w:p>
    <w:p w14:paraId="6935B9C7" w14:textId="77777777" w:rsidR="001777A9" w:rsidRDefault="002035FD">
      <w:pPr>
        <w:spacing w:line="360" w:lineRule="auto"/>
        <w:ind w:firstLineChars="201" w:firstLine="563"/>
        <w:jc w:val="left"/>
        <w:rPr>
          <w:rFonts w:ascii="仿宋" w:eastAsia="仿宋" w:hAnsi="仿宋"/>
          <w:sz w:val="28"/>
          <w:szCs w:val="28"/>
        </w:rPr>
      </w:pPr>
      <w:r>
        <w:rPr>
          <w:rFonts w:ascii="仿宋" w:eastAsia="仿宋" w:hAnsi="仿宋"/>
          <w:sz w:val="28"/>
          <w:szCs w:val="28"/>
        </w:rPr>
        <w:t>除分级基金B份额外，其余（不包含公开募集基础设施基金（REITS））已纳入交易所可充抵保证金证券范围的基金均作为公司可充抵保证金证券。符合以下条件的公开募集基础设施基金（REITS）可以作为公司可充抵保证金证券：</w:t>
      </w:r>
    </w:p>
    <w:p w14:paraId="4D2507CB" w14:textId="77777777" w:rsidR="001777A9" w:rsidRDefault="002035FD">
      <w:pPr>
        <w:spacing w:line="360" w:lineRule="auto"/>
        <w:ind w:firstLineChars="201" w:firstLine="563"/>
        <w:jc w:val="left"/>
        <w:rPr>
          <w:rFonts w:ascii="仿宋" w:eastAsia="仿宋" w:hAnsi="仿宋"/>
          <w:sz w:val="28"/>
          <w:szCs w:val="28"/>
        </w:rPr>
      </w:pPr>
      <w:r>
        <w:rPr>
          <w:rFonts w:ascii="仿宋" w:eastAsia="仿宋" w:hAnsi="仿宋"/>
          <w:sz w:val="28"/>
          <w:szCs w:val="28"/>
        </w:rPr>
        <w:lastRenderedPageBreak/>
        <w:t>（1）已纳入交易所可充抵保证金证券范围；</w:t>
      </w:r>
    </w:p>
    <w:p w14:paraId="20A8E44B" w14:textId="77777777" w:rsidR="001777A9" w:rsidRDefault="002035FD">
      <w:pPr>
        <w:spacing w:line="360" w:lineRule="auto"/>
        <w:ind w:firstLineChars="201" w:firstLine="563"/>
        <w:jc w:val="left"/>
        <w:rPr>
          <w:rFonts w:ascii="仿宋" w:eastAsia="仿宋" w:hAnsi="仿宋"/>
          <w:sz w:val="28"/>
          <w:szCs w:val="28"/>
        </w:rPr>
      </w:pPr>
      <w:r>
        <w:rPr>
          <w:rFonts w:ascii="仿宋" w:eastAsia="仿宋" w:hAnsi="仿宋"/>
          <w:sz w:val="28"/>
          <w:szCs w:val="28"/>
        </w:rPr>
        <w:t>（2）持有的基础设施资产支持证券（ABS）的原始权益人为国有企业。</w:t>
      </w:r>
    </w:p>
    <w:p w14:paraId="0A4ADA28" w14:textId="77777777" w:rsidR="001777A9" w:rsidRDefault="002035FD">
      <w:pPr>
        <w:spacing w:line="360" w:lineRule="auto"/>
        <w:ind w:firstLineChars="201" w:firstLine="563"/>
        <w:jc w:val="left"/>
        <w:rPr>
          <w:rFonts w:ascii="仿宋" w:eastAsia="仿宋" w:hAnsi="仿宋"/>
          <w:sz w:val="28"/>
          <w:szCs w:val="28"/>
        </w:rPr>
      </w:pPr>
      <w:r>
        <w:rPr>
          <w:rFonts w:ascii="仿宋" w:eastAsia="仿宋" w:hAnsi="仿宋"/>
          <w:sz w:val="28"/>
          <w:szCs w:val="28"/>
        </w:rPr>
        <w:t>2、我司可充抵保证金基金的折算率：</w:t>
      </w:r>
    </w:p>
    <w:p w14:paraId="749FD9E4" w14:textId="77777777" w:rsidR="001777A9" w:rsidRDefault="002035FD">
      <w:pPr>
        <w:spacing w:line="360" w:lineRule="auto"/>
        <w:ind w:firstLineChars="201" w:firstLine="563"/>
        <w:jc w:val="left"/>
        <w:rPr>
          <w:rFonts w:ascii="仿宋" w:eastAsia="仿宋" w:hAnsi="仿宋"/>
          <w:sz w:val="28"/>
          <w:szCs w:val="28"/>
        </w:rPr>
      </w:pPr>
      <w:r>
        <w:rPr>
          <w:rFonts w:ascii="仿宋" w:eastAsia="仿宋" w:hAnsi="仿宋"/>
          <w:sz w:val="28"/>
          <w:szCs w:val="28"/>
        </w:rPr>
        <w:t>根据交易所规定，可充抵保证金的基金在计算保证金余额时应按下列折算率进行折算：</w:t>
      </w:r>
    </w:p>
    <w:p w14:paraId="3376E3DC" w14:textId="77777777" w:rsidR="001777A9" w:rsidRDefault="002035FD">
      <w:pPr>
        <w:spacing w:line="360" w:lineRule="auto"/>
        <w:ind w:firstLineChars="201" w:firstLine="563"/>
        <w:jc w:val="left"/>
        <w:rPr>
          <w:rFonts w:ascii="仿宋" w:eastAsia="仿宋" w:hAnsi="仿宋"/>
          <w:sz w:val="28"/>
          <w:szCs w:val="28"/>
        </w:rPr>
      </w:pPr>
      <w:r>
        <w:rPr>
          <w:rFonts w:ascii="仿宋" w:eastAsia="仿宋" w:hAnsi="仿宋"/>
          <w:sz w:val="28"/>
          <w:szCs w:val="28"/>
        </w:rPr>
        <w:t>货币市场基金折算率最高不超过95%；交易型开放式指数基金折算率最高不超过90%；其他上市证券投资基金折算率最高不超过80%。</w:t>
      </w:r>
    </w:p>
    <w:p w14:paraId="73103547" w14:textId="77777777" w:rsidR="001777A9" w:rsidRDefault="002035FD">
      <w:pPr>
        <w:spacing w:line="360" w:lineRule="auto"/>
        <w:ind w:firstLineChars="201" w:firstLine="563"/>
        <w:jc w:val="left"/>
        <w:rPr>
          <w:rFonts w:ascii="仿宋" w:eastAsia="仿宋" w:hAnsi="仿宋"/>
          <w:sz w:val="28"/>
          <w:szCs w:val="28"/>
        </w:rPr>
      </w:pPr>
      <w:r>
        <w:rPr>
          <w:rFonts w:ascii="仿宋" w:eastAsia="仿宋" w:hAnsi="仿宋"/>
          <w:sz w:val="28"/>
          <w:szCs w:val="28"/>
        </w:rPr>
        <w:t>（1）对于除公开募集基础设施基金外的可充抵保证金基金的折算率，建议按以下方式计算确定：</w:t>
      </w:r>
    </w:p>
    <w:p w14:paraId="4FD8D423" w14:textId="77777777" w:rsidR="001777A9" w:rsidRDefault="002035FD">
      <w:pPr>
        <w:spacing w:line="360" w:lineRule="auto"/>
        <w:ind w:firstLineChars="201" w:firstLine="563"/>
        <w:jc w:val="left"/>
        <w:rPr>
          <w:rFonts w:ascii="仿宋" w:eastAsia="仿宋" w:hAnsi="仿宋"/>
          <w:sz w:val="28"/>
          <w:szCs w:val="28"/>
        </w:rPr>
      </w:pPr>
      <w:r>
        <w:rPr>
          <w:rFonts w:ascii="仿宋" w:eastAsia="仿宋" w:hAnsi="仿宋"/>
          <w:sz w:val="28"/>
          <w:szCs w:val="28"/>
        </w:rPr>
        <w:t>基金折算率=交易所规定的基金折算率上限-折算率扣减值</w:t>
      </w:r>
    </w:p>
    <w:p w14:paraId="4C4F198E" w14:textId="77777777" w:rsidR="001777A9" w:rsidRDefault="002035FD">
      <w:pPr>
        <w:spacing w:line="360" w:lineRule="auto"/>
        <w:ind w:firstLineChars="201" w:firstLine="563"/>
        <w:jc w:val="left"/>
        <w:rPr>
          <w:rFonts w:ascii="仿宋" w:eastAsia="仿宋" w:hAnsi="仿宋"/>
          <w:sz w:val="28"/>
          <w:szCs w:val="28"/>
        </w:rPr>
      </w:pPr>
      <w:r>
        <w:rPr>
          <w:rFonts w:ascii="仿宋" w:eastAsia="仿宋" w:hAnsi="仿宋"/>
          <w:sz w:val="28"/>
          <w:szCs w:val="28"/>
        </w:rPr>
        <w:t>折算率</w:t>
      </w:r>
      <w:proofErr w:type="gramStart"/>
      <w:r>
        <w:rPr>
          <w:rFonts w:ascii="仿宋" w:eastAsia="仿宋" w:hAnsi="仿宋"/>
          <w:sz w:val="28"/>
          <w:szCs w:val="28"/>
        </w:rPr>
        <w:t>扣减值按照</w:t>
      </w:r>
      <w:proofErr w:type="gramEnd"/>
      <w:r>
        <w:rPr>
          <w:rFonts w:ascii="仿宋" w:eastAsia="仿宋" w:hAnsi="仿宋"/>
          <w:sz w:val="28"/>
          <w:szCs w:val="28"/>
        </w:rPr>
        <w:t>WIND万得信息对基金划分的风险等级确定。高风险等级基金的折算率</w:t>
      </w:r>
      <w:proofErr w:type="gramStart"/>
      <w:r>
        <w:rPr>
          <w:rFonts w:ascii="仿宋" w:eastAsia="仿宋" w:hAnsi="仿宋"/>
          <w:sz w:val="28"/>
          <w:szCs w:val="28"/>
        </w:rPr>
        <w:t>扣减值</w:t>
      </w:r>
      <w:proofErr w:type="gramEnd"/>
      <w:r>
        <w:rPr>
          <w:rFonts w:ascii="仿宋" w:eastAsia="仿宋" w:hAnsi="仿宋"/>
          <w:sz w:val="28"/>
          <w:szCs w:val="28"/>
        </w:rPr>
        <w:t>为0.2，中高风险等级基金的折算率</w:t>
      </w:r>
      <w:proofErr w:type="gramStart"/>
      <w:r>
        <w:rPr>
          <w:rFonts w:ascii="仿宋" w:eastAsia="仿宋" w:hAnsi="仿宋"/>
          <w:sz w:val="28"/>
          <w:szCs w:val="28"/>
        </w:rPr>
        <w:t>扣减值</w:t>
      </w:r>
      <w:proofErr w:type="gramEnd"/>
      <w:r>
        <w:rPr>
          <w:rFonts w:ascii="仿宋" w:eastAsia="仿宋" w:hAnsi="仿宋"/>
          <w:sz w:val="28"/>
          <w:szCs w:val="28"/>
        </w:rPr>
        <w:t>为0.1，中风险、中低风险和低风险等级基金的折算率</w:t>
      </w:r>
      <w:proofErr w:type="gramStart"/>
      <w:r>
        <w:rPr>
          <w:rFonts w:ascii="仿宋" w:eastAsia="仿宋" w:hAnsi="仿宋"/>
          <w:sz w:val="28"/>
          <w:szCs w:val="28"/>
        </w:rPr>
        <w:t>扣减值</w:t>
      </w:r>
      <w:proofErr w:type="gramEnd"/>
      <w:r>
        <w:rPr>
          <w:rFonts w:ascii="仿宋" w:eastAsia="仿宋" w:hAnsi="仿宋"/>
          <w:sz w:val="28"/>
          <w:szCs w:val="28"/>
        </w:rPr>
        <w:t>为0。</w:t>
      </w:r>
    </w:p>
    <w:p w14:paraId="11944A6F" w14:textId="77777777" w:rsidR="001777A9" w:rsidRDefault="002035FD">
      <w:pPr>
        <w:spacing w:line="360" w:lineRule="auto"/>
        <w:ind w:firstLineChars="201" w:firstLine="563"/>
        <w:jc w:val="left"/>
        <w:rPr>
          <w:rFonts w:ascii="仿宋" w:eastAsia="仿宋" w:hAnsi="仿宋"/>
          <w:sz w:val="28"/>
          <w:szCs w:val="28"/>
        </w:rPr>
      </w:pPr>
      <w:r>
        <w:rPr>
          <w:rFonts w:ascii="仿宋" w:eastAsia="仿宋" w:hAnsi="仿宋"/>
          <w:sz w:val="28"/>
          <w:szCs w:val="28"/>
        </w:rPr>
        <w:t>（2）对于可充抵保证金的公开募集基础设施基金的折算率，建议按以下方式确定：</w:t>
      </w:r>
    </w:p>
    <w:p w14:paraId="00F842BE" w14:textId="77777777" w:rsidR="001777A9" w:rsidRDefault="002035FD">
      <w:pPr>
        <w:spacing w:line="360" w:lineRule="auto"/>
        <w:ind w:firstLineChars="201" w:firstLine="563"/>
        <w:jc w:val="left"/>
        <w:rPr>
          <w:rFonts w:ascii="仿宋" w:eastAsia="仿宋" w:hAnsi="仿宋"/>
          <w:sz w:val="28"/>
          <w:szCs w:val="28"/>
        </w:rPr>
      </w:pPr>
      <w:r>
        <w:rPr>
          <w:rFonts w:ascii="仿宋" w:eastAsia="仿宋" w:hAnsi="仿宋"/>
          <w:sz w:val="28"/>
          <w:szCs w:val="28"/>
        </w:rPr>
        <w:t>上市后首次调入公司可充抵保证金证券范围的基础设施基金的折算率统一设置为0.2。</w:t>
      </w:r>
    </w:p>
    <w:p w14:paraId="4F253243" w14:textId="77777777" w:rsidR="001777A9" w:rsidRDefault="002035FD">
      <w:pPr>
        <w:spacing w:line="360" w:lineRule="auto"/>
        <w:ind w:firstLineChars="201" w:firstLine="563"/>
        <w:jc w:val="left"/>
        <w:rPr>
          <w:rFonts w:ascii="仿宋" w:eastAsia="仿宋" w:hAnsi="仿宋"/>
          <w:sz w:val="28"/>
          <w:szCs w:val="28"/>
        </w:rPr>
      </w:pPr>
      <w:r>
        <w:rPr>
          <w:rFonts w:ascii="仿宋" w:eastAsia="仿宋" w:hAnsi="仿宋"/>
          <w:sz w:val="28"/>
          <w:szCs w:val="28"/>
        </w:rPr>
        <w:t>在对可充抵保证金证券进行定期调整时，按以下方式计算确定基础设施基金的折算率：</w:t>
      </w:r>
    </w:p>
    <w:p w14:paraId="610619DE" w14:textId="77777777" w:rsidR="001777A9" w:rsidRDefault="002035FD">
      <w:pPr>
        <w:spacing w:line="360" w:lineRule="auto"/>
        <w:ind w:firstLineChars="201" w:firstLine="563"/>
        <w:jc w:val="left"/>
        <w:rPr>
          <w:rFonts w:ascii="仿宋" w:eastAsia="仿宋" w:hAnsi="仿宋"/>
          <w:sz w:val="28"/>
          <w:szCs w:val="28"/>
        </w:rPr>
      </w:pPr>
      <w:r>
        <w:rPr>
          <w:rFonts w:ascii="仿宋" w:eastAsia="仿宋" w:hAnsi="仿宋"/>
          <w:sz w:val="28"/>
          <w:szCs w:val="28"/>
        </w:rPr>
        <w:lastRenderedPageBreak/>
        <w:t>基础设施基金折算率=交易所规定的基金折算率上限-折算率扣减值</w:t>
      </w:r>
    </w:p>
    <w:p w14:paraId="421B43AC" w14:textId="77777777" w:rsidR="001777A9" w:rsidRDefault="002035FD">
      <w:pPr>
        <w:spacing w:line="360" w:lineRule="auto"/>
        <w:ind w:firstLineChars="201" w:firstLine="563"/>
        <w:jc w:val="left"/>
        <w:rPr>
          <w:rFonts w:ascii="仿宋" w:eastAsia="仿宋" w:hAnsi="仿宋"/>
          <w:sz w:val="28"/>
          <w:szCs w:val="28"/>
        </w:rPr>
      </w:pPr>
      <w:r>
        <w:rPr>
          <w:rFonts w:ascii="仿宋" w:eastAsia="仿宋" w:hAnsi="仿宋"/>
          <w:sz w:val="28"/>
          <w:szCs w:val="28"/>
        </w:rPr>
        <w:t>折算率</w:t>
      </w:r>
      <w:proofErr w:type="gramStart"/>
      <w:r>
        <w:rPr>
          <w:rFonts w:ascii="仿宋" w:eastAsia="仿宋" w:hAnsi="仿宋"/>
          <w:sz w:val="28"/>
          <w:szCs w:val="28"/>
        </w:rPr>
        <w:t>扣减值按照</w:t>
      </w:r>
      <w:proofErr w:type="gramEnd"/>
      <w:r>
        <w:rPr>
          <w:rFonts w:ascii="仿宋" w:eastAsia="仿宋" w:hAnsi="仿宋"/>
          <w:sz w:val="28"/>
          <w:szCs w:val="28"/>
        </w:rPr>
        <w:t>基础设施基金在证券交易所市场最近三个月的日均成交金额确定，具体对应关系为：</w:t>
      </w:r>
    </w:p>
    <w:p w14:paraId="2AFFF826" w14:textId="77777777" w:rsidR="001777A9" w:rsidRDefault="002035FD">
      <w:pPr>
        <w:spacing w:line="360" w:lineRule="auto"/>
        <w:ind w:firstLineChars="201" w:firstLine="563"/>
        <w:jc w:val="left"/>
        <w:rPr>
          <w:rFonts w:ascii="仿宋" w:eastAsia="仿宋" w:hAnsi="仿宋"/>
          <w:sz w:val="28"/>
          <w:szCs w:val="28"/>
        </w:rPr>
      </w:pPr>
      <w:r>
        <w:rPr>
          <w:rFonts w:ascii="仿宋" w:eastAsia="仿宋" w:hAnsi="仿宋"/>
          <w:sz w:val="28"/>
          <w:szCs w:val="28"/>
        </w:rPr>
        <w:t>最近三个月日均成交金额</w:t>
      </w:r>
      <w:r>
        <w:rPr>
          <w:rFonts w:ascii="仿宋" w:eastAsia="仿宋" w:hAnsi="仿宋"/>
          <w:sz w:val="28"/>
          <w:szCs w:val="28"/>
        </w:rPr>
        <w:tab/>
        <w:t>折算率扣减值</w:t>
      </w:r>
    </w:p>
    <w:tbl>
      <w:tblPr>
        <w:tblStyle w:val="ad"/>
        <w:tblW w:w="0" w:type="auto"/>
        <w:jc w:val="center"/>
        <w:tblLook w:val="04A0" w:firstRow="1" w:lastRow="0" w:firstColumn="1" w:lastColumn="0" w:noHBand="0" w:noVBand="1"/>
      </w:tblPr>
      <w:tblGrid>
        <w:gridCol w:w="4148"/>
        <w:gridCol w:w="4148"/>
      </w:tblGrid>
      <w:tr w:rsidR="001777A9" w14:paraId="08165A75" w14:textId="77777777">
        <w:trPr>
          <w:jc w:val="center"/>
        </w:trPr>
        <w:tc>
          <w:tcPr>
            <w:tcW w:w="4148" w:type="dxa"/>
            <w:shd w:val="clear" w:color="auto" w:fill="ACB9CA" w:themeFill="text2" w:themeFillTint="66"/>
          </w:tcPr>
          <w:p w14:paraId="38DF9B67" w14:textId="77777777" w:rsidR="001777A9" w:rsidRDefault="002035FD">
            <w:pPr>
              <w:spacing w:line="360" w:lineRule="auto"/>
              <w:jc w:val="center"/>
              <w:rPr>
                <w:rFonts w:ascii="仿宋" w:eastAsia="仿宋" w:hAnsi="仿宋"/>
                <w:b/>
                <w:sz w:val="24"/>
                <w:szCs w:val="28"/>
              </w:rPr>
            </w:pPr>
            <w:r>
              <w:rPr>
                <w:rFonts w:ascii="仿宋" w:eastAsia="仿宋" w:hAnsi="仿宋" w:hint="eastAsia"/>
                <w:b/>
                <w:sz w:val="24"/>
                <w:szCs w:val="28"/>
              </w:rPr>
              <w:t>最近三个月日均成交金额</w:t>
            </w:r>
          </w:p>
        </w:tc>
        <w:tc>
          <w:tcPr>
            <w:tcW w:w="4148" w:type="dxa"/>
            <w:shd w:val="clear" w:color="auto" w:fill="ACB9CA" w:themeFill="text2" w:themeFillTint="66"/>
          </w:tcPr>
          <w:p w14:paraId="755990D6" w14:textId="77777777" w:rsidR="001777A9" w:rsidRDefault="002035FD">
            <w:pPr>
              <w:spacing w:line="360" w:lineRule="auto"/>
              <w:jc w:val="center"/>
              <w:rPr>
                <w:rFonts w:ascii="仿宋" w:eastAsia="仿宋" w:hAnsi="仿宋"/>
                <w:b/>
                <w:sz w:val="24"/>
                <w:szCs w:val="28"/>
              </w:rPr>
            </w:pPr>
            <w:r>
              <w:rPr>
                <w:rFonts w:ascii="仿宋" w:eastAsia="仿宋" w:hAnsi="仿宋" w:hint="eastAsia"/>
                <w:b/>
                <w:sz w:val="24"/>
                <w:szCs w:val="28"/>
              </w:rPr>
              <w:t>折算率</w:t>
            </w:r>
            <w:proofErr w:type="gramStart"/>
            <w:r>
              <w:rPr>
                <w:rFonts w:ascii="仿宋" w:eastAsia="仿宋" w:hAnsi="仿宋" w:hint="eastAsia"/>
                <w:b/>
                <w:sz w:val="24"/>
                <w:szCs w:val="28"/>
              </w:rPr>
              <w:t>扣减值</w:t>
            </w:r>
            <w:proofErr w:type="gramEnd"/>
          </w:p>
        </w:tc>
      </w:tr>
      <w:tr w:rsidR="001777A9" w14:paraId="320F4AF1" w14:textId="77777777">
        <w:trPr>
          <w:jc w:val="center"/>
        </w:trPr>
        <w:tc>
          <w:tcPr>
            <w:tcW w:w="4148" w:type="dxa"/>
          </w:tcPr>
          <w:p w14:paraId="5C98DF98" w14:textId="77777777" w:rsidR="001777A9" w:rsidRDefault="002035FD">
            <w:pPr>
              <w:spacing w:line="360" w:lineRule="auto"/>
              <w:jc w:val="center"/>
              <w:rPr>
                <w:rFonts w:ascii="仿宋" w:eastAsia="仿宋" w:hAnsi="仿宋"/>
                <w:sz w:val="24"/>
                <w:szCs w:val="28"/>
              </w:rPr>
            </w:pPr>
            <w:r>
              <w:rPr>
                <w:rFonts w:ascii="仿宋" w:eastAsia="仿宋" w:hAnsi="仿宋"/>
                <w:sz w:val="24"/>
                <w:szCs w:val="28"/>
              </w:rPr>
              <w:t>4000</w:t>
            </w:r>
            <w:r>
              <w:rPr>
                <w:rFonts w:ascii="仿宋" w:eastAsia="仿宋" w:hAnsi="仿宋" w:hint="eastAsia"/>
                <w:sz w:val="24"/>
                <w:szCs w:val="28"/>
              </w:rPr>
              <w:t>万元（含）以上</w:t>
            </w:r>
          </w:p>
        </w:tc>
        <w:tc>
          <w:tcPr>
            <w:tcW w:w="4148" w:type="dxa"/>
          </w:tcPr>
          <w:p w14:paraId="6FC6A0AF" w14:textId="77777777" w:rsidR="001777A9" w:rsidRDefault="002035FD">
            <w:pPr>
              <w:spacing w:line="360" w:lineRule="auto"/>
              <w:jc w:val="center"/>
              <w:rPr>
                <w:rFonts w:ascii="仿宋" w:eastAsia="仿宋" w:hAnsi="仿宋"/>
                <w:sz w:val="24"/>
                <w:szCs w:val="28"/>
              </w:rPr>
            </w:pPr>
            <w:r>
              <w:rPr>
                <w:rFonts w:ascii="仿宋" w:eastAsia="仿宋" w:hAnsi="仿宋" w:hint="eastAsia"/>
                <w:sz w:val="24"/>
                <w:szCs w:val="28"/>
              </w:rPr>
              <w:t>0</w:t>
            </w:r>
          </w:p>
        </w:tc>
      </w:tr>
      <w:tr w:rsidR="001777A9" w14:paraId="02E2D63C" w14:textId="77777777">
        <w:trPr>
          <w:jc w:val="center"/>
        </w:trPr>
        <w:tc>
          <w:tcPr>
            <w:tcW w:w="4148" w:type="dxa"/>
          </w:tcPr>
          <w:p w14:paraId="0FBAD2A6" w14:textId="77777777" w:rsidR="001777A9" w:rsidRDefault="002035FD">
            <w:pPr>
              <w:spacing w:line="360" w:lineRule="auto"/>
              <w:jc w:val="center"/>
              <w:rPr>
                <w:rFonts w:ascii="仿宋" w:eastAsia="仿宋" w:hAnsi="仿宋"/>
                <w:sz w:val="24"/>
                <w:szCs w:val="28"/>
              </w:rPr>
            </w:pPr>
            <w:r>
              <w:rPr>
                <w:rFonts w:ascii="仿宋" w:eastAsia="仿宋" w:hAnsi="仿宋" w:hint="eastAsia"/>
                <w:sz w:val="24"/>
                <w:szCs w:val="28"/>
              </w:rPr>
              <w:t>3</w:t>
            </w:r>
            <w:r>
              <w:rPr>
                <w:rFonts w:ascii="仿宋" w:eastAsia="仿宋" w:hAnsi="仿宋"/>
                <w:sz w:val="24"/>
                <w:szCs w:val="28"/>
              </w:rPr>
              <w:t>000</w:t>
            </w:r>
            <w:r>
              <w:rPr>
                <w:rFonts w:ascii="仿宋" w:eastAsia="仿宋" w:hAnsi="仿宋" w:hint="eastAsia"/>
                <w:sz w:val="24"/>
                <w:szCs w:val="28"/>
              </w:rPr>
              <w:t>万元（含）-</w:t>
            </w:r>
            <w:r>
              <w:rPr>
                <w:rFonts w:ascii="仿宋" w:eastAsia="仿宋" w:hAnsi="仿宋"/>
                <w:sz w:val="24"/>
                <w:szCs w:val="28"/>
              </w:rPr>
              <w:t>4000</w:t>
            </w:r>
            <w:r>
              <w:rPr>
                <w:rFonts w:ascii="仿宋" w:eastAsia="仿宋" w:hAnsi="仿宋" w:hint="eastAsia"/>
                <w:sz w:val="24"/>
                <w:szCs w:val="28"/>
              </w:rPr>
              <w:t>万元</w:t>
            </w:r>
          </w:p>
        </w:tc>
        <w:tc>
          <w:tcPr>
            <w:tcW w:w="4148" w:type="dxa"/>
          </w:tcPr>
          <w:p w14:paraId="0D2FEEA5" w14:textId="77777777" w:rsidR="001777A9" w:rsidRDefault="002035FD">
            <w:pPr>
              <w:spacing w:line="360" w:lineRule="auto"/>
              <w:jc w:val="center"/>
              <w:rPr>
                <w:rFonts w:ascii="仿宋" w:eastAsia="仿宋" w:hAnsi="仿宋"/>
                <w:sz w:val="24"/>
                <w:szCs w:val="28"/>
              </w:rPr>
            </w:pPr>
            <w:r>
              <w:rPr>
                <w:rFonts w:ascii="仿宋" w:eastAsia="仿宋" w:hAnsi="仿宋" w:hint="eastAsia"/>
                <w:sz w:val="24"/>
                <w:szCs w:val="28"/>
              </w:rPr>
              <w:t>0</w:t>
            </w:r>
            <w:r>
              <w:rPr>
                <w:rFonts w:ascii="仿宋" w:eastAsia="仿宋" w:hAnsi="仿宋"/>
                <w:sz w:val="24"/>
                <w:szCs w:val="28"/>
              </w:rPr>
              <w:t>.1</w:t>
            </w:r>
          </w:p>
        </w:tc>
      </w:tr>
      <w:tr w:rsidR="001777A9" w14:paraId="57013801" w14:textId="77777777">
        <w:trPr>
          <w:jc w:val="center"/>
        </w:trPr>
        <w:tc>
          <w:tcPr>
            <w:tcW w:w="4148" w:type="dxa"/>
          </w:tcPr>
          <w:p w14:paraId="5341684E" w14:textId="77777777" w:rsidR="001777A9" w:rsidRDefault="002035FD">
            <w:pPr>
              <w:spacing w:line="360" w:lineRule="auto"/>
              <w:jc w:val="center"/>
              <w:rPr>
                <w:rFonts w:ascii="仿宋" w:eastAsia="仿宋" w:hAnsi="仿宋"/>
                <w:sz w:val="24"/>
                <w:szCs w:val="28"/>
              </w:rPr>
            </w:pPr>
            <w:r>
              <w:rPr>
                <w:rFonts w:ascii="仿宋" w:eastAsia="仿宋" w:hAnsi="仿宋"/>
                <w:sz w:val="24"/>
                <w:szCs w:val="28"/>
              </w:rPr>
              <w:t>2000</w:t>
            </w:r>
            <w:r>
              <w:rPr>
                <w:rFonts w:ascii="仿宋" w:eastAsia="仿宋" w:hAnsi="仿宋" w:hint="eastAsia"/>
                <w:sz w:val="24"/>
                <w:szCs w:val="28"/>
              </w:rPr>
              <w:t>万元（含）-</w:t>
            </w:r>
            <w:r>
              <w:rPr>
                <w:rFonts w:ascii="仿宋" w:eastAsia="仿宋" w:hAnsi="仿宋"/>
                <w:sz w:val="24"/>
                <w:szCs w:val="28"/>
              </w:rPr>
              <w:t>3000</w:t>
            </w:r>
            <w:r>
              <w:rPr>
                <w:rFonts w:ascii="仿宋" w:eastAsia="仿宋" w:hAnsi="仿宋" w:hint="eastAsia"/>
                <w:sz w:val="24"/>
                <w:szCs w:val="28"/>
              </w:rPr>
              <w:t>万元</w:t>
            </w:r>
          </w:p>
        </w:tc>
        <w:tc>
          <w:tcPr>
            <w:tcW w:w="4148" w:type="dxa"/>
          </w:tcPr>
          <w:p w14:paraId="0F4B4E22" w14:textId="77777777" w:rsidR="001777A9" w:rsidRDefault="002035FD">
            <w:pPr>
              <w:spacing w:line="360" w:lineRule="auto"/>
              <w:jc w:val="center"/>
              <w:rPr>
                <w:rFonts w:ascii="仿宋" w:eastAsia="仿宋" w:hAnsi="仿宋"/>
                <w:sz w:val="24"/>
                <w:szCs w:val="28"/>
              </w:rPr>
            </w:pPr>
            <w:r>
              <w:rPr>
                <w:rFonts w:ascii="仿宋" w:eastAsia="仿宋" w:hAnsi="仿宋" w:hint="eastAsia"/>
                <w:sz w:val="24"/>
                <w:szCs w:val="28"/>
              </w:rPr>
              <w:t>0</w:t>
            </w:r>
            <w:r>
              <w:rPr>
                <w:rFonts w:ascii="仿宋" w:eastAsia="仿宋" w:hAnsi="仿宋"/>
                <w:sz w:val="24"/>
                <w:szCs w:val="28"/>
              </w:rPr>
              <w:t>.2</w:t>
            </w:r>
          </w:p>
        </w:tc>
      </w:tr>
      <w:tr w:rsidR="001777A9" w14:paraId="0D9940C3" w14:textId="77777777">
        <w:trPr>
          <w:jc w:val="center"/>
        </w:trPr>
        <w:tc>
          <w:tcPr>
            <w:tcW w:w="4148" w:type="dxa"/>
          </w:tcPr>
          <w:p w14:paraId="64CE6D68" w14:textId="77777777" w:rsidR="001777A9" w:rsidRDefault="002035FD">
            <w:pPr>
              <w:spacing w:line="360" w:lineRule="auto"/>
              <w:jc w:val="center"/>
              <w:rPr>
                <w:rFonts w:ascii="仿宋" w:eastAsia="仿宋" w:hAnsi="仿宋"/>
                <w:sz w:val="24"/>
                <w:szCs w:val="28"/>
              </w:rPr>
            </w:pPr>
            <w:r>
              <w:rPr>
                <w:rFonts w:ascii="仿宋" w:eastAsia="仿宋" w:hAnsi="仿宋"/>
                <w:sz w:val="24"/>
                <w:szCs w:val="28"/>
              </w:rPr>
              <w:t>1000</w:t>
            </w:r>
            <w:r>
              <w:rPr>
                <w:rFonts w:ascii="仿宋" w:eastAsia="仿宋" w:hAnsi="仿宋" w:hint="eastAsia"/>
                <w:sz w:val="24"/>
                <w:szCs w:val="28"/>
              </w:rPr>
              <w:t>万元（含）-</w:t>
            </w:r>
            <w:r>
              <w:rPr>
                <w:rFonts w:ascii="仿宋" w:eastAsia="仿宋" w:hAnsi="仿宋"/>
                <w:sz w:val="24"/>
                <w:szCs w:val="28"/>
              </w:rPr>
              <w:t>2000</w:t>
            </w:r>
            <w:r>
              <w:rPr>
                <w:rFonts w:ascii="仿宋" w:eastAsia="仿宋" w:hAnsi="仿宋" w:hint="eastAsia"/>
                <w:sz w:val="24"/>
                <w:szCs w:val="28"/>
              </w:rPr>
              <w:t>万元</w:t>
            </w:r>
          </w:p>
        </w:tc>
        <w:tc>
          <w:tcPr>
            <w:tcW w:w="4148" w:type="dxa"/>
          </w:tcPr>
          <w:p w14:paraId="5E480FF6" w14:textId="77777777" w:rsidR="001777A9" w:rsidRDefault="002035FD">
            <w:pPr>
              <w:spacing w:line="360" w:lineRule="auto"/>
              <w:jc w:val="center"/>
              <w:rPr>
                <w:rFonts w:ascii="仿宋" w:eastAsia="仿宋" w:hAnsi="仿宋"/>
                <w:sz w:val="24"/>
                <w:szCs w:val="28"/>
              </w:rPr>
            </w:pPr>
            <w:r>
              <w:rPr>
                <w:rFonts w:ascii="仿宋" w:eastAsia="仿宋" w:hAnsi="仿宋" w:hint="eastAsia"/>
                <w:sz w:val="24"/>
                <w:szCs w:val="28"/>
              </w:rPr>
              <w:t>0</w:t>
            </w:r>
            <w:r>
              <w:rPr>
                <w:rFonts w:ascii="仿宋" w:eastAsia="仿宋" w:hAnsi="仿宋"/>
                <w:sz w:val="24"/>
                <w:szCs w:val="28"/>
              </w:rPr>
              <w:t>.3</w:t>
            </w:r>
          </w:p>
        </w:tc>
      </w:tr>
      <w:tr w:rsidR="001777A9" w14:paraId="698DC3AA" w14:textId="77777777">
        <w:trPr>
          <w:jc w:val="center"/>
        </w:trPr>
        <w:tc>
          <w:tcPr>
            <w:tcW w:w="4148" w:type="dxa"/>
          </w:tcPr>
          <w:p w14:paraId="4B563E00" w14:textId="77777777" w:rsidR="001777A9" w:rsidRDefault="002035FD">
            <w:pPr>
              <w:spacing w:line="360" w:lineRule="auto"/>
              <w:jc w:val="center"/>
              <w:rPr>
                <w:rFonts w:ascii="仿宋" w:eastAsia="仿宋" w:hAnsi="仿宋"/>
                <w:sz w:val="24"/>
                <w:szCs w:val="28"/>
              </w:rPr>
            </w:pPr>
            <w:r>
              <w:rPr>
                <w:rFonts w:ascii="仿宋" w:eastAsia="仿宋" w:hAnsi="仿宋"/>
                <w:sz w:val="24"/>
                <w:szCs w:val="28"/>
              </w:rPr>
              <w:t>500</w:t>
            </w:r>
            <w:r>
              <w:rPr>
                <w:rFonts w:ascii="仿宋" w:eastAsia="仿宋" w:hAnsi="仿宋" w:hint="eastAsia"/>
                <w:sz w:val="24"/>
                <w:szCs w:val="28"/>
              </w:rPr>
              <w:t>万元（含）-</w:t>
            </w:r>
            <w:r>
              <w:rPr>
                <w:rFonts w:ascii="仿宋" w:eastAsia="仿宋" w:hAnsi="仿宋"/>
                <w:sz w:val="24"/>
                <w:szCs w:val="28"/>
              </w:rPr>
              <w:t>1000</w:t>
            </w:r>
            <w:r>
              <w:rPr>
                <w:rFonts w:ascii="仿宋" w:eastAsia="仿宋" w:hAnsi="仿宋" w:hint="eastAsia"/>
                <w:sz w:val="24"/>
                <w:szCs w:val="28"/>
              </w:rPr>
              <w:t>万元</w:t>
            </w:r>
          </w:p>
        </w:tc>
        <w:tc>
          <w:tcPr>
            <w:tcW w:w="4148" w:type="dxa"/>
          </w:tcPr>
          <w:p w14:paraId="46955294" w14:textId="77777777" w:rsidR="001777A9" w:rsidRDefault="002035FD">
            <w:pPr>
              <w:spacing w:line="360" w:lineRule="auto"/>
              <w:jc w:val="center"/>
              <w:rPr>
                <w:rFonts w:ascii="仿宋" w:eastAsia="仿宋" w:hAnsi="仿宋"/>
                <w:sz w:val="24"/>
                <w:szCs w:val="28"/>
              </w:rPr>
            </w:pPr>
            <w:r>
              <w:rPr>
                <w:rFonts w:ascii="仿宋" w:eastAsia="仿宋" w:hAnsi="仿宋" w:hint="eastAsia"/>
                <w:sz w:val="24"/>
                <w:szCs w:val="28"/>
              </w:rPr>
              <w:t>0</w:t>
            </w:r>
            <w:r>
              <w:rPr>
                <w:rFonts w:ascii="仿宋" w:eastAsia="仿宋" w:hAnsi="仿宋"/>
                <w:sz w:val="24"/>
                <w:szCs w:val="28"/>
              </w:rPr>
              <w:t>.4</w:t>
            </w:r>
          </w:p>
        </w:tc>
      </w:tr>
      <w:tr w:rsidR="001777A9" w14:paraId="530225FD" w14:textId="77777777">
        <w:trPr>
          <w:jc w:val="center"/>
        </w:trPr>
        <w:tc>
          <w:tcPr>
            <w:tcW w:w="4148" w:type="dxa"/>
          </w:tcPr>
          <w:p w14:paraId="7E985108" w14:textId="77777777" w:rsidR="001777A9" w:rsidRDefault="002035FD">
            <w:pPr>
              <w:spacing w:line="360" w:lineRule="auto"/>
              <w:jc w:val="center"/>
              <w:rPr>
                <w:rFonts w:ascii="仿宋" w:eastAsia="仿宋" w:hAnsi="仿宋"/>
                <w:sz w:val="24"/>
                <w:szCs w:val="28"/>
              </w:rPr>
            </w:pPr>
            <w:r>
              <w:rPr>
                <w:rFonts w:ascii="仿宋" w:eastAsia="仿宋" w:hAnsi="仿宋"/>
                <w:sz w:val="24"/>
                <w:szCs w:val="28"/>
              </w:rPr>
              <w:t>100</w:t>
            </w:r>
            <w:r>
              <w:rPr>
                <w:rFonts w:ascii="仿宋" w:eastAsia="仿宋" w:hAnsi="仿宋" w:hint="eastAsia"/>
                <w:sz w:val="24"/>
                <w:szCs w:val="28"/>
              </w:rPr>
              <w:t>万元（含）-</w:t>
            </w:r>
            <w:r>
              <w:rPr>
                <w:rFonts w:ascii="仿宋" w:eastAsia="仿宋" w:hAnsi="仿宋"/>
                <w:sz w:val="24"/>
                <w:szCs w:val="28"/>
              </w:rPr>
              <w:t>500</w:t>
            </w:r>
            <w:r>
              <w:rPr>
                <w:rFonts w:ascii="仿宋" w:eastAsia="仿宋" w:hAnsi="仿宋" w:hint="eastAsia"/>
                <w:sz w:val="24"/>
                <w:szCs w:val="28"/>
              </w:rPr>
              <w:t>万元</w:t>
            </w:r>
          </w:p>
        </w:tc>
        <w:tc>
          <w:tcPr>
            <w:tcW w:w="4148" w:type="dxa"/>
          </w:tcPr>
          <w:p w14:paraId="34699EE9" w14:textId="77777777" w:rsidR="001777A9" w:rsidRDefault="002035FD">
            <w:pPr>
              <w:spacing w:line="360" w:lineRule="auto"/>
              <w:jc w:val="center"/>
              <w:rPr>
                <w:rFonts w:ascii="仿宋" w:eastAsia="仿宋" w:hAnsi="仿宋"/>
                <w:sz w:val="24"/>
                <w:szCs w:val="28"/>
              </w:rPr>
            </w:pPr>
            <w:r>
              <w:rPr>
                <w:rFonts w:ascii="仿宋" w:eastAsia="仿宋" w:hAnsi="仿宋" w:hint="eastAsia"/>
                <w:sz w:val="24"/>
                <w:szCs w:val="28"/>
              </w:rPr>
              <w:t>0</w:t>
            </w:r>
            <w:r>
              <w:rPr>
                <w:rFonts w:ascii="仿宋" w:eastAsia="仿宋" w:hAnsi="仿宋"/>
                <w:sz w:val="24"/>
                <w:szCs w:val="28"/>
              </w:rPr>
              <w:t>.5</w:t>
            </w:r>
          </w:p>
        </w:tc>
      </w:tr>
      <w:tr w:rsidR="001777A9" w14:paraId="34BA23DB" w14:textId="77777777">
        <w:trPr>
          <w:jc w:val="center"/>
        </w:trPr>
        <w:tc>
          <w:tcPr>
            <w:tcW w:w="4148" w:type="dxa"/>
          </w:tcPr>
          <w:p w14:paraId="1478307B" w14:textId="77777777" w:rsidR="001777A9" w:rsidRDefault="002035FD">
            <w:pPr>
              <w:spacing w:line="360" w:lineRule="auto"/>
              <w:jc w:val="center"/>
              <w:rPr>
                <w:rFonts w:ascii="仿宋" w:eastAsia="仿宋" w:hAnsi="仿宋"/>
                <w:sz w:val="24"/>
                <w:szCs w:val="28"/>
              </w:rPr>
            </w:pPr>
            <w:r>
              <w:rPr>
                <w:rFonts w:ascii="仿宋" w:eastAsia="仿宋" w:hAnsi="仿宋" w:hint="eastAsia"/>
                <w:sz w:val="24"/>
                <w:szCs w:val="28"/>
              </w:rPr>
              <w:t>1</w:t>
            </w:r>
            <w:r>
              <w:rPr>
                <w:rFonts w:ascii="仿宋" w:eastAsia="仿宋" w:hAnsi="仿宋"/>
                <w:sz w:val="24"/>
                <w:szCs w:val="28"/>
              </w:rPr>
              <w:t>00</w:t>
            </w:r>
            <w:r>
              <w:rPr>
                <w:rFonts w:ascii="仿宋" w:eastAsia="仿宋" w:hAnsi="仿宋" w:hint="eastAsia"/>
                <w:sz w:val="24"/>
                <w:szCs w:val="28"/>
              </w:rPr>
              <w:t>万元以下</w:t>
            </w:r>
          </w:p>
        </w:tc>
        <w:tc>
          <w:tcPr>
            <w:tcW w:w="4148" w:type="dxa"/>
          </w:tcPr>
          <w:p w14:paraId="61E8A2CB" w14:textId="77777777" w:rsidR="001777A9" w:rsidRDefault="002035FD">
            <w:pPr>
              <w:spacing w:line="360" w:lineRule="auto"/>
              <w:jc w:val="center"/>
              <w:rPr>
                <w:rFonts w:ascii="仿宋" w:eastAsia="仿宋" w:hAnsi="仿宋"/>
                <w:sz w:val="24"/>
                <w:szCs w:val="28"/>
              </w:rPr>
            </w:pPr>
            <w:r>
              <w:rPr>
                <w:rFonts w:ascii="仿宋" w:eastAsia="仿宋" w:hAnsi="仿宋" w:hint="eastAsia"/>
                <w:sz w:val="24"/>
                <w:szCs w:val="28"/>
              </w:rPr>
              <w:t>0</w:t>
            </w:r>
            <w:r>
              <w:rPr>
                <w:rFonts w:ascii="仿宋" w:eastAsia="仿宋" w:hAnsi="仿宋"/>
                <w:sz w:val="24"/>
                <w:szCs w:val="28"/>
              </w:rPr>
              <w:t>.6</w:t>
            </w:r>
          </w:p>
        </w:tc>
      </w:tr>
    </w:tbl>
    <w:p w14:paraId="63FE67CA" w14:textId="77777777" w:rsidR="001777A9" w:rsidRDefault="002035FD">
      <w:pPr>
        <w:spacing w:line="360" w:lineRule="auto"/>
        <w:ind w:firstLineChars="201" w:firstLine="565"/>
        <w:jc w:val="left"/>
        <w:rPr>
          <w:rFonts w:ascii="仿宋" w:eastAsia="仿宋" w:hAnsi="仿宋"/>
          <w:b/>
          <w:bCs/>
          <w:sz w:val="28"/>
          <w:szCs w:val="28"/>
        </w:rPr>
      </w:pPr>
      <w:r>
        <w:rPr>
          <w:rFonts w:ascii="仿宋" w:eastAsia="仿宋" w:hAnsi="仿宋"/>
          <w:b/>
          <w:bCs/>
          <w:sz w:val="28"/>
          <w:szCs w:val="28"/>
        </w:rPr>
        <w:t>需求二：担保债券范围筛选及折算率计算模型</w:t>
      </w:r>
    </w:p>
    <w:p w14:paraId="31E0AB6B" w14:textId="77777777" w:rsidR="001777A9" w:rsidRDefault="002035FD">
      <w:pPr>
        <w:spacing w:line="360" w:lineRule="auto"/>
        <w:ind w:firstLineChars="201" w:firstLine="563"/>
        <w:jc w:val="left"/>
        <w:rPr>
          <w:rFonts w:ascii="仿宋" w:eastAsia="仿宋" w:hAnsi="仿宋"/>
          <w:sz w:val="28"/>
          <w:szCs w:val="28"/>
        </w:rPr>
      </w:pPr>
      <w:r>
        <w:rPr>
          <w:rFonts w:ascii="仿宋" w:eastAsia="仿宋" w:hAnsi="仿宋"/>
          <w:sz w:val="28"/>
          <w:szCs w:val="28"/>
        </w:rPr>
        <w:t>基础范围为交易所可充抵保证金的债券。</w:t>
      </w:r>
    </w:p>
    <w:p w14:paraId="131CE517" w14:textId="77777777" w:rsidR="001777A9" w:rsidRDefault="002035FD">
      <w:pPr>
        <w:spacing w:line="360" w:lineRule="auto"/>
        <w:ind w:firstLineChars="201" w:firstLine="563"/>
        <w:jc w:val="left"/>
        <w:rPr>
          <w:rFonts w:ascii="仿宋" w:eastAsia="仿宋" w:hAnsi="仿宋"/>
          <w:sz w:val="28"/>
          <w:szCs w:val="28"/>
        </w:rPr>
      </w:pPr>
      <w:r>
        <w:rPr>
          <w:rFonts w:ascii="仿宋" w:eastAsia="仿宋" w:hAnsi="仿宋"/>
          <w:sz w:val="28"/>
          <w:szCs w:val="28"/>
        </w:rPr>
        <w:t>1、我司可充抵保证金债券范围：</w:t>
      </w:r>
    </w:p>
    <w:p w14:paraId="568D6631" w14:textId="77777777" w:rsidR="001777A9" w:rsidRDefault="002035FD">
      <w:pPr>
        <w:spacing w:line="360" w:lineRule="auto"/>
        <w:ind w:firstLineChars="201" w:firstLine="563"/>
        <w:jc w:val="left"/>
        <w:rPr>
          <w:rFonts w:ascii="仿宋" w:eastAsia="仿宋" w:hAnsi="仿宋"/>
          <w:sz w:val="28"/>
          <w:szCs w:val="28"/>
        </w:rPr>
      </w:pPr>
      <w:r>
        <w:rPr>
          <w:rFonts w:ascii="仿宋" w:eastAsia="仿宋" w:hAnsi="仿宋"/>
          <w:sz w:val="28"/>
          <w:szCs w:val="28"/>
        </w:rPr>
        <w:t>符合以下条件的债券，可以作为公司可充抵保证金证券：</w:t>
      </w:r>
    </w:p>
    <w:p w14:paraId="0996408B" w14:textId="77777777" w:rsidR="001777A9" w:rsidRDefault="002035FD">
      <w:pPr>
        <w:spacing w:line="360" w:lineRule="auto"/>
        <w:ind w:firstLineChars="201" w:firstLine="563"/>
        <w:jc w:val="left"/>
        <w:rPr>
          <w:rFonts w:ascii="仿宋" w:eastAsia="仿宋" w:hAnsi="仿宋"/>
          <w:sz w:val="28"/>
          <w:szCs w:val="28"/>
        </w:rPr>
      </w:pPr>
      <w:r>
        <w:rPr>
          <w:rFonts w:ascii="仿宋" w:eastAsia="仿宋" w:hAnsi="仿宋"/>
          <w:sz w:val="28"/>
          <w:szCs w:val="28"/>
        </w:rPr>
        <w:t>（1）沪深证券交易所上市交易且已纳入交易所可充抵保证金证券范围的国债、地方政府债、政策性金融债、公司债、企业债、可转换公司债、可交换公司债等，存在终止上市风险的债券除外。</w:t>
      </w:r>
    </w:p>
    <w:p w14:paraId="6436C6B2" w14:textId="77777777" w:rsidR="001777A9" w:rsidRDefault="002035FD">
      <w:pPr>
        <w:spacing w:line="360" w:lineRule="auto"/>
        <w:ind w:firstLineChars="201" w:firstLine="563"/>
        <w:jc w:val="left"/>
        <w:rPr>
          <w:rFonts w:ascii="仿宋" w:eastAsia="仿宋" w:hAnsi="仿宋"/>
          <w:sz w:val="28"/>
          <w:szCs w:val="28"/>
        </w:rPr>
      </w:pPr>
      <w:r>
        <w:rPr>
          <w:rFonts w:ascii="仿宋" w:eastAsia="仿宋" w:hAnsi="仿宋"/>
          <w:sz w:val="28"/>
          <w:szCs w:val="28"/>
        </w:rPr>
        <w:t>（2）公司债、企业债、可交换公司债的债项和主体评级均为AAA级。</w:t>
      </w:r>
    </w:p>
    <w:p w14:paraId="24718F54" w14:textId="77777777" w:rsidR="001777A9" w:rsidRDefault="002035FD">
      <w:pPr>
        <w:spacing w:line="360" w:lineRule="auto"/>
        <w:ind w:firstLineChars="201" w:firstLine="563"/>
        <w:jc w:val="left"/>
        <w:rPr>
          <w:rFonts w:ascii="仿宋" w:eastAsia="仿宋" w:hAnsi="仿宋"/>
          <w:sz w:val="28"/>
          <w:szCs w:val="28"/>
        </w:rPr>
      </w:pPr>
      <w:r>
        <w:rPr>
          <w:rFonts w:ascii="仿宋" w:eastAsia="仿宋" w:hAnsi="仿宋"/>
          <w:sz w:val="28"/>
          <w:szCs w:val="28"/>
        </w:rPr>
        <w:t>（3）公司债、企业债、可交换公司债的发行主体为中央国有企业。</w:t>
      </w:r>
    </w:p>
    <w:p w14:paraId="33945C3D" w14:textId="77777777" w:rsidR="001777A9" w:rsidRDefault="002035FD">
      <w:pPr>
        <w:spacing w:line="360" w:lineRule="auto"/>
        <w:ind w:firstLineChars="201" w:firstLine="563"/>
        <w:jc w:val="left"/>
        <w:rPr>
          <w:rFonts w:ascii="仿宋" w:eastAsia="仿宋" w:hAnsi="仿宋"/>
          <w:sz w:val="28"/>
          <w:szCs w:val="28"/>
        </w:rPr>
      </w:pPr>
      <w:r>
        <w:rPr>
          <w:rFonts w:ascii="仿宋" w:eastAsia="仿宋" w:hAnsi="仿宋"/>
          <w:sz w:val="28"/>
          <w:szCs w:val="28"/>
        </w:rPr>
        <w:lastRenderedPageBreak/>
        <w:t>（4）国债、地方政府债、政策性金融债、公司债、企业债、可交换公司债上市已满三个月。</w:t>
      </w:r>
    </w:p>
    <w:p w14:paraId="5DA35804" w14:textId="77777777" w:rsidR="001777A9" w:rsidRDefault="002035FD">
      <w:pPr>
        <w:spacing w:line="360" w:lineRule="auto"/>
        <w:ind w:firstLineChars="201" w:firstLine="563"/>
        <w:jc w:val="left"/>
        <w:rPr>
          <w:rFonts w:ascii="仿宋" w:eastAsia="仿宋" w:hAnsi="仿宋"/>
          <w:sz w:val="28"/>
          <w:szCs w:val="28"/>
        </w:rPr>
      </w:pPr>
      <w:r>
        <w:rPr>
          <w:rFonts w:ascii="仿宋" w:eastAsia="仿宋" w:hAnsi="仿宋"/>
          <w:sz w:val="28"/>
          <w:szCs w:val="28"/>
        </w:rPr>
        <w:t>（5）地方政府债、公司债、企业债、可交换公司</w:t>
      </w:r>
      <w:proofErr w:type="gramStart"/>
      <w:r>
        <w:rPr>
          <w:rFonts w:ascii="仿宋" w:eastAsia="仿宋" w:hAnsi="仿宋"/>
          <w:sz w:val="28"/>
          <w:szCs w:val="28"/>
        </w:rPr>
        <w:t>债最近</w:t>
      </w:r>
      <w:proofErr w:type="gramEnd"/>
      <w:r>
        <w:rPr>
          <w:rFonts w:ascii="仿宋" w:eastAsia="仿宋" w:hAnsi="仿宋"/>
          <w:sz w:val="28"/>
          <w:szCs w:val="28"/>
        </w:rPr>
        <w:t>三个月在证券交易所市场的日均成交金额不低于2000万元，且最近三个月在证券交易所市场有成交记录的交易天数不低于可交易总天数的60%，按查询日期当天数据为准。</w:t>
      </w:r>
    </w:p>
    <w:p w14:paraId="5E7472B5" w14:textId="77777777" w:rsidR="001777A9" w:rsidRDefault="002035FD">
      <w:pPr>
        <w:spacing w:line="360" w:lineRule="auto"/>
        <w:ind w:firstLineChars="201" w:firstLine="563"/>
        <w:jc w:val="left"/>
        <w:rPr>
          <w:rFonts w:ascii="仿宋" w:eastAsia="仿宋" w:hAnsi="仿宋"/>
          <w:sz w:val="28"/>
          <w:szCs w:val="28"/>
        </w:rPr>
      </w:pPr>
      <w:r>
        <w:rPr>
          <w:rFonts w:ascii="仿宋" w:eastAsia="仿宋" w:hAnsi="仿宋"/>
          <w:sz w:val="28"/>
          <w:szCs w:val="28"/>
        </w:rPr>
        <w:t>2、我司可充抵保证金债券的折算率：</w:t>
      </w:r>
    </w:p>
    <w:p w14:paraId="3461811E" w14:textId="77777777" w:rsidR="001777A9" w:rsidRDefault="002035FD">
      <w:pPr>
        <w:spacing w:line="360" w:lineRule="auto"/>
        <w:ind w:firstLineChars="201" w:firstLine="563"/>
        <w:jc w:val="left"/>
        <w:rPr>
          <w:rFonts w:ascii="仿宋" w:eastAsia="仿宋" w:hAnsi="仿宋"/>
          <w:sz w:val="28"/>
          <w:szCs w:val="28"/>
        </w:rPr>
      </w:pPr>
      <w:r>
        <w:rPr>
          <w:rFonts w:ascii="仿宋" w:eastAsia="仿宋" w:hAnsi="仿宋"/>
          <w:sz w:val="28"/>
          <w:szCs w:val="28"/>
        </w:rPr>
        <w:t>根据交易所规定，可充抵保证金的债券在计算保证金余额时应按下列折算率进行折算：</w:t>
      </w:r>
    </w:p>
    <w:p w14:paraId="1BA31CF0" w14:textId="77777777" w:rsidR="001777A9" w:rsidRDefault="002035FD">
      <w:pPr>
        <w:spacing w:line="360" w:lineRule="auto"/>
        <w:ind w:firstLineChars="201" w:firstLine="563"/>
        <w:jc w:val="left"/>
        <w:rPr>
          <w:rFonts w:ascii="仿宋" w:eastAsia="仿宋" w:hAnsi="仿宋"/>
          <w:sz w:val="28"/>
          <w:szCs w:val="28"/>
        </w:rPr>
      </w:pPr>
      <w:r>
        <w:rPr>
          <w:rFonts w:ascii="仿宋" w:eastAsia="仿宋" w:hAnsi="仿宋"/>
          <w:sz w:val="28"/>
          <w:szCs w:val="28"/>
        </w:rPr>
        <w:tab/>
        <w:t>国债折算率最高不超过95%；其他上市债券折算率最高不超过80%。</w:t>
      </w:r>
    </w:p>
    <w:p w14:paraId="5B99F023" w14:textId="77777777" w:rsidR="001777A9" w:rsidRDefault="002035FD">
      <w:pPr>
        <w:spacing w:line="360" w:lineRule="auto"/>
        <w:ind w:firstLineChars="201" w:firstLine="563"/>
        <w:jc w:val="left"/>
        <w:rPr>
          <w:rFonts w:ascii="仿宋" w:eastAsia="仿宋" w:hAnsi="仿宋"/>
          <w:sz w:val="28"/>
          <w:szCs w:val="28"/>
        </w:rPr>
      </w:pPr>
      <w:r>
        <w:rPr>
          <w:rFonts w:ascii="仿宋" w:eastAsia="仿宋" w:hAnsi="仿宋"/>
          <w:sz w:val="28"/>
          <w:szCs w:val="28"/>
        </w:rPr>
        <w:tab/>
        <w:t>对公司可充抵保证金债券的折算率，建议按以下标准执行：</w:t>
      </w:r>
    </w:p>
    <w:p w14:paraId="3B9E5D76" w14:textId="77777777" w:rsidR="001777A9" w:rsidRDefault="002035FD">
      <w:pPr>
        <w:spacing w:line="360" w:lineRule="auto"/>
        <w:ind w:firstLineChars="201" w:firstLine="563"/>
        <w:jc w:val="left"/>
        <w:rPr>
          <w:rFonts w:ascii="仿宋" w:eastAsia="仿宋" w:hAnsi="仿宋"/>
          <w:sz w:val="28"/>
          <w:szCs w:val="28"/>
        </w:rPr>
      </w:pPr>
      <w:r>
        <w:rPr>
          <w:rFonts w:ascii="仿宋" w:eastAsia="仿宋" w:hAnsi="仿宋"/>
          <w:sz w:val="28"/>
          <w:szCs w:val="28"/>
        </w:rPr>
        <w:t>（1）国债、政策性金融债的折算率按交易所规定的上限执行。</w:t>
      </w:r>
    </w:p>
    <w:p w14:paraId="45743D2D" w14:textId="77777777" w:rsidR="001777A9" w:rsidRDefault="002035FD">
      <w:pPr>
        <w:spacing w:line="360" w:lineRule="auto"/>
        <w:ind w:firstLineChars="201" w:firstLine="563"/>
        <w:jc w:val="left"/>
        <w:rPr>
          <w:rFonts w:ascii="仿宋" w:eastAsia="仿宋" w:hAnsi="仿宋"/>
          <w:sz w:val="28"/>
          <w:szCs w:val="28"/>
        </w:rPr>
      </w:pPr>
      <w:r>
        <w:rPr>
          <w:rFonts w:ascii="仿宋" w:eastAsia="仿宋" w:hAnsi="仿宋"/>
          <w:sz w:val="28"/>
          <w:szCs w:val="28"/>
        </w:rPr>
        <w:t>（2）地方政府债、公司债、企业债、可转换公司债、可交换公司债的折算率按以下方式计算确定：</w:t>
      </w:r>
    </w:p>
    <w:p w14:paraId="175BC1DD" w14:textId="77777777" w:rsidR="001777A9" w:rsidRDefault="002035FD">
      <w:pPr>
        <w:spacing w:line="360" w:lineRule="auto"/>
        <w:ind w:firstLineChars="201" w:firstLine="563"/>
        <w:jc w:val="left"/>
        <w:rPr>
          <w:rFonts w:ascii="仿宋" w:eastAsia="仿宋" w:hAnsi="仿宋"/>
          <w:sz w:val="28"/>
          <w:szCs w:val="28"/>
        </w:rPr>
      </w:pPr>
      <w:r>
        <w:rPr>
          <w:rFonts w:ascii="仿宋" w:eastAsia="仿宋" w:hAnsi="仿宋"/>
          <w:sz w:val="28"/>
          <w:szCs w:val="28"/>
        </w:rPr>
        <w:tab/>
        <w:t>折算率=MIN（交易所规定的债券折算率上限，中国证券登记结算公司公布的标准</w:t>
      </w:r>
      <w:proofErr w:type="gramStart"/>
      <w:r>
        <w:rPr>
          <w:rFonts w:ascii="仿宋" w:eastAsia="仿宋" w:hAnsi="仿宋"/>
          <w:sz w:val="28"/>
          <w:szCs w:val="28"/>
        </w:rPr>
        <w:t>券</w:t>
      </w:r>
      <w:proofErr w:type="gramEnd"/>
      <w:r>
        <w:rPr>
          <w:rFonts w:ascii="仿宋" w:eastAsia="仿宋" w:hAnsi="仿宋"/>
          <w:sz w:val="28"/>
          <w:szCs w:val="28"/>
        </w:rPr>
        <w:t>折算率）</w:t>
      </w:r>
    </w:p>
    <w:p w14:paraId="3628FEF2" w14:textId="77777777" w:rsidR="001777A9" w:rsidRDefault="002035FD">
      <w:pPr>
        <w:spacing w:line="360" w:lineRule="auto"/>
        <w:ind w:firstLineChars="201" w:firstLine="563"/>
        <w:jc w:val="left"/>
        <w:rPr>
          <w:rFonts w:ascii="仿宋" w:eastAsia="仿宋" w:hAnsi="仿宋"/>
          <w:sz w:val="28"/>
          <w:szCs w:val="28"/>
        </w:rPr>
      </w:pPr>
      <w:r>
        <w:rPr>
          <w:rFonts w:ascii="仿宋" w:eastAsia="仿宋" w:hAnsi="仿宋"/>
          <w:sz w:val="28"/>
          <w:szCs w:val="28"/>
        </w:rPr>
        <w:tab/>
        <w:t>中国证券登记结算公司未公布标准</w:t>
      </w:r>
      <w:proofErr w:type="gramStart"/>
      <w:r>
        <w:rPr>
          <w:rFonts w:ascii="仿宋" w:eastAsia="仿宋" w:hAnsi="仿宋"/>
          <w:sz w:val="28"/>
          <w:szCs w:val="28"/>
        </w:rPr>
        <w:t>券</w:t>
      </w:r>
      <w:proofErr w:type="gramEnd"/>
      <w:r>
        <w:rPr>
          <w:rFonts w:ascii="仿宋" w:eastAsia="仿宋" w:hAnsi="仿宋"/>
          <w:sz w:val="28"/>
          <w:szCs w:val="28"/>
        </w:rPr>
        <w:t>折算率的地方政府债、公司债和企业债，其折算率均计为30%。</w:t>
      </w:r>
    </w:p>
    <w:p w14:paraId="5DC96493" w14:textId="77777777" w:rsidR="001777A9" w:rsidRDefault="002035FD">
      <w:pPr>
        <w:spacing w:line="360" w:lineRule="auto"/>
        <w:ind w:firstLineChars="201" w:firstLine="563"/>
        <w:jc w:val="left"/>
        <w:rPr>
          <w:rFonts w:ascii="仿宋" w:eastAsia="仿宋" w:hAnsi="仿宋"/>
          <w:sz w:val="28"/>
          <w:szCs w:val="28"/>
        </w:rPr>
      </w:pPr>
      <w:r>
        <w:rPr>
          <w:rFonts w:ascii="仿宋" w:eastAsia="仿宋" w:hAnsi="仿宋"/>
          <w:sz w:val="28"/>
          <w:szCs w:val="28"/>
        </w:rPr>
        <w:t>中国证券登记结算公司未公布标准</w:t>
      </w:r>
      <w:proofErr w:type="gramStart"/>
      <w:r>
        <w:rPr>
          <w:rFonts w:ascii="仿宋" w:eastAsia="仿宋" w:hAnsi="仿宋"/>
          <w:sz w:val="28"/>
          <w:szCs w:val="28"/>
        </w:rPr>
        <w:t>券</w:t>
      </w:r>
      <w:proofErr w:type="gramEnd"/>
      <w:r>
        <w:rPr>
          <w:rFonts w:ascii="仿宋" w:eastAsia="仿宋" w:hAnsi="仿宋"/>
          <w:sz w:val="28"/>
          <w:szCs w:val="28"/>
        </w:rPr>
        <w:t>折算率的可转换公司债和可交换公司债，其折算率均计为50%。</w:t>
      </w:r>
    </w:p>
    <w:p w14:paraId="1224535E" w14:textId="77777777" w:rsidR="001777A9" w:rsidRDefault="002035FD">
      <w:pPr>
        <w:spacing w:line="360" w:lineRule="auto"/>
        <w:ind w:firstLineChars="201" w:firstLine="563"/>
        <w:jc w:val="left"/>
        <w:rPr>
          <w:rFonts w:ascii="仿宋" w:eastAsia="仿宋" w:hAnsi="仿宋"/>
          <w:sz w:val="28"/>
          <w:szCs w:val="28"/>
        </w:rPr>
      </w:pPr>
      <w:r>
        <w:rPr>
          <w:rFonts w:ascii="仿宋" w:eastAsia="仿宋" w:hAnsi="仿宋"/>
          <w:sz w:val="28"/>
          <w:szCs w:val="28"/>
        </w:rPr>
        <w:t>标准</w:t>
      </w:r>
      <w:proofErr w:type="gramStart"/>
      <w:r>
        <w:rPr>
          <w:rFonts w:ascii="仿宋" w:eastAsia="仿宋" w:hAnsi="仿宋"/>
          <w:sz w:val="28"/>
          <w:szCs w:val="28"/>
        </w:rPr>
        <w:t>券</w:t>
      </w:r>
      <w:proofErr w:type="gramEnd"/>
      <w:r>
        <w:rPr>
          <w:rFonts w:ascii="仿宋" w:eastAsia="仿宋" w:hAnsi="仿宋"/>
          <w:sz w:val="28"/>
          <w:szCs w:val="28"/>
        </w:rPr>
        <w:t>折算率以查询日期当天中国证券登记结算公司公布的数</w:t>
      </w:r>
      <w:r>
        <w:rPr>
          <w:rFonts w:ascii="仿宋" w:eastAsia="仿宋" w:hAnsi="仿宋"/>
          <w:sz w:val="28"/>
          <w:szCs w:val="28"/>
        </w:rPr>
        <w:lastRenderedPageBreak/>
        <w:t>据为准。</w:t>
      </w:r>
    </w:p>
    <w:sectPr w:rsidR="001777A9">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zgz" w:date="2022-03-04T17:48:00Z" w:initials="">
    <w:p w14:paraId="77FF20C3" w14:textId="77777777" w:rsidR="001777A9" w:rsidRDefault="002035FD">
      <w:pPr>
        <w:pStyle w:val="a3"/>
      </w:pPr>
      <w:r>
        <w:rPr>
          <w:rFonts w:hint="eastAsia"/>
        </w:rPr>
        <w:t>历史数据还未刷新。</w:t>
      </w:r>
    </w:p>
    <w:p w14:paraId="0DE454E2" w14:textId="77777777" w:rsidR="001777A9" w:rsidRDefault="002035FD">
      <w:pPr>
        <w:pStyle w:val="a3"/>
      </w:pPr>
      <w:proofErr w:type="gramStart"/>
      <w:r>
        <w:t>刷历史</w:t>
      </w:r>
      <w:proofErr w:type="gramEnd"/>
      <w:r>
        <w:t>数据的问题，因为</w:t>
      </w:r>
      <w:proofErr w:type="gramStart"/>
      <w:r>
        <w:t>刷历史</w:t>
      </w:r>
      <w:proofErr w:type="gramEnd"/>
      <w:r>
        <w:t>数据时间比较长，而且修改指标的需求也需要</w:t>
      </w:r>
      <w:proofErr w:type="gramStart"/>
      <w:r>
        <w:t>刷历史</w:t>
      </w:r>
      <w:proofErr w:type="gramEnd"/>
      <w:r>
        <w:t>数据，所以上次开会和</w:t>
      </w:r>
      <w:r>
        <w:rPr>
          <w:rFonts w:hint="eastAsia"/>
        </w:rPr>
        <w:t>诗</w:t>
      </w:r>
      <w:proofErr w:type="gramStart"/>
      <w:r>
        <w:rPr>
          <w:rFonts w:hint="eastAsia"/>
        </w:rPr>
        <w:t>咏</w:t>
      </w:r>
      <w:proofErr w:type="gramEnd"/>
      <w:r>
        <w:rPr>
          <w:rFonts w:hint="eastAsia"/>
        </w:rPr>
        <w:t>老师</w:t>
      </w:r>
      <w:r>
        <w:t>还有辛璐老师说的是等咱修改</w:t>
      </w:r>
      <w:proofErr w:type="gramStart"/>
      <w:r>
        <w:t>指标指标</w:t>
      </w:r>
      <w:proofErr w:type="gramEnd"/>
      <w:r>
        <w:t>的需求实现之后一起刷新一下历史数据，</w:t>
      </w:r>
    </w:p>
    <w:p w14:paraId="01744D8D" w14:textId="77777777" w:rsidR="001777A9" w:rsidRDefault="002035FD">
      <w:pPr>
        <w:pStyle w:val="a3"/>
      </w:pPr>
      <w:r>
        <w:t>刷新的历史数据范围为一年的数据范围以及CDR的证券的历史数据。</w:t>
      </w:r>
    </w:p>
  </w:comment>
  <w:comment w:id="1" w:author="zgz" w:date="2022-03-04T17:49:00Z" w:initials="">
    <w:p w14:paraId="7A80344E" w14:textId="77777777" w:rsidR="001777A9" w:rsidRDefault="002035FD">
      <w:pPr>
        <w:pStyle w:val="a3"/>
      </w:pPr>
      <w:r>
        <w:rPr>
          <w:rFonts w:hint="eastAsia"/>
        </w:rPr>
        <w:t>历史数据还未刷新。</w:t>
      </w:r>
    </w:p>
    <w:p w14:paraId="67756C58" w14:textId="77777777" w:rsidR="001777A9" w:rsidRDefault="002035FD">
      <w:pPr>
        <w:pStyle w:val="a3"/>
      </w:pPr>
      <w:proofErr w:type="gramStart"/>
      <w:r>
        <w:t>刷历史</w:t>
      </w:r>
      <w:proofErr w:type="gramEnd"/>
      <w:r>
        <w:t>数据的问题，因为</w:t>
      </w:r>
      <w:proofErr w:type="gramStart"/>
      <w:r>
        <w:t>刷历史</w:t>
      </w:r>
      <w:proofErr w:type="gramEnd"/>
      <w:r>
        <w:t>数据时间比较长，而且修改指标的需求也需要</w:t>
      </w:r>
      <w:proofErr w:type="gramStart"/>
      <w:r>
        <w:t>刷历史</w:t>
      </w:r>
      <w:proofErr w:type="gramEnd"/>
      <w:r>
        <w:t>数据，所以上次开会和</w:t>
      </w:r>
      <w:r>
        <w:rPr>
          <w:rFonts w:hint="eastAsia"/>
        </w:rPr>
        <w:t>诗</w:t>
      </w:r>
      <w:proofErr w:type="gramStart"/>
      <w:r>
        <w:rPr>
          <w:rFonts w:hint="eastAsia"/>
        </w:rPr>
        <w:t>咏</w:t>
      </w:r>
      <w:proofErr w:type="gramEnd"/>
      <w:r>
        <w:rPr>
          <w:rFonts w:hint="eastAsia"/>
        </w:rPr>
        <w:t>老师</w:t>
      </w:r>
      <w:r>
        <w:t>还有辛璐老师说的是等咱修改</w:t>
      </w:r>
      <w:proofErr w:type="gramStart"/>
      <w:r>
        <w:t>指标指标</w:t>
      </w:r>
      <w:proofErr w:type="gramEnd"/>
      <w:r>
        <w:t>的需求实现之后一起刷新一下历史数据，</w:t>
      </w:r>
    </w:p>
    <w:p w14:paraId="12416A61" w14:textId="77777777" w:rsidR="001777A9" w:rsidRDefault="002035FD">
      <w:pPr>
        <w:pStyle w:val="a3"/>
      </w:pPr>
      <w:r>
        <w:t>刷新的历史数据范围为一年的数据范围以及CDR的证券的历史数据。</w:t>
      </w:r>
    </w:p>
  </w:comment>
  <w:comment w:id="3" w:author="辛璐" w:date="2022-01-20T15:13:00Z" w:initials="辛璐">
    <w:p w14:paraId="5D7E206B" w14:textId="77777777" w:rsidR="001777A9" w:rsidRDefault="002035FD">
      <w:pPr>
        <w:pStyle w:val="a3"/>
      </w:pPr>
      <w:r>
        <w:rPr>
          <w:rFonts w:hint="eastAsia"/>
        </w:rPr>
        <w:t>计算公式增加的内容。</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744D8D" w15:done="0"/>
  <w15:commentEx w15:paraId="12416A61" w15:done="0"/>
  <w15:commentEx w15:paraId="5D7E206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35BE7" w16cex:dateUtc="2022-03-04T09:48:00Z"/>
  <w16cex:commentExtensible w16cex:durableId="25D35BE8" w16cex:dateUtc="2022-03-04T09:49:00Z"/>
  <w16cex:commentExtensible w16cex:durableId="25D35BE9" w16cex:dateUtc="2022-01-20T07: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744D8D" w16cid:durableId="25D35BE7"/>
  <w16cid:commentId w16cid:paraId="12416A61" w16cid:durableId="25D35BE8"/>
  <w16cid:commentId w16cid:paraId="5D7E206B" w16cid:durableId="25D35BE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B09FEB" w14:textId="77777777" w:rsidR="008511EC" w:rsidRDefault="008511EC" w:rsidP="00A15EB3">
      <w:r>
        <w:separator/>
      </w:r>
    </w:p>
  </w:endnote>
  <w:endnote w:type="continuationSeparator" w:id="0">
    <w:p w14:paraId="0276FDE7" w14:textId="77777777" w:rsidR="008511EC" w:rsidRDefault="008511EC" w:rsidP="00A15E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A03BED" w14:textId="77777777" w:rsidR="008511EC" w:rsidRDefault="008511EC" w:rsidP="00A15EB3">
      <w:r>
        <w:separator/>
      </w:r>
    </w:p>
  </w:footnote>
  <w:footnote w:type="continuationSeparator" w:id="0">
    <w:p w14:paraId="6C3E8CBF" w14:textId="77777777" w:rsidR="008511EC" w:rsidRDefault="008511EC" w:rsidP="00A15E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119D3"/>
    <w:multiLevelType w:val="multilevel"/>
    <w:tmpl w:val="12D119D3"/>
    <w:lvl w:ilvl="0">
      <w:start w:val="1"/>
      <w:numFmt w:val="japaneseCounting"/>
      <w:lvlText w:val="%1、"/>
      <w:lvlJc w:val="left"/>
      <w:pPr>
        <w:ind w:left="720" w:hanging="720"/>
      </w:pPr>
      <w:rPr>
        <w:rFonts w:hint="default"/>
      </w:rPr>
    </w:lvl>
    <w:lvl w:ilvl="1">
      <w:start w:val="1"/>
      <w:numFmt w:val="decimal"/>
      <w:lvlText w:val="%2、"/>
      <w:lvlJc w:val="left"/>
      <w:pPr>
        <w:ind w:left="1140" w:hanging="72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辛璐">
    <w15:presenceInfo w15:providerId="None" w15:userId="辛璐"/>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5952"/>
    <w:rsid w:val="00046F94"/>
    <w:rsid w:val="000B7E1A"/>
    <w:rsid w:val="001777A9"/>
    <w:rsid w:val="00202055"/>
    <w:rsid w:val="002035FD"/>
    <w:rsid w:val="0021445F"/>
    <w:rsid w:val="00243424"/>
    <w:rsid w:val="002610F6"/>
    <w:rsid w:val="00334288"/>
    <w:rsid w:val="00354423"/>
    <w:rsid w:val="005E1D83"/>
    <w:rsid w:val="008177AC"/>
    <w:rsid w:val="008511EC"/>
    <w:rsid w:val="0096512A"/>
    <w:rsid w:val="009A7370"/>
    <w:rsid w:val="00A15EB3"/>
    <w:rsid w:val="00A95C47"/>
    <w:rsid w:val="00B75952"/>
    <w:rsid w:val="00CB0F6C"/>
    <w:rsid w:val="00CF22E9"/>
    <w:rsid w:val="00DB0FD1"/>
    <w:rsid w:val="00DC3E83"/>
    <w:rsid w:val="00E769D9"/>
    <w:rsid w:val="00EA3962"/>
    <w:rsid w:val="041B12DF"/>
    <w:rsid w:val="075149A3"/>
    <w:rsid w:val="08FD2E27"/>
    <w:rsid w:val="0960544E"/>
    <w:rsid w:val="0C1045D7"/>
    <w:rsid w:val="0EB6385C"/>
    <w:rsid w:val="0F2D1010"/>
    <w:rsid w:val="0FA72A36"/>
    <w:rsid w:val="11EB7CC0"/>
    <w:rsid w:val="12573F56"/>
    <w:rsid w:val="14F72E20"/>
    <w:rsid w:val="164B6AF4"/>
    <w:rsid w:val="1665283E"/>
    <w:rsid w:val="19FD4A34"/>
    <w:rsid w:val="1AE94A15"/>
    <w:rsid w:val="1AFC3D0E"/>
    <w:rsid w:val="1B3C158C"/>
    <w:rsid w:val="1B6A434C"/>
    <w:rsid w:val="1D77341F"/>
    <w:rsid w:val="1E601A36"/>
    <w:rsid w:val="20B816B5"/>
    <w:rsid w:val="2149055F"/>
    <w:rsid w:val="241A1F0D"/>
    <w:rsid w:val="263A491A"/>
    <w:rsid w:val="28732366"/>
    <w:rsid w:val="2A434D2D"/>
    <w:rsid w:val="2A88034A"/>
    <w:rsid w:val="313C1E8F"/>
    <w:rsid w:val="31DE4CF4"/>
    <w:rsid w:val="353717FA"/>
    <w:rsid w:val="354632DC"/>
    <w:rsid w:val="36E42DAC"/>
    <w:rsid w:val="37FE7E9E"/>
    <w:rsid w:val="39227BBC"/>
    <w:rsid w:val="396F150F"/>
    <w:rsid w:val="397C1B66"/>
    <w:rsid w:val="3B2C6AD0"/>
    <w:rsid w:val="3E834C59"/>
    <w:rsid w:val="3F1104B7"/>
    <w:rsid w:val="41BD66D4"/>
    <w:rsid w:val="455530C7"/>
    <w:rsid w:val="4678706D"/>
    <w:rsid w:val="49211C3E"/>
    <w:rsid w:val="4B991F60"/>
    <w:rsid w:val="50A866F2"/>
    <w:rsid w:val="56EF6ED8"/>
    <w:rsid w:val="56F50266"/>
    <w:rsid w:val="57E76F1A"/>
    <w:rsid w:val="5AE01D0F"/>
    <w:rsid w:val="5D641CA2"/>
    <w:rsid w:val="5DCA7D57"/>
    <w:rsid w:val="5F50072F"/>
    <w:rsid w:val="5F94342C"/>
    <w:rsid w:val="61023CAB"/>
    <w:rsid w:val="6300421A"/>
    <w:rsid w:val="638E5F28"/>
    <w:rsid w:val="658E3D60"/>
    <w:rsid w:val="65B8702E"/>
    <w:rsid w:val="67E51C9F"/>
    <w:rsid w:val="68DE0B5A"/>
    <w:rsid w:val="6D796EA7"/>
    <w:rsid w:val="6FA10B33"/>
    <w:rsid w:val="709366CE"/>
    <w:rsid w:val="73F45A70"/>
    <w:rsid w:val="741C69DA"/>
    <w:rsid w:val="755C1784"/>
    <w:rsid w:val="7B3244DF"/>
    <w:rsid w:val="7C4F625B"/>
    <w:rsid w:val="7CBC51FE"/>
    <w:rsid w:val="7CF83BBE"/>
    <w:rsid w:val="7E722019"/>
    <w:rsid w:val="7EAD2E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6D719F"/>
  <w15:docId w15:val="{721782EE-C5CE-453B-A814-22C9DC9FD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ab">
    <w:name w:val="annotation subject"/>
    <w:basedOn w:val="a3"/>
    <w:next w:val="a3"/>
    <w:link w:val="ac"/>
    <w:uiPriority w:val="99"/>
    <w:semiHidden/>
    <w:unhideWhenUsed/>
    <w:rPr>
      <w:b/>
      <w:bCs/>
    </w:rPr>
  </w:style>
  <w:style w:type="table" w:styleId="ad">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annotation reference"/>
    <w:basedOn w:val="a0"/>
    <w:uiPriority w:val="99"/>
    <w:semiHidden/>
    <w:unhideWhenUsed/>
    <w:qFormat/>
    <w:rPr>
      <w:sz w:val="21"/>
      <w:szCs w:val="21"/>
    </w:rPr>
  </w:style>
  <w:style w:type="paragraph" w:styleId="af">
    <w:name w:val="List Paragraph"/>
    <w:basedOn w:val="a"/>
    <w:uiPriority w:val="34"/>
    <w:qFormat/>
    <w:pPr>
      <w:ind w:firstLineChars="200" w:firstLine="420"/>
    </w:p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character" w:customStyle="1" w:styleId="a4">
    <w:name w:val="批注文字 字符"/>
    <w:basedOn w:val="a0"/>
    <w:link w:val="a3"/>
    <w:uiPriority w:val="99"/>
    <w:semiHidden/>
    <w:qFormat/>
  </w:style>
  <w:style w:type="character" w:customStyle="1" w:styleId="ac">
    <w:name w:val="批注主题 字符"/>
    <w:basedOn w:val="a4"/>
    <w:link w:val="ab"/>
    <w:uiPriority w:val="99"/>
    <w:semiHidden/>
    <w:qFormat/>
    <w:rPr>
      <w:b/>
      <w:bCs/>
    </w:rPr>
  </w:style>
  <w:style w:type="character" w:customStyle="1" w:styleId="a6">
    <w:name w:val="批注框文本 字符"/>
    <w:basedOn w:val="a0"/>
    <w:link w:val="a5"/>
    <w:uiPriority w:val="99"/>
    <w:semiHidden/>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package" Target="embeddings/Microsoft_Word_Document.doc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emf"/><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7</Pages>
  <Words>437</Words>
  <Characters>2494</Characters>
  <Application>Microsoft Office Word</Application>
  <DocSecurity>0</DocSecurity>
  <Lines>20</Lines>
  <Paragraphs>5</Paragraphs>
  <ScaleCrop>false</ScaleCrop>
  <Company>chinastock.com.cn</Company>
  <LinksUpToDate>false</LinksUpToDate>
  <CharactersWithSpaces>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辛璐</dc:creator>
  <cp:lastModifiedBy>chuanlic</cp:lastModifiedBy>
  <cp:revision>7</cp:revision>
  <dcterms:created xsi:type="dcterms:W3CDTF">2022-03-04T09:17:00Z</dcterms:created>
  <dcterms:modified xsi:type="dcterms:W3CDTF">2022-03-09T09:05:00Z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2052-11.1.0.11551</vt:lpwstr>
  </property>
  <property fmtid="{D5CDD505-2E9C-101B-9397-08002B2CF9AE}" pid="3" name="ICV">
    <vt:lpwstr>C4471B2539414689AE0E876513772CAE</vt:lpwstr>
  </property>
</Properties>
</file>