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40BC0">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rFonts w:hint="eastAsia" w:ascii="方正公文小标宋" w:hAnsi="方正公文小标宋" w:eastAsia="方正公文小标宋" w:cs="方正公文小标宋"/>
          <w:kern w:val="0"/>
          <w:sz w:val="36"/>
          <w:szCs w:val="36"/>
          <w:lang w:val="en-US" w:eastAsia="zh-CN" w:bidi="ar"/>
        </w:rPr>
      </w:pPr>
      <w:r>
        <w:rPr>
          <w:rFonts w:hint="eastAsia" w:ascii="方正公文小标宋" w:hAnsi="方正公文小标宋" w:eastAsia="方正公文小标宋" w:cs="方正公文小标宋"/>
          <w:kern w:val="0"/>
          <w:sz w:val="36"/>
          <w:szCs w:val="36"/>
          <w:lang w:val="en-US" w:eastAsia="zh-CN" w:bidi="ar"/>
        </w:rPr>
        <w:t>110实验室前沿技术分组研究与专题汇报</w:t>
      </w:r>
    </w:p>
    <w:p w14:paraId="679702F0">
      <w:pPr>
        <w:keepNext w:val="0"/>
        <w:keepLines w:val="0"/>
        <w:widowControl/>
        <w:suppressLineNumbers w:val="0"/>
        <w:jc w:val="center"/>
        <w:rPr>
          <w:rFonts w:hint="eastAsia" w:ascii="方正公文小标宋" w:hAnsi="方正公文小标宋" w:eastAsia="方正公文小标宋" w:cs="方正公文小标宋"/>
          <w:kern w:val="0"/>
          <w:sz w:val="36"/>
          <w:szCs w:val="36"/>
          <w:lang w:val="en-US" w:eastAsia="zh-CN" w:bidi="ar"/>
        </w:rPr>
      </w:pPr>
      <w:r>
        <w:rPr>
          <w:rFonts w:hint="eastAsia" w:ascii="方正公文小标宋" w:hAnsi="方正公文小标宋" w:eastAsia="方正公文小标宋" w:cs="方正公文小标宋"/>
          <w:kern w:val="0"/>
          <w:sz w:val="36"/>
          <w:szCs w:val="36"/>
          <w:lang w:val="en-US" w:eastAsia="zh-CN" w:bidi="ar"/>
        </w:rPr>
        <w:t>开题报告</w:t>
      </w:r>
    </w:p>
    <w:tbl>
      <w:tblPr>
        <w:tblStyle w:val="5"/>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2764"/>
        <w:gridCol w:w="2764"/>
        <w:gridCol w:w="2776"/>
      </w:tblGrid>
      <w:tr w14:paraId="038E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0" w:type="pct"/>
            <w:vAlign w:val="center"/>
          </w:tcPr>
          <w:p w14:paraId="35AB9E09">
            <w:pPr>
              <w:keepNext w:val="0"/>
              <w:keepLines w:val="0"/>
              <w:widowControl/>
              <w:suppressLineNumbers w:val="0"/>
              <w:jc w:val="center"/>
              <w:rPr>
                <w:rFonts w:hint="eastAsia" w:ascii="Times New Roman" w:hAnsi="Times New Roman" w:eastAsia="黑体" w:cs="黑体"/>
                <w:b/>
                <w:bCs/>
                <w:kern w:val="0"/>
                <w:sz w:val="24"/>
                <w:szCs w:val="24"/>
                <w:vertAlign w:val="baseline"/>
                <w:lang w:val="en-US" w:eastAsia="zh-CN" w:bidi="ar"/>
              </w:rPr>
            </w:pPr>
            <w:r>
              <w:rPr>
                <w:rFonts w:hint="eastAsia" w:ascii="Times New Roman" w:hAnsi="Times New Roman" w:eastAsia="黑体" w:cs="黑体"/>
                <w:b/>
                <w:bCs/>
                <w:kern w:val="0"/>
                <w:sz w:val="24"/>
                <w:szCs w:val="24"/>
                <w:vertAlign w:val="baseline"/>
                <w:lang w:val="en-US" w:eastAsia="zh-CN" w:bidi="ar"/>
              </w:rPr>
              <w:t>研究题目</w:t>
            </w:r>
          </w:p>
        </w:tc>
        <w:tc>
          <w:tcPr>
            <w:tcW w:w="4169" w:type="pct"/>
            <w:gridSpan w:val="3"/>
            <w:vAlign w:val="center"/>
          </w:tcPr>
          <w:p w14:paraId="471183DD">
            <w:pPr>
              <w:keepNext w:val="0"/>
              <w:keepLines w:val="0"/>
              <w:widowControl/>
              <w:suppressLineNumbers w:val="0"/>
              <w:jc w:val="center"/>
              <w:rPr>
                <w:rFonts w:hint="eastAsia" w:ascii="Times New Roman" w:hAnsi="Times New Roman" w:eastAsiaTheme="majorEastAsia" w:cstheme="majorEastAsia"/>
                <w:kern w:val="0"/>
                <w:sz w:val="24"/>
                <w:szCs w:val="24"/>
                <w:vertAlign w:val="baseline"/>
                <w:lang w:val="en-US" w:eastAsia="zh-CN" w:bidi="ar"/>
              </w:rPr>
            </w:pPr>
            <w:r>
              <w:rPr>
                <w:rFonts w:hint="eastAsia" w:ascii="Times New Roman" w:hAnsi="Times New Roman" w:eastAsiaTheme="majorEastAsia" w:cstheme="majorEastAsia"/>
                <w:kern w:val="0"/>
                <w:sz w:val="24"/>
                <w:szCs w:val="24"/>
                <w:vertAlign w:val="baseline"/>
                <w:lang w:val="en-US" w:eastAsia="zh-CN" w:bidi="ar"/>
              </w:rPr>
              <w:t>面向知识服务任务的 Agentic RAG 技术增强与评测研究：基于查询重写、多轮检索、工具调用与证据验证的模块化实验</w:t>
            </w:r>
          </w:p>
        </w:tc>
      </w:tr>
      <w:tr w14:paraId="207B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0" w:type="pct"/>
            <w:vAlign w:val="center"/>
          </w:tcPr>
          <w:p w14:paraId="690F1442">
            <w:pPr>
              <w:keepNext w:val="0"/>
              <w:keepLines w:val="0"/>
              <w:widowControl/>
              <w:suppressLineNumbers w:val="0"/>
              <w:jc w:val="center"/>
              <w:rPr>
                <w:rFonts w:hint="default" w:ascii="Times New Roman" w:hAnsi="Times New Roman" w:eastAsia="黑体" w:cs="黑体"/>
                <w:b/>
                <w:bCs/>
                <w:kern w:val="0"/>
                <w:sz w:val="24"/>
                <w:szCs w:val="24"/>
                <w:vertAlign w:val="baseline"/>
                <w:lang w:val="en-US" w:eastAsia="zh-CN" w:bidi="ar"/>
              </w:rPr>
            </w:pPr>
            <w:r>
              <w:rPr>
                <w:rFonts w:hint="eastAsia" w:ascii="Times New Roman" w:hAnsi="Times New Roman" w:eastAsia="黑体" w:cs="黑体"/>
                <w:b/>
                <w:bCs/>
                <w:kern w:val="0"/>
                <w:sz w:val="24"/>
                <w:szCs w:val="24"/>
                <w:vertAlign w:val="baseline"/>
                <w:lang w:val="en-US" w:eastAsia="zh-CN" w:bidi="ar"/>
              </w:rPr>
              <w:t>课题类型</w:t>
            </w:r>
          </w:p>
        </w:tc>
        <w:tc>
          <w:tcPr>
            <w:tcW w:w="4169" w:type="pct"/>
            <w:gridSpan w:val="3"/>
            <w:vAlign w:val="center"/>
          </w:tcPr>
          <w:p w14:paraId="7F9A446E">
            <w:pPr>
              <w:keepNext w:val="0"/>
              <w:keepLines w:val="0"/>
              <w:widowControl/>
              <w:suppressLineNumbers w:val="0"/>
              <w:jc w:val="center"/>
              <w:rPr>
                <w:rFonts w:hint="eastAsia" w:ascii="Times New Roman" w:hAnsi="Times New Roman" w:eastAsiaTheme="majorEastAsia" w:cstheme="majorEastAsia"/>
                <w:kern w:val="0"/>
                <w:sz w:val="24"/>
                <w:szCs w:val="24"/>
                <w:vertAlign w:val="baseline"/>
                <w:lang w:val="en-US" w:eastAsia="zh-CN" w:bidi="ar"/>
              </w:rPr>
            </w:pPr>
            <w:r>
              <w:rPr>
                <w:rFonts w:hint="eastAsia" w:ascii="Times New Roman" w:hAnsi="Times New Roman" w:eastAsiaTheme="majorEastAsia" w:cstheme="majorEastAsia"/>
                <w:sz w:val="24"/>
                <w:szCs w:val="24"/>
              </w:rPr>
              <w:t>算法实验类</w:t>
            </w:r>
          </w:p>
        </w:tc>
      </w:tr>
      <w:tr w14:paraId="78A18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0" w:type="pct"/>
            <w:vAlign w:val="center"/>
          </w:tcPr>
          <w:p w14:paraId="4F9FAA97">
            <w:pPr>
              <w:keepNext w:val="0"/>
              <w:keepLines w:val="0"/>
              <w:widowControl/>
              <w:suppressLineNumbers w:val="0"/>
              <w:jc w:val="center"/>
              <w:rPr>
                <w:rFonts w:hint="eastAsia" w:ascii="Times New Roman" w:hAnsi="Times New Roman" w:eastAsia="黑体" w:cs="黑体"/>
                <w:b/>
                <w:bCs/>
                <w:kern w:val="0"/>
                <w:sz w:val="24"/>
                <w:szCs w:val="24"/>
                <w:vertAlign w:val="baseline"/>
                <w:lang w:val="en-US" w:eastAsia="zh-CN" w:bidi="ar"/>
              </w:rPr>
            </w:pPr>
            <w:r>
              <w:rPr>
                <w:rFonts w:hint="eastAsia" w:ascii="Times New Roman" w:hAnsi="Times New Roman" w:eastAsia="黑体" w:cs="黑体"/>
                <w:b/>
                <w:bCs/>
                <w:kern w:val="0"/>
                <w:sz w:val="24"/>
                <w:szCs w:val="24"/>
                <w:vertAlign w:val="baseline"/>
                <w:lang w:val="en-US" w:eastAsia="zh-CN" w:bidi="ar"/>
              </w:rPr>
              <w:t>应用场景与</w:t>
            </w:r>
          </w:p>
          <w:p w14:paraId="5586EED8">
            <w:pPr>
              <w:keepNext w:val="0"/>
              <w:keepLines w:val="0"/>
              <w:widowControl/>
              <w:suppressLineNumbers w:val="0"/>
              <w:jc w:val="center"/>
              <w:rPr>
                <w:rFonts w:hint="eastAsia" w:ascii="Times New Roman" w:hAnsi="Times New Roman" w:eastAsia="黑体" w:cs="黑体"/>
                <w:b/>
                <w:bCs/>
                <w:kern w:val="0"/>
                <w:sz w:val="24"/>
                <w:szCs w:val="24"/>
                <w:vertAlign w:val="baseline"/>
                <w:lang w:val="en-US" w:eastAsia="zh-CN" w:bidi="ar"/>
              </w:rPr>
            </w:pPr>
            <w:r>
              <w:rPr>
                <w:rFonts w:hint="eastAsia" w:ascii="Times New Roman" w:hAnsi="Times New Roman" w:eastAsia="黑体" w:cs="黑体"/>
                <w:b/>
                <w:bCs/>
                <w:kern w:val="0"/>
                <w:sz w:val="24"/>
                <w:szCs w:val="24"/>
                <w:vertAlign w:val="baseline"/>
                <w:lang w:val="en-US" w:eastAsia="zh-CN" w:bidi="ar"/>
              </w:rPr>
              <w:t>演示方式</w:t>
            </w:r>
          </w:p>
        </w:tc>
        <w:tc>
          <w:tcPr>
            <w:tcW w:w="1388" w:type="pct"/>
            <w:vAlign w:val="center"/>
          </w:tcPr>
          <w:p w14:paraId="1DEC867D">
            <w:pPr>
              <w:keepNext w:val="0"/>
              <w:keepLines w:val="0"/>
              <w:widowControl/>
              <w:suppressLineNumbers w:val="0"/>
              <w:jc w:val="center"/>
              <w:rPr>
                <w:rFonts w:hint="eastAsia" w:ascii="Times New Roman" w:hAnsi="Times New Roman" w:eastAsiaTheme="majorEastAsia" w:cstheme="majorEastAsia"/>
                <w:sz w:val="24"/>
                <w:szCs w:val="24"/>
                <w:lang w:eastAsia="zh-CN"/>
              </w:rPr>
            </w:pPr>
            <w:r>
              <w:rPr>
                <w:rFonts w:hint="eastAsia" w:ascii="Times New Roman" w:hAnsi="Times New Roman" w:eastAsiaTheme="majorEastAsia" w:cstheme="majorEastAsia"/>
                <w:sz w:val="24"/>
                <w:szCs w:val="24"/>
              </w:rPr>
              <w:t>面向学习资料管理、实验室知识服务、技术文档问答、表格分析和代码执行验证等知识服务任务；提供轻量级技术验证 Demo，重点展示查询改写、检索与重排、多轮检索、工具调用、答案验证、证据引用和运行日志。</w:t>
            </w:r>
          </w:p>
        </w:tc>
        <w:tc>
          <w:tcPr>
            <w:tcW w:w="1388" w:type="pct"/>
            <w:vAlign w:val="center"/>
          </w:tcPr>
          <w:p w14:paraId="323D527B">
            <w:pPr>
              <w:keepNext w:val="0"/>
              <w:keepLines w:val="0"/>
              <w:widowControl/>
              <w:suppressLineNumbers w:val="0"/>
              <w:jc w:val="center"/>
              <w:rPr>
                <w:rFonts w:hint="default" w:ascii="Times New Roman" w:hAnsi="Times New Roman" w:eastAsia="黑体" w:cs="宋体"/>
                <w:sz w:val="24"/>
                <w:szCs w:val="24"/>
                <w:lang w:val="en-US" w:eastAsia="zh-CN"/>
              </w:rPr>
            </w:pPr>
            <w:r>
              <w:rPr>
                <w:rFonts w:hint="eastAsia" w:ascii="Times New Roman" w:hAnsi="Times New Roman" w:eastAsia="黑体" w:cs="黑体"/>
                <w:b/>
                <w:bCs/>
                <w:kern w:val="0"/>
                <w:sz w:val="24"/>
                <w:szCs w:val="24"/>
                <w:vertAlign w:val="baseline"/>
                <w:lang w:val="en-US" w:eastAsia="zh-CN" w:bidi="ar"/>
              </w:rPr>
              <w:t>指导教师/带教学长</w:t>
            </w:r>
          </w:p>
        </w:tc>
        <w:tc>
          <w:tcPr>
            <w:tcW w:w="1391" w:type="pct"/>
            <w:vAlign w:val="center"/>
          </w:tcPr>
          <w:p w14:paraId="017CF66E">
            <w:pPr>
              <w:keepNext w:val="0"/>
              <w:keepLines w:val="0"/>
              <w:widowControl/>
              <w:suppressLineNumbers w:val="0"/>
              <w:jc w:val="center"/>
              <w:rPr>
                <w:rFonts w:hint="eastAsia" w:ascii="Times New Roman" w:hAnsi="Times New Roman" w:eastAsia="黑体" w:cs="宋体"/>
                <w:sz w:val="24"/>
                <w:szCs w:val="24"/>
                <w:lang w:val="en-US" w:eastAsia="zh-CN"/>
              </w:rPr>
            </w:pPr>
            <w:r>
              <w:rPr>
                <w:rFonts w:hint="eastAsia" w:ascii="Times New Roman" w:hAnsi="Times New Roman" w:eastAsiaTheme="majorEastAsia" w:cstheme="majorEastAsia"/>
                <w:sz w:val="24"/>
                <w:szCs w:val="24"/>
                <w:lang w:val="en-US" w:eastAsia="zh-CN"/>
              </w:rPr>
              <w:t>周灿宇</w:t>
            </w:r>
          </w:p>
        </w:tc>
      </w:tr>
      <w:tr w14:paraId="46AB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0" w:type="pct"/>
            <w:vAlign w:val="center"/>
          </w:tcPr>
          <w:p w14:paraId="566AFC24">
            <w:pPr>
              <w:keepNext w:val="0"/>
              <w:keepLines w:val="0"/>
              <w:widowControl/>
              <w:suppressLineNumbers w:val="0"/>
              <w:jc w:val="center"/>
              <w:rPr>
                <w:rFonts w:hint="default" w:ascii="Times New Roman" w:hAnsi="Times New Roman" w:eastAsia="黑体" w:cs="黑体"/>
                <w:b/>
                <w:bCs/>
                <w:kern w:val="0"/>
                <w:sz w:val="24"/>
                <w:szCs w:val="24"/>
                <w:vertAlign w:val="baseline"/>
                <w:lang w:val="en-US" w:eastAsia="zh-CN" w:bidi="ar"/>
              </w:rPr>
            </w:pPr>
            <w:r>
              <w:rPr>
                <w:rFonts w:hint="eastAsia" w:ascii="Times New Roman" w:hAnsi="Times New Roman" w:eastAsia="黑体" w:cs="黑体"/>
                <w:b/>
                <w:bCs/>
                <w:kern w:val="0"/>
                <w:sz w:val="24"/>
                <w:szCs w:val="24"/>
                <w:vertAlign w:val="baseline"/>
                <w:lang w:val="en-US" w:eastAsia="zh-CN" w:bidi="ar"/>
              </w:rPr>
              <w:t>小组成员</w:t>
            </w:r>
          </w:p>
        </w:tc>
        <w:tc>
          <w:tcPr>
            <w:tcW w:w="1388" w:type="pct"/>
            <w:vAlign w:val="center"/>
          </w:tcPr>
          <w:p w14:paraId="1CF07BE3">
            <w:pPr>
              <w:keepNext w:val="0"/>
              <w:keepLines w:val="0"/>
              <w:widowControl/>
              <w:suppressLineNumbers w:val="0"/>
              <w:jc w:val="center"/>
              <w:rPr>
                <w:rFonts w:hint="eastAsia" w:ascii="Times New Roman" w:hAnsi="Times New Roman" w:eastAsia="黑体" w:cs="黑体"/>
                <w:b/>
                <w:bCs/>
                <w:kern w:val="0"/>
                <w:sz w:val="24"/>
                <w:szCs w:val="24"/>
                <w:vertAlign w:val="baseline"/>
                <w:lang w:val="en-US" w:eastAsia="zh-CN" w:bidi="ar"/>
              </w:rPr>
            </w:pPr>
            <w:r>
              <w:rPr>
                <w:rFonts w:hint="eastAsia" w:ascii="Times New Roman" w:hAnsi="Times New Roman" w:eastAsia="黑体" w:cs="黑体"/>
                <w:b/>
                <w:bCs/>
                <w:kern w:val="0"/>
                <w:sz w:val="24"/>
                <w:szCs w:val="24"/>
                <w:vertAlign w:val="baseline"/>
                <w:lang w:val="en-US" w:eastAsia="zh-CN" w:bidi="ar"/>
              </w:rPr>
              <w:t>姓名</w:t>
            </w:r>
          </w:p>
        </w:tc>
        <w:tc>
          <w:tcPr>
            <w:tcW w:w="1388" w:type="pct"/>
            <w:vAlign w:val="center"/>
          </w:tcPr>
          <w:p w14:paraId="3994A553">
            <w:pPr>
              <w:keepNext w:val="0"/>
              <w:keepLines w:val="0"/>
              <w:widowControl/>
              <w:suppressLineNumbers w:val="0"/>
              <w:jc w:val="center"/>
              <w:rPr>
                <w:rFonts w:hint="default" w:ascii="Times New Roman" w:hAnsi="Times New Roman" w:eastAsia="黑体" w:cs="黑体"/>
                <w:b/>
                <w:bCs/>
                <w:kern w:val="0"/>
                <w:sz w:val="24"/>
                <w:szCs w:val="24"/>
                <w:vertAlign w:val="baseline"/>
                <w:lang w:val="en-US" w:eastAsia="zh-CN" w:bidi="ar"/>
              </w:rPr>
            </w:pPr>
            <w:r>
              <w:rPr>
                <w:rFonts w:hint="eastAsia" w:ascii="Times New Roman" w:hAnsi="Times New Roman" w:eastAsia="黑体" w:cs="黑体"/>
                <w:b/>
                <w:bCs/>
                <w:kern w:val="0"/>
                <w:sz w:val="24"/>
                <w:szCs w:val="24"/>
                <w:vertAlign w:val="baseline"/>
                <w:lang w:val="en-US" w:eastAsia="zh-CN" w:bidi="ar"/>
              </w:rPr>
              <w:t>学号</w:t>
            </w:r>
          </w:p>
        </w:tc>
        <w:tc>
          <w:tcPr>
            <w:tcW w:w="1391" w:type="pct"/>
            <w:vAlign w:val="center"/>
          </w:tcPr>
          <w:p w14:paraId="311355ED">
            <w:pPr>
              <w:keepNext w:val="0"/>
              <w:keepLines w:val="0"/>
              <w:widowControl/>
              <w:suppressLineNumbers w:val="0"/>
              <w:jc w:val="center"/>
              <w:rPr>
                <w:rFonts w:hint="eastAsia" w:ascii="Times New Roman" w:hAnsi="Times New Roman" w:eastAsia="黑体" w:cs="黑体"/>
                <w:b/>
                <w:bCs/>
                <w:kern w:val="0"/>
                <w:sz w:val="24"/>
                <w:szCs w:val="24"/>
                <w:vertAlign w:val="baseline"/>
                <w:lang w:val="en-US" w:eastAsia="zh-CN" w:bidi="ar"/>
              </w:rPr>
            </w:pPr>
            <w:r>
              <w:rPr>
                <w:rFonts w:hint="eastAsia" w:ascii="Times New Roman" w:hAnsi="Times New Roman" w:eastAsia="黑体" w:cs="黑体"/>
                <w:b/>
                <w:bCs/>
                <w:kern w:val="0"/>
                <w:sz w:val="24"/>
                <w:szCs w:val="24"/>
                <w:vertAlign w:val="baseline"/>
                <w:lang w:val="en-US" w:eastAsia="zh-CN" w:bidi="ar"/>
              </w:rPr>
              <w:t>专业</w:t>
            </w:r>
          </w:p>
        </w:tc>
      </w:tr>
      <w:tr w14:paraId="6455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0" w:type="pct"/>
            <w:vAlign w:val="center"/>
          </w:tcPr>
          <w:p w14:paraId="792E3600">
            <w:pPr>
              <w:keepNext w:val="0"/>
              <w:keepLines w:val="0"/>
              <w:widowControl/>
              <w:suppressLineNumbers w:val="0"/>
              <w:jc w:val="center"/>
              <w:rPr>
                <w:rFonts w:hint="default" w:ascii="Times New Roman" w:hAnsi="Times New Roman" w:eastAsia="黑体" w:cs="黑体"/>
                <w:b/>
                <w:bCs/>
                <w:kern w:val="0"/>
                <w:sz w:val="24"/>
                <w:szCs w:val="24"/>
                <w:vertAlign w:val="baseline"/>
                <w:lang w:val="en-US" w:eastAsia="zh-CN" w:bidi="ar"/>
              </w:rPr>
            </w:pPr>
            <w:r>
              <w:rPr>
                <w:rFonts w:hint="eastAsia" w:ascii="Times New Roman" w:hAnsi="Times New Roman" w:eastAsia="黑体" w:cs="黑体"/>
                <w:b/>
                <w:bCs/>
                <w:kern w:val="0"/>
                <w:sz w:val="24"/>
                <w:szCs w:val="24"/>
                <w:vertAlign w:val="baseline"/>
                <w:lang w:val="en-US" w:eastAsia="zh-CN" w:bidi="ar"/>
              </w:rPr>
              <w:t>1</w:t>
            </w:r>
          </w:p>
        </w:tc>
        <w:tc>
          <w:tcPr>
            <w:tcW w:w="1388" w:type="pct"/>
            <w:vAlign w:val="center"/>
          </w:tcPr>
          <w:p w14:paraId="0B81A490">
            <w:pPr>
              <w:keepNext w:val="0"/>
              <w:keepLines w:val="0"/>
              <w:widowControl/>
              <w:suppressLineNumbers w:val="0"/>
              <w:jc w:val="center"/>
              <w:rPr>
                <w:rFonts w:hint="eastAsia" w:ascii="Times New Roman" w:hAnsi="Times New Roman" w:eastAsiaTheme="majorEastAsia" w:cstheme="majorEastAsia"/>
                <w:sz w:val="24"/>
                <w:szCs w:val="24"/>
                <w:lang w:val="en-US" w:eastAsia="zh-CN"/>
              </w:rPr>
            </w:pPr>
            <w:r>
              <w:rPr>
                <w:rFonts w:hint="eastAsia" w:ascii="Times New Roman" w:hAnsi="Times New Roman" w:eastAsiaTheme="majorEastAsia" w:cstheme="majorEastAsia"/>
                <w:sz w:val="24"/>
                <w:szCs w:val="24"/>
                <w:lang w:val="en-US" w:eastAsia="zh-CN"/>
              </w:rPr>
              <w:t>赵启行</w:t>
            </w:r>
          </w:p>
        </w:tc>
        <w:tc>
          <w:tcPr>
            <w:tcW w:w="1388" w:type="pct"/>
            <w:vAlign w:val="center"/>
          </w:tcPr>
          <w:p w14:paraId="549858E7">
            <w:pPr>
              <w:keepNext w:val="0"/>
              <w:keepLines w:val="0"/>
              <w:widowControl/>
              <w:suppressLineNumbers w:val="0"/>
              <w:jc w:val="center"/>
              <w:rPr>
                <w:rFonts w:hint="default" w:ascii="Times New Roman" w:hAnsi="Times New Roman" w:eastAsia="黑体" w:cs="黑体"/>
                <w:kern w:val="0"/>
                <w:sz w:val="24"/>
                <w:szCs w:val="24"/>
                <w:vertAlign w:val="baseline"/>
                <w:lang w:val="en-US" w:eastAsia="zh-CN" w:bidi="ar"/>
              </w:rPr>
            </w:pPr>
            <w:r>
              <w:rPr>
                <w:rFonts w:hint="eastAsia" w:ascii="Times New Roman" w:hAnsi="Times New Roman" w:eastAsia="黑体" w:cs="黑体"/>
                <w:kern w:val="0"/>
                <w:sz w:val="24"/>
                <w:szCs w:val="24"/>
                <w:vertAlign w:val="baseline"/>
                <w:lang w:val="en-US" w:eastAsia="zh-CN" w:bidi="ar"/>
              </w:rPr>
              <w:t>2025213774</w:t>
            </w:r>
          </w:p>
        </w:tc>
        <w:tc>
          <w:tcPr>
            <w:tcW w:w="1391" w:type="pct"/>
            <w:vAlign w:val="center"/>
          </w:tcPr>
          <w:p w14:paraId="6106F834">
            <w:pPr>
              <w:keepNext w:val="0"/>
              <w:keepLines w:val="0"/>
              <w:widowControl/>
              <w:suppressLineNumbers w:val="0"/>
              <w:jc w:val="center"/>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数学与信息科学类</w:t>
            </w:r>
          </w:p>
        </w:tc>
      </w:tr>
      <w:tr w14:paraId="5C3E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0" w:type="pct"/>
            <w:vAlign w:val="center"/>
          </w:tcPr>
          <w:p w14:paraId="2EC1DFB9">
            <w:pPr>
              <w:keepNext w:val="0"/>
              <w:keepLines w:val="0"/>
              <w:widowControl/>
              <w:suppressLineNumbers w:val="0"/>
              <w:jc w:val="center"/>
              <w:rPr>
                <w:rFonts w:hint="default" w:ascii="Times New Roman" w:hAnsi="Times New Roman" w:eastAsia="黑体" w:cs="黑体"/>
                <w:b/>
                <w:bCs/>
                <w:kern w:val="0"/>
                <w:sz w:val="24"/>
                <w:szCs w:val="24"/>
                <w:vertAlign w:val="baseline"/>
                <w:lang w:val="en-US" w:eastAsia="zh-CN" w:bidi="ar"/>
              </w:rPr>
            </w:pPr>
            <w:r>
              <w:rPr>
                <w:rFonts w:hint="eastAsia" w:ascii="Times New Roman" w:hAnsi="Times New Roman" w:eastAsia="黑体" w:cs="黑体"/>
                <w:b/>
                <w:bCs/>
                <w:kern w:val="0"/>
                <w:sz w:val="24"/>
                <w:szCs w:val="24"/>
                <w:vertAlign w:val="baseline"/>
                <w:lang w:val="en-US" w:eastAsia="zh-CN" w:bidi="ar"/>
              </w:rPr>
              <w:t>2</w:t>
            </w:r>
          </w:p>
        </w:tc>
        <w:tc>
          <w:tcPr>
            <w:tcW w:w="1388" w:type="pct"/>
            <w:vAlign w:val="center"/>
          </w:tcPr>
          <w:p w14:paraId="45FE23EF">
            <w:pPr>
              <w:keepNext w:val="0"/>
              <w:keepLines w:val="0"/>
              <w:widowControl/>
              <w:suppressLineNumbers w:val="0"/>
              <w:jc w:val="center"/>
              <w:rPr>
                <w:rFonts w:hint="eastAsia" w:ascii="Times New Roman" w:hAnsi="Times New Roman" w:eastAsiaTheme="majorEastAsia" w:cstheme="majorEastAsia"/>
                <w:sz w:val="24"/>
                <w:szCs w:val="24"/>
                <w:lang w:val="en-US" w:eastAsia="zh-CN"/>
              </w:rPr>
            </w:pPr>
            <w:r>
              <w:rPr>
                <w:rFonts w:hint="eastAsia" w:ascii="Times New Roman" w:hAnsi="Times New Roman" w:eastAsiaTheme="majorEastAsia" w:cstheme="majorEastAsia"/>
                <w:sz w:val="24"/>
                <w:szCs w:val="24"/>
                <w:lang w:val="en-US" w:eastAsia="zh-CN"/>
              </w:rPr>
              <w:t>唐宁</w:t>
            </w:r>
          </w:p>
        </w:tc>
        <w:tc>
          <w:tcPr>
            <w:tcW w:w="1388" w:type="pct"/>
            <w:vAlign w:val="center"/>
          </w:tcPr>
          <w:p w14:paraId="16111031">
            <w:pPr>
              <w:keepNext w:val="0"/>
              <w:keepLines w:val="0"/>
              <w:widowControl/>
              <w:suppressLineNumbers w:val="0"/>
              <w:jc w:val="center"/>
              <w:rPr>
                <w:rFonts w:hint="default" w:ascii="Times New Roman" w:hAnsi="Times New Roman" w:eastAsia="黑体" w:cs="黑体"/>
                <w:kern w:val="0"/>
                <w:sz w:val="24"/>
                <w:szCs w:val="24"/>
                <w:vertAlign w:val="baseline"/>
                <w:lang w:val="en-US" w:eastAsia="zh-CN" w:bidi="ar"/>
              </w:rPr>
            </w:pPr>
            <w:r>
              <w:rPr>
                <w:rFonts w:hint="eastAsia" w:ascii="Times New Roman" w:hAnsi="Times New Roman" w:eastAsia="黑体" w:cs="黑体"/>
                <w:kern w:val="0"/>
                <w:sz w:val="24"/>
                <w:szCs w:val="24"/>
                <w:vertAlign w:val="baseline"/>
                <w:lang w:val="en-US" w:eastAsia="zh-CN" w:bidi="ar"/>
              </w:rPr>
              <w:t>2025213772</w:t>
            </w:r>
          </w:p>
        </w:tc>
        <w:tc>
          <w:tcPr>
            <w:tcW w:w="1391" w:type="pct"/>
            <w:vAlign w:val="center"/>
          </w:tcPr>
          <w:p w14:paraId="2A50DB0A">
            <w:pPr>
              <w:keepNext w:val="0"/>
              <w:keepLines w:val="0"/>
              <w:widowControl/>
              <w:suppressLineNumbers w:val="0"/>
              <w:jc w:val="center"/>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数学与信息科学类</w:t>
            </w:r>
          </w:p>
        </w:tc>
      </w:tr>
      <w:tr w14:paraId="71947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0" w:type="pct"/>
            <w:vAlign w:val="center"/>
          </w:tcPr>
          <w:p w14:paraId="51379DDA">
            <w:pPr>
              <w:keepNext w:val="0"/>
              <w:keepLines w:val="0"/>
              <w:widowControl/>
              <w:suppressLineNumbers w:val="0"/>
              <w:jc w:val="center"/>
              <w:rPr>
                <w:rFonts w:hint="default" w:ascii="Times New Roman" w:hAnsi="Times New Roman" w:eastAsia="黑体" w:cs="黑体"/>
                <w:b/>
                <w:bCs/>
                <w:kern w:val="0"/>
                <w:sz w:val="24"/>
                <w:szCs w:val="24"/>
                <w:vertAlign w:val="baseline"/>
                <w:lang w:val="en-US" w:eastAsia="zh-CN" w:bidi="ar"/>
              </w:rPr>
            </w:pPr>
            <w:r>
              <w:rPr>
                <w:rFonts w:hint="eastAsia" w:ascii="Times New Roman" w:hAnsi="Times New Roman" w:eastAsia="黑体" w:cs="黑体"/>
                <w:b/>
                <w:bCs/>
                <w:kern w:val="0"/>
                <w:sz w:val="24"/>
                <w:szCs w:val="24"/>
                <w:vertAlign w:val="baseline"/>
                <w:lang w:val="en-US" w:eastAsia="zh-CN" w:bidi="ar"/>
              </w:rPr>
              <w:t>3</w:t>
            </w:r>
          </w:p>
        </w:tc>
        <w:tc>
          <w:tcPr>
            <w:tcW w:w="1388" w:type="pct"/>
            <w:vAlign w:val="center"/>
          </w:tcPr>
          <w:p w14:paraId="18F32AE7">
            <w:pPr>
              <w:keepNext w:val="0"/>
              <w:keepLines w:val="0"/>
              <w:widowControl/>
              <w:suppressLineNumbers w:val="0"/>
              <w:jc w:val="center"/>
              <w:rPr>
                <w:rFonts w:hint="eastAsia" w:ascii="Times New Roman" w:hAnsi="Times New Roman" w:eastAsiaTheme="majorEastAsia" w:cstheme="majorEastAsia"/>
                <w:sz w:val="24"/>
                <w:szCs w:val="24"/>
                <w:lang w:val="en-US" w:eastAsia="zh-CN"/>
              </w:rPr>
            </w:pPr>
            <w:r>
              <w:rPr>
                <w:rFonts w:hint="eastAsia" w:ascii="Times New Roman" w:hAnsi="Times New Roman" w:eastAsiaTheme="majorEastAsia" w:cstheme="majorEastAsia"/>
                <w:sz w:val="24"/>
                <w:szCs w:val="24"/>
                <w:lang w:val="en-US" w:eastAsia="zh-CN"/>
              </w:rPr>
              <w:t>李金航</w:t>
            </w:r>
          </w:p>
        </w:tc>
        <w:tc>
          <w:tcPr>
            <w:tcW w:w="1388" w:type="pct"/>
            <w:vAlign w:val="center"/>
          </w:tcPr>
          <w:p w14:paraId="076B26E0">
            <w:pPr>
              <w:keepNext w:val="0"/>
              <w:keepLines w:val="0"/>
              <w:widowControl/>
              <w:suppressLineNumbers w:val="0"/>
              <w:jc w:val="center"/>
              <w:rPr>
                <w:rFonts w:hint="default" w:ascii="Times New Roman" w:hAnsi="Times New Roman" w:eastAsia="黑体" w:cs="黑体"/>
                <w:kern w:val="0"/>
                <w:sz w:val="24"/>
                <w:szCs w:val="24"/>
                <w:vertAlign w:val="baseline"/>
                <w:lang w:val="en-US" w:eastAsia="zh-CN" w:bidi="ar"/>
              </w:rPr>
            </w:pPr>
            <w:r>
              <w:rPr>
                <w:rFonts w:hint="eastAsia" w:ascii="Times New Roman" w:hAnsi="Times New Roman" w:eastAsia="黑体" w:cs="黑体"/>
                <w:kern w:val="0"/>
                <w:sz w:val="24"/>
                <w:szCs w:val="24"/>
                <w:vertAlign w:val="baseline"/>
                <w:lang w:val="en-US" w:eastAsia="zh-CN" w:bidi="ar"/>
              </w:rPr>
              <w:t>2025213931</w:t>
            </w:r>
          </w:p>
        </w:tc>
        <w:tc>
          <w:tcPr>
            <w:tcW w:w="1391" w:type="pct"/>
            <w:vAlign w:val="center"/>
          </w:tcPr>
          <w:p w14:paraId="771BD805">
            <w:pPr>
              <w:keepNext w:val="0"/>
              <w:keepLines w:val="0"/>
              <w:widowControl/>
              <w:suppressLineNumbers w:val="0"/>
              <w:jc w:val="center"/>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数学与信息科学类</w:t>
            </w:r>
            <w:bookmarkStart w:id="0" w:name="_GoBack"/>
            <w:bookmarkEnd w:id="0"/>
          </w:p>
        </w:tc>
      </w:tr>
      <w:tr w14:paraId="0CE2B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7" w:hRule="atLeast"/>
        </w:trPr>
        <w:tc>
          <w:tcPr>
            <w:tcW w:w="5000" w:type="pct"/>
            <w:gridSpan w:val="4"/>
          </w:tcPr>
          <w:p w14:paraId="1B58050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eastAsia="黑体" w:cs="黑体"/>
                <w:kern w:val="0"/>
                <w:sz w:val="24"/>
                <w:szCs w:val="24"/>
                <w:vertAlign w:val="baseline"/>
                <w:lang w:val="en-US" w:eastAsia="zh-CN" w:bidi="ar"/>
              </w:rPr>
            </w:pPr>
            <w:r>
              <w:rPr>
                <w:rFonts w:hint="eastAsia" w:ascii="Times New Roman" w:hAnsi="Times New Roman" w:eastAsia="黑体" w:cs="黑体"/>
                <w:kern w:val="0"/>
                <w:sz w:val="24"/>
                <w:szCs w:val="24"/>
                <w:vertAlign w:val="baseline"/>
                <w:lang w:val="en-US" w:eastAsia="zh-CN" w:bidi="ar"/>
              </w:rPr>
              <w:t>课题研究目的和意义：</w:t>
            </w:r>
          </w:p>
          <w:p w14:paraId="59DF95C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检索增强生成（Retrieval-Augmented Generation, RAG）通过在大语言模型生成答案前引入外部知识检索，能够在一定程度上缓解大模型知识过时、事实依据不足和幻觉等问题。普通 RAG 通常采用“一次检索 + 上下文拼接 + 直接生成”的静态流程，在问题表达规范、答案集中于单一文档的场景中具有较好的可用性。然而，在学习资料管理、实验室知识服务、技术文档问答等真实知识服务任务中，知识来源往往包含课程资料、实验指导书、项目文档、表格数据和代码片段等多种形式，用户问题也可能存在口语化、省略、错称、跨文档指代、多跳推理或工具调用需求。此时，普通 RAG 容易出现检索召回不足、证据排序不佳、结构化数据无法处理、答案缺少引用支撑等问题。</w:t>
            </w:r>
          </w:p>
          <w:p w14:paraId="6A4A545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课题四要求围绕学习与知识服务场景，设计具有“可检索、会规划、能调用工具”能力的 Agentic RAG 工具型智能体。与普通 RAG 相比，Agentic RAG 更强调系统能够根据任务状态动态决定是否进行查询改写、多轮检索、证据重排、工具调用和答案验证，使问答流程从单步知识检索扩展为面向复杂任务的动态知识获取与执行过程。因此，本课题不以某一门课程复习助手或完整学习平台为研究目标，而是以知识服务任务为实验载体，研究 Agentic RAG 关键技术模块对系统效果和性能成本的影响。</w:t>
            </w:r>
          </w:p>
          <w:p w14:paraId="7D8A1D3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从相关工作看，RAG 为大语言模型引入外部知识依据；Advanced RAG 进一步加入查询改写、混合检索、重排序和上下文优化等机制，以改善证据召回和排序质量；Agentic RAG 则在此基础上引入任务规划、多轮检索、工具调用和答案验证。ReAct、Function Calling、MCP 等机制为工具型智能体提供了实现思路；RAGAS、ARES、RAGChecker 等评测框架和思想为答案正确性、忠实度、引用可信度、检索质量和失败诊断提供了参考；BEIR、MIRACL、HotpotQA、ToolBench、Berkeley Function Calling Leaderboard 等公共 Benchmark 可作为检索、多跳问答和工具调用任务的权威样例来源。</w:t>
            </w:r>
          </w:p>
          <w:p w14:paraId="05DCE24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本课题的研究意义主要体现在以下几个方面：第一，面向学习资料、实验室资料和技术文档等知识服务材料，具有明确的实际应用价值；第二，通过 C0-C4 递进配置、核心模块消融实验和 C5 开源系统横向参考，能够较为客观地分析 query rewrite、多轮检索、rerank、self-check 和工具调用等模块的实际贡献；第三，引入公共 Benchmark 参考子集，可以避免评测完全依赖自建样例，提高实验结论的可信度；第四，在主线实验完成后进一步探索轻量自适应模块调度，分析简单任务是否可以走快速路径、复杂任务是否需要完整 Agentic 流程，从而讨论效果、延迟和 Token 成本之间的平衡。</w:t>
            </w:r>
          </w:p>
        </w:tc>
      </w:tr>
      <w:tr w14:paraId="13C5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3" w:hRule="atLeast"/>
        </w:trPr>
        <w:tc>
          <w:tcPr>
            <w:tcW w:w="5000" w:type="pct"/>
            <w:gridSpan w:val="4"/>
          </w:tcPr>
          <w:p w14:paraId="65AF96D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eastAsia="黑体" w:cs="黑体"/>
                <w:kern w:val="0"/>
                <w:sz w:val="24"/>
                <w:szCs w:val="24"/>
                <w:vertAlign w:val="baseline"/>
                <w:lang w:val="en-US" w:eastAsia="zh-CN" w:bidi="ar"/>
              </w:rPr>
            </w:pPr>
            <w:r>
              <w:rPr>
                <w:rFonts w:hint="eastAsia" w:ascii="Times New Roman" w:hAnsi="Times New Roman" w:eastAsia="黑体" w:cs="黑体"/>
                <w:kern w:val="0"/>
                <w:sz w:val="24"/>
                <w:szCs w:val="24"/>
                <w:vertAlign w:val="baseline"/>
                <w:lang w:val="en-US" w:eastAsia="zh-CN" w:bidi="ar"/>
              </w:rPr>
              <w:t>研究目标：</w:t>
            </w:r>
          </w:p>
          <w:p w14:paraId="38F4DF0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 构建小规模知识服务实验库，材料包括学习资料、实验室资料、技术文档、项目说明、CSV 表格和代码片段等，并保留文档来源、章节、页码或行号等元数据，以支持证据引用和错误追溯。</w:t>
            </w:r>
          </w:p>
          <w:p w14:paraId="4374BE8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2. 构建 40-50 条自建知识服务测试任务，覆盖简单事实问答、非规范或模糊查询、多文档证据整合、表格分析、数值计算、代码执行和证据不足等类型。</w:t>
            </w:r>
          </w:p>
          <w:p w14:paraId="73494F9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3. 实现五组自研可控对比系统：C0 Naive RAG、C1 Query Rewrite RAG、C2 Advanced RAG、C3 Agentic Retrieval RAG、C4 Tool-Augmented Agentic RAG，用于分析不同技术模块的增量贡献。</w:t>
            </w:r>
          </w:p>
          <w:p w14:paraId="689589C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4. 设计查询诊断与自适应改写模块，围绕非规范、模糊、省略、跨文档和多跳查询，形成“查询诊断—规范化改写—检索反馈修正”的处理流程。</w:t>
            </w:r>
          </w:p>
          <w:p w14:paraId="35CDE18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5. 设计 Agentic RAG 核心流程，包括 query rewrite、多轮检索、rerank、任务规划、self-check 或答案验证。</w:t>
            </w:r>
          </w:p>
          <w:p w14:paraId="0161E26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6. 实现至少 4 类主线外部工具调用能力，包括文件读取、代码执行、计算器和表格分析；网页搜索作为选做扩展，正式实验优先使用固定网页快照以保证可复现性。</w:t>
            </w:r>
          </w:p>
          <w:p w14:paraId="4632305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7. 引入 10-15 条公共 Benchmark 参考样例，从 BEIR / MIRACL、HotpotQA、ToolBench 或 Berkeley Function Calling Leaderboard 中选取与检索、多跳证据和工具调用相关的样例，作为权威样例参照。</w:t>
            </w:r>
          </w:p>
          <w:p w14:paraId="2853B68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8. 使用 Dify 或 RAGFlow 作为 C5 开源 ARAG/RAG 系统参考，在同一知识库、同一测试任务、尽量相同 LLM 条件下与自研 C4 进行横向对比。</w:t>
            </w:r>
          </w:p>
          <w:p w14:paraId="664DC58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9. 设计核心模块消融实验，优先完成 C4-no-rewrite、C4-no-self-check 和 C4-no-tool，并在时间允许时补充 rerank、检索反馈等消融配置。</w:t>
            </w:r>
          </w:p>
          <w:p w14:paraId="6A87208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10. 在 C4 稳定运行后，探索轻量自适应调度策略，将任务粗分为简单问答、复杂检索和工具型任务，分别选择快速路径、增强检索路径和工具增强路径，作为后续升级方向。</w:t>
            </w:r>
          </w:p>
          <w:p w14:paraId="13BFAFD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11. 从检索质量、答案质量、引用可信度、工具调用能力和系统效率五类指标进行量化评价，并分析 Agentic RAG 的适用任务、收益有限任务、额外延迟和 Token 成本。</w:t>
            </w:r>
          </w:p>
          <w:p w14:paraId="1759C7F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12. 完成技术验证 Demo、对比实验报告、测试集、评测脚本、实验日志、失败案例分析、开源系统参考对比表和复现说明。</w:t>
            </w:r>
          </w:p>
        </w:tc>
      </w:tr>
      <w:tr w14:paraId="148D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3" w:hRule="atLeast"/>
        </w:trPr>
        <w:tc>
          <w:tcPr>
            <w:tcW w:w="5000" w:type="pct"/>
            <w:gridSpan w:val="4"/>
          </w:tcPr>
          <w:p w14:paraId="7BA0897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eastAsia="黑体" w:cs="黑体"/>
                <w:kern w:val="0"/>
                <w:sz w:val="24"/>
                <w:szCs w:val="24"/>
                <w:vertAlign w:val="baseline"/>
                <w:lang w:val="en-US" w:eastAsia="zh-CN" w:bidi="ar"/>
              </w:rPr>
            </w:pPr>
            <w:r>
              <w:rPr>
                <w:rFonts w:hint="eastAsia" w:ascii="Times New Roman" w:hAnsi="Times New Roman" w:eastAsia="黑体" w:cs="黑体"/>
                <w:kern w:val="0"/>
                <w:sz w:val="24"/>
                <w:szCs w:val="24"/>
                <w:vertAlign w:val="baseline"/>
                <w:lang w:val="en-US" w:eastAsia="zh-CN" w:bidi="ar"/>
              </w:rPr>
              <w:t>研究内容、技术路线与评价指标：</w:t>
            </w:r>
          </w:p>
          <w:p w14:paraId="683277C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a. 主要研究内容</w:t>
            </w:r>
          </w:p>
          <w:p w14:paraId="1F790CD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（1）知识库构建：采用“知识服务材料 + Demo 学习资料 + Benchmark 参考样例”的分层设计。知识库材料包括学习资料、实验室资料、技术文档、项目说明、CSV 示例统计表、实验结果表、代码片段和必要网页快照。每个知识片段记录资料类型、文档名称、主题、章节、页码或行号等元数据，以支持答案引用和错误追溯。</w:t>
            </w:r>
          </w:p>
          <w:p w14:paraId="78AD193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（2）查询诊断与自适应改写：设计“查询诊断—规范化改写—检索反馈修正”三阶段机制。系统不仅输出改写后的查询，还记录非规范表达类型、改写理由和检索反馈，用于分析 query rewrite 对检索召回和证据定位的实际贡献。</w:t>
            </w:r>
          </w:p>
          <w:p w14:paraId="0CC67E8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（3）Agentic RAG 核心流程：C3 阶段实现不调用外部工具的 Agentic Retrieval RAG，重点验证任务规划、多轮检索、rerank 和 self-check 对检索型与证据整合任务的作用；C4 阶段在 C3 基础上接入外部工具，验证工具调用对文件定位、代码执行、表格分析和数值计算等工具型任务的贡献。</w:t>
            </w:r>
          </w:p>
          <w:p w14:paraId="1AA46BB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（4）外部工具调用：主线实现文件读取、代码执行、计算器和表格分析 4 类工具。文件读取工具支持运行时上传文件并按页码、章节或片段读取；代码执行工具用于受限 Python 代码的运行和结果验证；计算器用于比例、分数、时间和简单数值计算；表格分析工具用于 CSV 统计、排序和聚合。网页搜索作为选做扩展，正式实验优先使用固定网页快照，避免实时搜索带来的不可复现问题。</w:t>
            </w:r>
          </w:p>
          <w:p w14:paraId="33E0E3C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（5）公共 Benchmark 与开源系统参考：公共 Benchmark 子集用于提供权威样例参照，不替代自建任务集，也不作为唯一结论依据。C5 选择 Dify 或 RAGFlow，采用同一知识库、同一测试任务和尽量相同 LLM 设置，与自研 C4 进行横向参考。C5 不参与模块消融归因。</w:t>
            </w:r>
          </w:p>
          <w:p w14:paraId="6BB27D3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p>
          <w:p w14:paraId="3E7059B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b. 技术路线</w:t>
            </w:r>
          </w:p>
          <w:p w14:paraId="2086EE1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系统总体流程为：用户任务输入 → Task Planner 判断任务类型和工具需求 → Query Diagnosis &amp; Rewrite 识别并改写非规范表达 → 向量检索与 BM25 混合检索 → Rerank 重排证据 → 必要时调用外部工具 → Evidence Check 判断证据和工具结果是否覆盖问题 → 证据不足时二次检索 → Answer Generation 生成带引用答案 → Self-check 验证关键结论 → 输出答案、引用、工具轨迹、延迟和 Token 日志。</w:t>
            </w:r>
          </w:p>
          <w:p w14:paraId="61956EE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C0-C4 采用逐级增量设计：C0 为基础向量检索与直接生成；C1 在 C0 上新增查询诊断与改写；C2 在 C1 上新增 BM25 混合检索和 rerank；C3 在 C2 上新增任务规划、多轮检索和 self-check，但不调用外部工具；C4 在 C3 上新增文件读取、代码执行、计算器和表格分析等外部工具调用。正式结论分两条轨道表述：检索型和证据整合任务主要分析 C0-C3，工具型任务主要分析 C3-C4，以避免将检索增强和工具调用混为同一结论。</w:t>
            </w:r>
          </w:p>
          <w:p w14:paraId="5A46E5C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*主线实验完成后，若时间允许，可增加 C4-Adaptive 作为后续升级配置。该配置不替代 C4-full，而是在 C4 稳定运行的基础上增加轻量路径选择规则：简单事实问答走 C0/C2 快速路径，模糊或多文档任务走 C3 检索增强路径，涉及文件、表格、计算或代码的问题走 C4 工具增强路径。该部分用于探索完整 Agentic 流程是否总是必要，不作为最低完成要求。</w:t>
            </w:r>
          </w:p>
          <w:p w14:paraId="4BF936A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p>
          <w:p w14:paraId="3F950F3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c. 评价指标</w:t>
            </w:r>
          </w:p>
          <w:p w14:paraId="43F26E0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测试集采用三层设计：40-50 条自建知识服务任务、10-15 条公共 Benchmark 参考样例、10-15 条开源系统横向对比任务。正式汇报时主指标收敛为五类：检索质量、答案质量、引用可信度、工具调用能力和系统效率。具体指标包括 Recall@5、Recall@10、MRR@10、nDCG@10、Re-retrieval Success、Answer Correctness、Answer Completeness、Faithfulness、Citation Coverage、Citation Accuracy、Tool Selection Accuracy、Tool Call Success、Multi-step Task Completion、p50/p95 Latency、Token Cost 和 API Call Count。</w:t>
            </w:r>
          </w:p>
          <w:p w14:paraId="08A9E29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本课题参考 RAGAS、ARES、RAGChecker 等框架思想，但不直接照搬其完整评测流程。Faithfulness、Answer Correctness、Citation Accuracy 等指标参考 RAGAS 的评价维度；自动评测与人工复核结合的思路参考 ARES；失败归因、模块诊断和消融分析参考 RAGChecker。*若实现 C4-Adaptive，可额外记录 Path Selection Accuracy、Unnecessary Tool Call Rate 和 Fast Path Hit Rate，作为升级方向指标，不替代五类主指标。</w:t>
            </w:r>
          </w:p>
          <w:p w14:paraId="2E744C7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适用范围与边界分析：Agentic RAG 预计在非规范或模糊查询、多文档证据整合、需要二次检索、需要计算/表格/代码工具的任务上收益明显；在简单事实问答、单文档关键词明确问题、知识库缺失答案和强实时任务中收益有限。若 p95 延迟超过预设阈值，应作为性能代价如实报告。</w:t>
            </w:r>
          </w:p>
        </w:tc>
      </w:tr>
      <w:tr w14:paraId="603C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3" w:hRule="atLeast"/>
        </w:trPr>
        <w:tc>
          <w:tcPr>
            <w:tcW w:w="5000" w:type="pct"/>
            <w:gridSpan w:val="4"/>
          </w:tcPr>
          <w:p w14:paraId="124E1A1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kern w:val="0"/>
                <w:sz w:val="24"/>
                <w:szCs w:val="24"/>
                <w:vertAlign w:val="baseline"/>
                <w:lang w:val="en-US" w:eastAsia="zh-CN" w:bidi="ar"/>
              </w:rPr>
            </w:pPr>
            <w:r>
              <w:rPr>
                <w:rFonts w:hint="eastAsia" w:ascii="黑体" w:hAnsi="黑体" w:eastAsia="黑体" w:cs="黑体"/>
                <w:kern w:val="0"/>
                <w:sz w:val="24"/>
                <w:szCs w:val="24"/>
                <w:vertAlign w:val="baseline"/>
                <w:lang w:val="en-US" w:eastAsia="zh-CN" w:bidi="ar"/>
              </w:rPr>
              <w:t>小组成员、任务分工与进度安排：</w:t>
            </w:r>
          </w:p>
          <w:p w14:paraId="2ECDDD9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赵启行：负责方法设计与统筹，主要完成 C0-C4 与消融配置设计、任务规划、query rewrite、检索反馈、self-check、报告撰写和 PPT 整理。</w:t>
            </w:r>
          </w:p>
          <w:p w14:paraId="0974F7C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唐宁：负责数据与评测，主要完成实验知识库材料收集、自建知识服务任务集与 Benchmark 参考子集构建、参考答案、证据、必要工具标注和人工评测。</w:t>
            </w:r>
          </w:p>
          <w:p w14:paraId="5F069F7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李金航：负责工程与 Demo，主要完成文档解析、检索管线、4 类主线工具调用、日志记录、评测脚本、C5 对比配置、Gradio 技术验证 Demo 和结果可视化。</w:t>
            </w:r>
          </w:p>
          <w:p w14:paraId="1D9B340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进度安排：第 1 阶段（5.3-5.7）完成开题报告定稿、实验知识库、公共 Benchmark 子集和技术栈确认；第 2 阶段（5.8-5.14）完成文档解析、分块、向量库和 C0 普通 RAG；第 3 阶段（5.15-5.21）完成 C1/C2、查询改写、BM25、混合检索和 rerank；第 4 阶段（5.22-5.28）完成 C3 Agentic Retrieval RAG 与文件读取、代码执行、计算器、表格分析 4 类工具函数；第 5 阶段（5.29-6.5）完成 C4 工具编排、Prompt 与测试集冻结，并打 Git Tag；第 6 阶段（6.6-6.12）完成 C0-C4 全量实验、核心消融、Benchmark 参考子集测试和人工标注；第 7 阶段（6.13-6.20）完成 Dify/RAGFlow 横向参考、指标统计、失败案例、边界分析和 Demo 打磨，若 C0-C4 已稳定，补充 C4-Adaptive 轻量路径选择实验；第 8 阶段（6.21-6.29）完成结题报告、PPT、代码归档和演示材料。</w:t>
            </w:r>
          </w:p>
          <w:p w14:paraId="79C96E5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协作要求：三名成员每周至少进行一次进度同步，统一确认接口、测试集变更、实验配置和失败案例记录。正式实验开始后，测试集、Prompt、模型版本、依赖环境和配置文件均应冻结，并通过 Git Tag 保存版本。项目依赖管理采用 uv，以 pyproject.toml 和 uv.lock 固定环境，运行命令统一使用 uv sync 和 uv run。</w:t>
            </w:r>
          </w:p>
        </w:tc>
      </w:tr>
      <w:tr w14:paraId="3FEDA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3" w:hRule="atLeast"/>
        </w:trPr>
        <w:tc>
          <w:tcPr>
            <w:tcW w:w="5000" w:type="pct"/>
            <w:gridSpan w:val="4"/>
          </w:tcPr>
          <w:p w14:paraId="19E1719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eastAsia="黑体" w:cs="黑体"/>
                <w:kern w:val="0"/>
                <w:sz w:val="24"/>
                <w:szCs w:val="24"/>
                <w:vertAlign w:val="baseline"/>
                <w:lang w:val="en-US" w:eastAsia="zh-CN" w:bidi="ar"/>
              </w:rPr>
            </w:pPr>
            <w:r>
              <w:rPr>
                <w:rFonts w:hint="eastAsia" w:ascii="Times New Roman" w:hAnsi="Times New Roman" w:eastAsia="黑体" w:cs="黑体"/>
                <w:kern w:val="0"/>
                <w:sz w:val="24"/>
                <w:szCs w:val="24"/>
                <w:vertAlign w:val="baseline"/>
                <w:lang w:val="en-US" w:eastAsia="zh-CN" w:bidi="ar"/>
              </w:rPr>
              <w:t>预期成果/产出：</w:t>
            </w:r>
          </w:p>
          <w:p w14:paraId="1E36591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 Agentic RAG 技术验证 Demo：使用 Gradio 或命令行脚本展示问题输入、查询改写、检索与 rerank、多轮检索、工具调用、self-check、证据引用和运行日志，能够稳定演示一条完整 ARAG 技术链路。Demo 以技术验证为主，不追求完整产品化体验。</w:t>
            </w:r>
          </w:p>
          <w:p w14:paraId="07FE1CE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2. 知识服务实验知识库与测试集：包含学习资料、实验室资料、技术文档、表格数据、代码片段、40-50 条自建知识服务任务、参考答案、证据标注和必要工具标注。</w:t>
            </w:r>
          </w:p>
          <w:p w14:paraId="0A88B11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3. 普通 RAG 与 Agentic RAG 对比实验报告：包含 C0-C4 在检索质量、答案质量、引用可信度、工具调用能力、任务完成情况和系统效率方面的结果。</w:t>
            </w:r>
          </w:p>
          <w:p w14:paraId="49647B4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4. 公共 Benchmark 参考子集结果：包含 10-15 条来自 BEIR / MIRACL、HotpotQA、ToolBench 或 Berkeley Function Calling Leaderboard 的参考样例、适配说明和测试结果，用于增强评测的通用参照性。</w:t>
            </w:r>
          </w:p>
          <w:p w14:paraId="7EF9DBC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5. 开源系统横向参考对比：选择 Dify 或 RAGFlow 配置同一知识库和同一测试任务，输出 C5 参考结果表和典型任务案例，说明自研方案与常见开源系统的差异、优势和局限。</w:t>
            </w:r>
          </w:p>
          <w:p w14:paraId="071D211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6. 量化评测与消融分析：结合 RAGAS、ARES、RAGChecker 等框架思想，输出五类主指标表、核心消融结果和失败归因报告；优先完成 C4-no-rewrite、C4-no-self-check 和 C4-no-tool。</w:t>
            </w:r>
          </w:p>
          <w:p w14:paraId="5BB2084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7. 查询诊断与非规范表达处理分析：展示查询诊断、规范化改写和检索反馈修正对非规范、模糊、省略、跨文档问题的影响，并给出典型成功与失败样例。</w:t>
            </w:r>
          </w:p>
          <w:p w14:paraId="0B0451A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8. 外部工具调用分析：报告文件读取、代码执行、计算器和表格分析的 Tool Selection Accuracy、Tool Call Success、Task Completion 和失败案例。</w:t>
            </w:r>
          </w:p>
          <w:p w14:paraId="69F0692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9. 适用范围与边界分析：说明 ARAG 在非规范查询、多文档证据整合、工具型任务中何时有效，在简单事实问答、单文档明确问题、知识库缺失答案和强实时任务中何时收益有限，并报告延迟和 Token 成本。</w:t>
            </w:r>
          </w:p>
          <w:p w14:paraId="3609623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*10. 轻量自适应升级分析（选做）：若时间允许，补充 C4-Adaptive 与 C4-full 的路径选择、延迟、Token 和工具调用差异，说明如何从原版主线继续升级为自适应 ARAG。</w:t>
            </w:r>
          </w:p>
          <w:p w14:paraId="1957BEE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11. 代码与材料归档：包含源代码、配置文件、pyproject.toml、uv.lock、运行说明、数据说明、实验日志、评测脚本和 Demo 使用说明。</w:t>
            </w:r>
          </w:p>
          <w:p w14:paraId="6C5B63C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12. 答辩材料：包含结题报告、PPT、Demo 录屏或现场演示脚本，能够清楚说明研究问题、方法设计、实验结果、Benchmark 参考、开源系统对比、失败案例和结论边界。</w:t>
            </w:r>
          </w:p>
        </w:tc>
      </w:tr>
      <w:tr w14:paraId="70AF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3" w:hRule="atLeast"/>
        </w:trPr>
        <w:tc>
          <w:tcPr>
            <w:tcW w:w="5000" w:type="pct"/>
            <w:gridSpan w:val="4"/>
          </w:tcPr>
          <w:p w14:paraId="7317D0E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eastAsia="黑体" w:cs="黑体"/>
                <w:kern w:val="0"/>
                <w:sz w:val="24"/>
                <w:szCs w:val="24"/>
                <w:vertAlign w:val="baseline"/>
                <w:lang w:val="en-US" w:eastAsia="zh-CN" w:bidi="ar"/>
              </w:rPr>
            </w:pPr>
            <w:r>
              <w:rPr>
                <w:rFonts w:hint="eastAsia" w:ascii="Times New Roman" w:hAnsi="Times New Roman" w:eastAsia="黑体" w:cs="黑体"/>
                <w:kern w:val="0"/>
                <w:sz w:val="24"/>
                <w:szCs w:val="24"/>
                <w:vertAlign w:val="baseline"/>
                <w:lang w:val="en-US" w:eastAsia="zh-CN" w:bidi="ar"/>
              </w:rPr>
              <w:t>参考文献：</w:t>
            </w:r>
          </w:p>
          <w:p w14:paraId="050CDEDA">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 110实验室关于开展前沿技术分组研究与专题汇报的通知，2026.</w:t>
            </w:r>
          </w:p>
          <w:p w14:paraId="73A26C8E">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[2] Lewis, P., et al. Retrieval-Augmented Generation for Knowledge-Intensive NLP Tasks. NeurIPS, 2020.</w:t>
            </w:r>
          </w:p>
          <w:p w14:paraId="1671A17F">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[3] Yao, S., et al. ReAct: Synergizing Reasoning and Acting in Language Models. ICLR, 2023.</w:t>
            </w:r>
          </w:p>
          <w:p w14:paraId="74660454">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[4] Singh, A., et al. Agentic Retrieval-Augmented Generation: A Survey on Agentic RAG. arXiv, 2025.</w:t>
            </w:r>
          </w:p>
          <w:p w14:paraId="0C46763E">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[5] LangGraph Documentation: Agentic RAG. https://docs.langchain.com/oss/python/langgraph/agentic-rag</w:t>
            </w:r>
          </w:p>
          <w:p w14:paraId="2B74CA67">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[6] RAGAS Documentation: Available Metrics. https://docs.ragas.io/en/stable/concepts/metrics/available_metrics/</w:t>
            </w:r>
          </w:p>
          <w:p w14:paraId="7816D43F">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[7] Dify GitHub Repository. https://github.com/langgenius/dify</w:t>
            </w:r>
          </w:p>
          <w:p w14:paraId="5A8CC91E">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[8] RAGFlow GitHub Repository. https://github.com/infiniflow/ragflow</w:t>
            </w:r>
          </w:p>
          <w:p w14:paraId="1805C4B4">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[9] BAAI BGE-M3 Model Card. https://huggingface.co/BAAI/bge-m3</w:t>
            </w:r>
          </w:p>
          <w:p w14:paraId="53131719">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[10] Saad-Falcon, J., et al. ARES: An Automated Evaluation Framework for Retrieval-Augmented Generation Systems. NAACL, 2024.</w:t>
            </w:r>
          </w:p>
          <w:p w14:paraId="2F6AFA7A">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[11] Ru, D., et al. RAGChecker: A Fine-grained Framework for Diagnosing Retrieval-Augmented Generation. arXiv:2408.08067, 2024.</w:t>
            </w:r>
          </w:p>
          <w:p w14:paraId="257E0237">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[12] Thakur, N., et al. BEIR: A Heterogeneous Benchmark for Zero-shot Evaluation of Information Retrieval Models. NeurIPS, 2021.</w:t>
            </w:r>
          </w:p>
          <w:p w14:paraId="77C5C806">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[13] Zhang, X., et al. MIRACL: A Multilingual Retrieval Dataset Covering 18 Diverse Languages. TACL, 2023.</w:t>
            </w:r>
          </w:p>
          <w:p w14:paraId="77CD770C">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[14] Yang, Z., et al. HotpotQA: A Dataset for Diverse, Explainable Multi-hop Question Answering. EMNLP, 2018.</w:t>
            </w:r>
          </w:p>
          <w:p w14:paraId="2D3F01C8">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[15] Qin, Y., et al. ToolBench: Towards Benchmarking Large Language Models for Tool Learning. ICLR, 2024.</w:t>
            </w:r>
          </w:p>
          <w:p w14:paraId="06C13BD7">
            <w:pPr>
              <w:keepNext w:val="0"/>
              <w:keepLines w:val="0"/>
              <w:pageBreakBefore w:val="0"/>
              <w:widowControl/>
              <w:suppressLineNumbers w:val="0"/>
              <w:kinsoku/>
              <w:wordWrap/>
              <w:overflowPunct/>
              <w:topLinePunct w:val="0"/>
              <w:autoSpaceDE/>
              <w:autoSpaceDN/>
              <w:bidi w:val="0"/>
              <w:adjustRightInd/>
              <w:snapToGrid/>
              <w:spacing w:line="240" w:lineRule="auto"/>
              <w:ind w:left="0" w:hanging="480" w:hangingChars="200"/>
              <w:jc w:val="left"/>
              <w:textAlignment w:val="auto"/>
              <w:rPr>
                <w:rFonts w:hint="eastAsia" w:ascii="Times New Roman" w:hAnsi="Times New Roman" w:eastAsia="宋体" w:cs="宋体"/>
                <w:kern w:val="0"/>
                <w:sz w:val="24"/>
                <w:szCs w:val="24"/>
                <w:vertAlign w:val="baseline"/>
                <w:lang w:val="en-US" w:eastAsia="zh-CN" w:bidi="ar"/>
              </w:rPr>
            </w:pPr>
            <w:r>
              <w:rPr>
                <w:rFonts w:hint="eastAsia" w:ascii="Times New Roman" w:hAnsi="Times New Roman" w:eastAsia="宋体" w:cs="宋体"/>
                <w:kern w:val="0"/>
                <w:sz w:val="24"/>
                <w:szCs w:val="24"/>
                <w:vertAlign w:val="baseline"/>
                <w:lang w:val="en-US" w:eastAsia="zh-CN" w:bidi="ar"/>
              </w:rPr>
              <w:t>[16] Berkeley Function Calling Leaderboard. https://gorilla.cs.berkeley.edu/leaderboard.html</w:t>
            </w:r>
          </w:p>
        </w:tc>
      </w:tr>
    </w:tbl>
    <w:p w14:paraId="3F0FD22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Theme="majorEastAsia" w:hAnsiTheme="majorEastAsia" w:eastAsiaTheme="majorEastAsia" w:cstheme="majorEastAsia"/>
          <w:kern w:val="0"/>
          <w:sz w:val="24"/>
          <w:szCs w:val="24"/>
          <w:lang w:val="en-US" w:eastAsia="zh-CN" w:bidi="ar"/>
        </w:rPr>
      </w:pPr>
    </w:p>
    <w:sectPr>
      <w:headerReference r:id="rId3" w:type="default"/>
      <w:pgSz w:w="11906" w:h="16838"/>
      <w:pgMar w:top="1213" w:right="1080" w:bottom="1440" w:left="1080" w:header="397"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4F3A918-D496-4A2C-A6C5-D255B615B94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2" w:fontKey="{4EE6C204-79EE-47DC-8920-3BC0563F2484}"/>
  </w:font>
  <w:font w:name="WPSEMBED5">
    <w:panose1 w:val="02000500000000000000"/>
    <w:charset w:val="86"/>
    <w:family w:val="auto"/>
    <w:pitch w:val="default"/>
    <w:sig w:usb0="A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880AB">
    <w:pPr>
      <w:pStyle w:val="3"/>
      <w:pBdr>
        <w:bottom w:val="single" w:color="auto" w:sz="4" w:space="1"/>
      </w:pBdr>
      <w:jc w:val="left"/>
      <w:rPr>
        <w:rFonts w:hint="eastAsia" w:eastAsiaTheme="minorEastAsia"/>
        <w:lang w:eastAsia="zh-CN"/>
      </w:rPr>
    </w:pPr>
    <w:r>
      <w:rPr>
        <w:rFonts w:hint="eastAsia" w:eastAsiaTheme="minorEastAsia"/>
        <w:lang w:eastAsia="zh-CN"/>
      </w:rPr>
      <w:drawing>
        <wp:inline distT="0" distB="0" distL="114300" distR="114300">
          <wp:extent cx="3020695" cy="447040"/>
          <wp:effectExtent l="0" t="0" r="0" b="0"/>
          <wp:docPr id="1" name="图片 1" descr="重庆邮电大学数学与统计学院院徽（白底）与院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重庆邮电大学数学与统计学院院徽（白底）与院名"/>
                  <pic:cNvPicPr>
                    <a:picLocks noChangeAspect="1"/>
                  </pic:cNvPicPr>
                </pic:nvPicPr>
                <pic:blipFill>
                  <a:blip r:embed="rId1"/>
                  <a:srcRect b="7124"/>
                  <a:stretch>
                    <a:fillRect/>
                  </a:stretch>
                </pic:blipFill>
                <pic:spPr>
                  <a:xfrm>
                    <a:off x="0" y="0"/>
                    <a:ext cx="3020695" cy="447040"/>
                  </a:xfrm>
                  <a:prstGeom prst="rect">
                    <a:avLst/>
                  </a:prstGeom>
                </pic:spPr>
              </pic:pic>
            </a:graphicData>
          </a:graphic>
        </wp:inline>
      </w:drawing>
    </w:r>
    <w:r>
      <w:rPr>
        <w:rFonts w:hint="eastAsia"/>
        <w:lang w:val="en-US" w:eastAsia="zh-CN"/>
      </w:rPr>
      <w:t xml:space="preserve">    </w:t>
    </w:r>
    <w:r>
      <w:rPr>
        <w:rFonts w:hint="eastAsia" w:ascii="黑体" w:hAnsi="黑体" w:eastAsia="黑体" w:cs="黑体"/>
        <w:sz w:val="21"/>
        <w:szCs w:val="32"/>
        <w:lang w:eastAsia="zh-CN"/>
      </w:rPr>
      <w:t>110实验室前沿技术分组研究与专题汇报开题报告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626AB4"/>
    <w:rsid w:val="10484D0D"/>
    <w:rsid w:val="17626AB4"/>
    <w:rsid w:val="25412C5E"/>
    <w:rsid w:val="37BE2DA1"/>
    <w:rsid w:val="38643511"/>
    <w:rsid w:val="49211495"/>
    <w:rsid w:val="5C726760"/>
    <w:rsid w:val="7FE14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config/>
</contractReview>
</file>

<file path=customXml/itemProps1.xml><?xml version="1.0" encoding="utf-8"?>
<ds:datastoreItem xmlns:ds="http://schemas.openxmlformats.org/officeDocument/2006/customXml" ds:itemID="{5abd0827-a3ec-4038-b9fe-90cff7b88d18}">
  <ds:schemaRefs/>
</ds:datastoreItem>
</file>

<file path=docProps/app.xml><?xml version="1.0" encoding="utf-8"?>
<Properties xmlns="http://schemas.openxmlformats.org/officeDocument/2006/extended-properties" xmlns:vt="http://schemas.openxmlformats.org/officeDocument/2006/docPropsVTypes">
  <Template>Normal.dotm</Template>
  <Pages>8</Pages>
  <Words>4977</Words>
  <Characters>7798</Characters>
  <Lines>0</Lines>
  <Paragraphs>0</Paragraphs>
  <TotalTime>1693</TotalTime>
  <ScaleCrop>false</ScaleCrop>
  <LinksUpToDate>false</LinksUpToDate>
  <CharactersWithSpaces>8389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2026-04-30T14:51:00Z</dcterms:created>
  <dc:creator>It's Me</dc:creator>
  <cp:lastModifiedBy>江玹</cp:lastModifiedBy>
  <dcterms:modified xsi:type="dcterms:W3CDTF">2026-05-03T18:08:40Z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EC1778563E5F4BE5AA8FA69771323371_13</vt:lpwstr>
  </property>
  <property fmtid="{D5CDD505-2E9C-101B-9397-08002B2CF9AE}" pid="4" name="KSOTemplateDocerSaveRecord">
    <vt:lpwstr>eyJoZGlkIjoiMDMwODk4YmM3YmUyZTIzMjAwNDM5ODg2YzZlYjRmOTYiLCJ1c2VySWQiOiI4MjIwNjk1OTkifQ==</vt:lpwstr>
  </property>
</Properties>
</file>