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color w:val="1F4E79"/>
          <w:sz w:val="40"/>
          <w:szCs w:val="40"/>
        </w:rPr>
        <w:t xml:space="preserve">国产大模型 Token 平台合作方案</w:t>
      </w:r>
    </w:p>
    <w:p>
      <w:pPr>
        <w:spacing w:after="40"/>
        <w:jc w:val="center"/>
      </w:pPr>
      <w:r>
        <w:rPr>
          <w:rFonts w:ascii="宋体" w:cs="宋体" w:eastAsia="宋体" w:hAnsi="宋体"/>
          <w:color w:val="595959"/>
          <w:sz w:val="22"/>
          <w:szCs w:val="22"/>
        </w:rPr>
        <w:t xml:space="preserve">商务洽谈材料</w:t>
      </w:r>
    </w:p>
    <w:p>
      <w:pPr>
        <w:spacing w:after="120"/>
        <w:jc w:val="center"/>
      </w:pPr>
      <w:r>
        <w:rPr>
          <w:rFonts w:ascii="宋体" w:cs="宋体" w:eastAsia="宋体" w:hAnsi="宋体"/>
          <w:color w:val="808080"/>
          <w:sz w:val="18"/>
          <w:szCs w:val="18"/>
        </w:rPr>
        <w:t xml:space="preserve">日期：2026-05-31     密级：商业机密</w:t>
      </w:r>
    </w:p>
    <w:p>
      <w:pPr>
        <w:pBdr>
          <w:bottom w:val="single" w:color="1F4E79" w:sz="8" w:space="1"/>
        </w:pBdr>
      </w:pPr>
      <w:r>
        <w:t xml:space="preserve"/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</w:rPr>
        <w:t xml:space="preserve">一、合作方式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合作方式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范围与说明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方式一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纯买断源码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4 万（一次性）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仅当前版本代码快照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不含更新、技术支持、踩坑兜底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交付后风险自担（诚信承诺价 / 闲鱼参考）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方式二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买断 + 技术支持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20 – 30 万（总包）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代码交付 + 技术支持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技术支持建议拆为按年续费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不全部打包进一次性总包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20"/>
                <w:szCs w:val="20"/>
              </w:rPr>
              <w:t xml:space="preserve">方式三 ★ 主推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20"/>
                <w:szCs w:val="20"/>
              </w:rPr>
              <w:t xml:space="preserve">平台服务型合作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20"/>
                <w:szCs w:val="20"/>
              </w:rPr>
              <w:t xml:space="preserve">（保底 + 分成）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20"/>
                <w:szCs w:val="20"/>
              </w:rPr>
              <w:t xml:space="preserve">保底 + 分成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20"/>
                <w:szCs w:val="20"/>
              </w:rPr>
              <w:t xml:space="preserve">（见下方明细）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长期合作，利益绑定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保底保成本，分成共做大流水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• 详见下表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</w:rPr>
        <w:t xml:space="preserve">二、方式三明细（平台服务型合作）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实施 / 接入费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一次性 10 万（落点 5–10 万，可并入首年）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保底月费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报价 18 万/月  |  落点 12–15 万/月  |  底线 10 万/月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分成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平台流水的 %，按月流水分档；待盘子数据确定（流水从平台过，可核可测）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团队投入（对客口径）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 人（1 运维 + 2 运营 + 2 研发），月成本 10–15 万</w:t>
            </w:r>
          </w:p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 人（1 运维 + 2 研发，运营客户自出），月成本 6–10 万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合同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首期 1–2 年 + 中途解约赔付保底 N 个月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</w:rPr>
        <w:t xml:space="preserve">三、分工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承担方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客户方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运营商供给 + 客户 / 销售 + 业务运营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我方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平台产品 + 运维 + 持续研发 + 计费保障（SLA）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</w:rPr>
        <w:t xml:space="preserve">四、护城河条款（合同必写）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三不交：不交全套运维 runbook；不交上游对接全流程知识；不交部署控制权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代码：客户「用」，不「拥有」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持续迭代——客户能 fork 的永远是落后版本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</w:rPr>
        <w:t xml:space="preserve">五、内部底线（不对外）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纯源码买断：不低于 4 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买断 + 支持：不低于 20 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保底 &lt; 10 万/月 → 不做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分成：不签死任何百分比（待盘子确定）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1F4E79"/>
        </w:rPr>
        <w:t xml:space="preserve">六、今日必问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盘子预估：终端客户数量、月流水 / GMV 量级（决定分成 %）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08080"/>
        <w:sz w:val="18"/>
        <w:szCs w:val="18"/>
      </w:rPr>
      <w:t xml:space="preserve">第 </w:t>
    </w:r>
    <w:r>
      <w:rPr>
        <w:rFonts w:ascii="宋体" w:cs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08080"/>
        <w:sz w:val="18"/>
        <w:szCs w:val="18"/>
      </w:rPr>
      <w:t xml:space="preserve"> 页  |  商业机密 · 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黑体" w:cs="黑体" w:eastAsia="黑体" w:hAnsi="黑体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2026-05-31T11:02:36.713Z</dcterms:created>
  <dcterms:modified xsi:type="dcterms:W3CDTF">2026-05-31T11:02:36.713Z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