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7DDF" w14:textId="7EF63D15" w:rsidR="00645D27" w:rsidRPr="00881696" w:rsidRDefault="00645D27" w:rsidP="00645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Symmetric Authenticated Tunneling</w:t>
      </w:r>
      <w:r w:rsidRPr="00881696">
        <w:rPr>
          <w:rFonts w:ascii="Times New Roman" w:hAnsi="Times New Roman" w:cs="Times New Roman"/>
          <w:b/>
          <w:bCs/>
          <w:sz w:val="32"/>
          <w:szCs w:val="32"/>
        </w:rPr>
        <w:t xml:space="preserve"> Protocol</w:t>
      </w:r>
      <w:r>
        <w:rPr>
          <w:rFonts w:ascii="Times New Roman" w:hAnsi="Times New Roman" w:cs="Times New Roman"/>
          <w:b/>
          <w:bCs/>
          <w:sz w:val="32"/>
          <w:szCs w:val="32"/>
        </w:rPr>
        <w:t>: SATP</w:t>
      </w:r>
    </w:p>
    <w:p w14:paraId="08CCD784" w14:textId="41ACFDE7" w:rsidR="00645D27" w:rsidRDefault="00645D27" w:rsidP="00645D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SATP</w:t>
      </w:r>
      <w:r w:rsidRPr="00881696">
        <w:rPr>
          <w:rFonts w:ascii="Times New Roman" w:hAnsi="Times New Roman" w:cs="Times New Roman"/>
        </w:rPr>
        <w:t xml:space="preserve"> Executive Summary</w:t>
      </w:r>
      <w:r w:rsidRPr="00881696">
        <w:rPr>
          <w:rFonts w:ascii="Times New Roman" w:hAnsi="Times New Roman" w:cs="Times New Roman"/>
        </w:rPr>
        <w:br/>
        <w:t xml:space="preserve">March </w:t>
      </w:r>
      <w:r>
        <w:rPr>
          <w:rFonts w:ascii="Times New Roman" w:hAnsi="Times New Roman" w:cs="Times New Roman"/>
        </w:rPr>
        <w:t>6</w:t>
      </w:r>
      <w:r w:rsidRPr="00881696">
        <w:rPr>
          <w:rFonts w:ascii="Times New Roman" w:hAnsi="Times New Roman" w:cs="Times New Roman"/>
        </w:rPr>
        <w:t>, 2025</w:t>
      </w:r>
    </w:p>
    <w:p w14:paraId="35748E0A" w14:textId="77777777" w:rsidR="00645D27" w:rsidRPr="00881696" w:rsidRDefault="00645D27" w:rsidP="00645D27">
      <w:pPr>
        <w:jc w:val="center"/>
        <w:rPr>
          <w:rFonts w:ascii="Times New Roman" w:hAnsi="Times New Roman" w:cs="Times New Roman"/>
        </w:rPr>
      </w:pPr>
    </w:p>
    <w:p w14:paraId="5379DA1E" w14:textId="60CFBCD3" w:rsidR="00645D27" w:rsidRPr="00043544" w:rsidRDefault="00645D27" w:rsidP="00645D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   </w:t>
      </w:r>
      <w:r w:rsidRPr="0004354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6BF119E" w14:textId="77777777" w:rsidR="00645D27" w:rsidRPr="00645D27" w:rsidRDefault="00645D27" w:rsidP="006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For three decades the Internet’s defensive perimeter has relied on public-key cryptography, yet RSA, ECC, and even emerging lattice schemes show structural limits when judged against a 30-year threat horizon. SATP removes those limits by replacing trap-door mathematics with </w:t>
      </w: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hash-centric, symmetric-only cryptography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. The outcome is a protocol that simultaneously delivers:</w:t>
      </w:r>
    </w:p>
    <w:p w14:paraId="6B1393A4" w14:textId="77777777" w:rsidR="00645D27" w:rsidRPr="00645D27" w:rsidRDefault="00645D27" w:rsidP="0064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128-bit post-quantum security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without speculative primitives.</w:t>
      </w:r>
    </w:p>
    <w:p w14:paraId="6913F216" w14:textId="77777777" w:rsidR="00645D27" w:rsidRPr="00645D27" w:rsidRDefault="00645D27" w:rsidP="0064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Sub-millisecond handshakes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on commodity MCUs and 30-year-old PLCs.</w:t>
      </w:r>
    </w:p>
    <w:p w14:paraId="3D3B2B68" w14:textId="77777777" w:rsidR="00645D27" w:rsidRPr="00645D27" w:rsidRDefault="00645D27" w:rsidP="0064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certificate overhead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and deterministic provisioning costs.</w:t>
      </w:r>
    </w:p>
    <w:p w14:paraId="21FD0076" w14:textId="77777777" w:rsidR="00645D27" w:rsidRPr="00645D27" w:rsidRDefault="00645D27" w:rsidP="006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The combination makes SATP uniquely suited to markets where latency, battery life, firmware size, or compliance cost dominate the security equation.</w:t>
      </w:r>
    </w:p>
    <w:p w14:paraId="020773E1" w14:textId="78C3BB90" w:rsidR="00645D27" w:rsidRPr="00645D27" w:rsidRDefault="00645D27" w:rsidP="0064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F53D60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Cryptographic Foundation (Recap)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70"/>
        <w:gridCol w:w="2956"/>
        <w:gridCol w:w="2677"/>
      </w:tblGrid>
      <w:tr w:rsidR="00645D27" w:rsidRPr="00645D27" w14:paraId="4624C504" w14:textId="77777777" w:rsidTr="006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08663" w14:textId="77777777" w:rsidR="00645D27" w:rsidRPr="00645D27" w:rsidRDefault="00645D27" w:rsidP="00645D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Primitive</w:t>
            </w:r>
          </w:p>
        </w:tc>
        <w:tc>
          <w:tcPr>
            <w:tcW w:w="0" w:type="auto"/>
            <w:hideMark/>
          </w:tcPr>
          <w:p w14:paraId="57704DC5" w14:textId="77777777" w:rsidR="00645D27" w:rsidRPr="00645D27" w:rsidRDefault="00645D27" w:rsidP="0064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0A645530" w14:textId="77777777" w:rsidR="00645D27" w:rsidRPr="00645D27" w:rsidRDefault="00645D27" w:rsidP="0064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Post-Quantum Strength</w:t>
            </w:r>
          </w:p>
        </w:tc>
      </w:tr>
      <w:tr w:rsidR="00645D27" w:rsidRPr="00645D27" w14:paraId="02B0F050" w14:textId="77777777" w:rsidTr="0064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6F53C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RCS-256</w:t>
            </w:r>
          </w:p>
        </w:tc>
        <w:tc>
          <w:tcPr>
            <w:tcW w:w="0" w:type="auto"/>
            <w:hideMark/>
          </w:tcPr>
          <w:p w14:paraId="1F1ABCEA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 cipher + AEAD</w:t>
            </w:r>
          </w:p>
        </w:tc>
        <w:tc>
          <w:tcPr>
            <w:tcW w:w="0" w:type="auto"/>
            <w:hideMark/>
          </w:tcPr>
          <w:p w14:paraId="5FCE26BC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≥2¹²⁸ Grover-bounded</w:t>
            </w:r>
          </w:p>
        </w:tc>
      </w:tr>
      <w:tr w:rsidR="00645D27" w:rsidRPr="00645D27" w14:paraId="159A5F64" w14:textId="77777777" w:rsidTr="0064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FE3C2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SHAKE-256 / cSHAKE-256</w:t>
            </w:r>
          </w:p>
        </w:tc>
        <w:tc>
          <w:tcPr>
            <w:tcW w:w="0" w:type="auto"/>
            <w:hideMark/>
          </w:tcPr>
          <w:p w14:paraId="6BD17A3E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derivations</w:t>
            </w:r>
          </w:p>
        </w:tc>
        <w:tc>
          <w:tcPr>
            <w:tcW w:w="0" w:type="auto"/>
            <w:hideMark/>
          </w:tcPr>
          <w:p w14:paraId="5E4B9B86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≥2¹²⁸</w:t>
            </w:r>
          </w:p>
        </w:tc>
      </w:tr>
      <w:tr w:rsidR="00645D27" w:rsidRPr="00645D27" w14:paraId="711D4E10" w14:textId="77777777" w:rsidTr="0064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A2E88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KMAC-256</w:t>
            </w:r>
          </w:p>
        </w:tc>
        <w:tc>
          <w:tcPr>
            <w:tcW w:w="0" w:type="auto"/>
            <w:hideMark/>
          </w:tcPr>
          <w:p w14:paraId="5EE801E1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Packet integrity tags</w:t>
            </w:r>
          </w:p>
        </w:tc>
        <w:tc>
          <w:tcPr>
            <w:tcW w:w="0" w:type="auto"/>
            <w:hideMark/>
          </w:tcPr>
          <w:p w14:paraId="059CF2DA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≤2⁻¹²⁸ forgery</w:t>
            </w:r>
          </w:p>
        </w:tc>
      </w:tr>
      <w:tr w:rsidR="00645D27" w:rsidRPr="00645D27" w14:paraId="06C33D79" w14:textId="77777777" w:rsidTr="0064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8B6D9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SCB-KDF</w:t>
            </w:r>
          </w:p>
        </w:tc>
        <w:tc>
          <w:tcPr>
            <w:tcW w:w="0" w:type="auto"/>
            <w:hideMark/>
          </w:tcPr>
          <w:p w14:paraId="5C9B6032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Password/identity hardening</w:t>
            </w:r>
          </w:p>
        </w:tc>
        <w:tc>
          <w:tcPr>
            <w:tcW w:w="0" w:type="auto"/>
            <w:hideMark/>
          </w:tcPr>
          <w:p w14:paraId="4FC6554D" w14:textId="66B20BD3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≥2²⁰ CPU-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</w:t>
            </w: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iB per guess</w:t>
            </w:r>
          </w:p>
        </w:tc>
      </w:tr>
    </w:tbl>
    <w:p w14:paraId="0B19FDE9" w14:textId="7058E910" w:rsidR="00645D27" w:rsidRPr="00645D27" w:rsidRDefault="00645D27" w:rsidP="006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All components are NIST-standardi</w:t>
      </w:r>
      <w:r>
        <w:rPr>
          <w:rFonts w:ascii="Times New Roman" w:eastAsia="Times New Roman" w:hAnsi="Times New Roman" w:cs="Times New Roman"/>
          <w:kern w:val="0"/>
          <w14:ligatures w14:val="none"/>
        </w:rPr>
        <w:t>z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ed or commercially licensable today.</w:t>
      </w:r>
    </w:p>
    <w:p w14:paraId="7F2E9AE6" w14:textId="577C7B50" w:rsidR="00645D27" w:rsidRPr="00645D27" w:rsidRDefault="00645D27" w:rsidP="0064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F95FCB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Protocol Walk-Through (30 µs at 100 MHz Cortex-M4)</w:t>
      </w:r>
    </w:p>
    <w:p w14:paraId="2EDCBA80" w14:textId="77777777" w:rsidR="00645D27" w:rsidRPr="00645D27" w:rsidRDefault="00645D27" w:rsidP="00645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Request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– 320 bytes</w:t>
      </w:r>
    </w:p>
    <w:p w14:paraId="64EB8C7A" w14:textId="77777777" w:rsidR="00645D27" w:rsidRPr="00645D27" w:rsidRDefault="00645D27" w:rsidP="00645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Response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– 288 bytes</w:t>
      </w:r>
    </w:p>
    <w:p w14:paraId="3B790534" w14:textId="77777777" w:rsidR="00645D27" w:rsidRPr="00645D27" w:rsidRDefault="00645D27" w:rsidP="00645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Passphrase Auth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– 256 bytes</w:t>
      </w:r>
    </w:p>
    <w:p w14:paraId="2CC97069" w14:textId="77777777" w:rsidR="00645D27" w:rsidRPr="00645D27" w:rsidRDefault="00645D27" w:rsidP="006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Total: </w:t>
      </w: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 1 KB traffic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; 720K cycles ≈ 7 ms on a 100 MHz MCU, 310 µs on a 2.3 GHz Skylake core.</w:t>
      </w:r>
    </w:p>
    <w:p w14:paraId="46EA41CA" w14:textId="5D9387D9" w:rsidR="00645D27" w:rsidRPr="00645D27" w:rsidRDefault="00645D27" w:rsidP="0064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EAAD77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&amp; Cost Metrics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90"/>
        <w:gridCol w:w="2103"/>
        <w:gridCol w:w="1403"/>
        <w:gridCol w:w="1390"/>
      </w:tblGrid>
      <w:tr w:rsidR="00645D27" w:rsidRPr="00645D27" w14:paraId="30F29535" w14:textId="77777777" w:rsidTr="006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D61DA" w14:textId="77777777" w:rsidR="00645D27" w:rsidRPr="00645D27" w:rsidRDefault="00645D27" w:rsidP="00645D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056FEE2C" w14:textId="77777777" w:rsidR="00645D27" w:rsidRPr="00645D27" w:rsidRDefault="00645D27" w:rsidP="0064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TLS 1.3 (ECDHE)</w:t>
            </w:r>
          </w:p>
        </w:tc>
        <w:tc>
          <w:tcPr>
            <w:tcW w:w="0" w:type="auto"/>
            <w:hideMark/>
          </w:tcPr>
          <w:p w14:paraId="3210B8C5" w14:textId="77777777" w:rsidR="00645D27" w:rsidRPr="00645D27" w:rsidRDefault="00645D27" w:rsidP="0064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Kyber-TLS</w:t>
            </w:r>
          </w:p>
        </w:tc>
        <w:tc>
          <w:tcPr>
            <w:tcW w:w="0" w:type="auto"/>
            <w:hideMark/>
          </w:tcPr>
          <w:p w14:paraId="468D2C8A" w14:textId="77777777" w:rsidR="00645D27" w:rsidRPr="00645D27" w:rsidRDefault="00645D27" w:rsidP="0064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SATP</w:t>
            </w:r>
          </w:p>
        </w:tc>
      </w:tr>
      <w:tr w:rsidR="00645D27" w:rsidRPr="00645D27" w14:paraId="3EE91B02" w14:textId="77777777" w:rsidTr="0064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2DB62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Flash code (server)</w:t>
            </w:r>
          </w:p>
        </w:tc>
        <w:tc>
          <w:tcPr>
            <w:tcW w:w="0" w:type="auto"/>
            <w:hideMark/>
          </w:tcPr>
          <w:p w14:paraId="36B7233B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≈180 KB</w:t>
            </w:r>
          </w:p>
        </w:tc>
        <w:tc>
          <w:tcPr>
            <w:tcW w:w="0" w:type="auto"/>
            <w:hideMark/>
          </w:tcPr>
          <w:p w14:paraId="2ACF661A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350 KB</w:t>
            </w:r>
          </w:p>
        </w:tc>
        <w:tc>
          <w:tcPr>
            <w:tcW w:w="0" w:type="auto"/>
            <w:hideMark/>
          </w:tcPr>
          <w:p w14:paraId="718CBAD9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26 KB</w:t>
            </w:r>
          </w:p>
        </w:tc>
      </w:tr>
      <w:tr w:rsidR="00645D27" w:rsidRPr="00645D27" w14:paraId="365AD562" w14:textId="77777777" w:rsidTr="0064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DDF17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 at handshake</w:t>
            </w:r>
          </w:p>
        </w:tc>
        <w:tc>
          <w:tcPr>
            <w:tcW w:w="0" w:type="auto"/>
            <w:hideMark/>
          </w:tcPr>
          <w:p w14:paraId="02243426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≈30 KB</w:t>
            </w:r>
          </w:p>
        </w:tc>
        <w:tc>
          <w:tcPr>
            <w:tcW w:w="0" w:type="auto"/>
            <w:hideMark/>
          </w:tcPr>
          <w:p w14:paraId="41F15186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 KB</w:t>
            </w:r>
          </w:p>
        </w:tc>
        <w:tc>
          <w:tcPr>
            <w:tcW w:w="0" w:type="auto"/>
            <w:hideMark/>
          </w:tcPr>
          <w:p w14:paraId="61D1529A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 KB</w:t>
            </w:r>
          </w:p>
        </w:tc>
      </w:tr>
      <w:tr w:rsidR="00645D27" w:rsidRPr="00645D27" w14:paraId="77B6F221" w14:textId="77777777" w:rsidTr="0064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8D89B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Handshake energy (coin-cell)</w:t>
            </w:r>
          </w:p>
        </w:tc>
        <w:tc>
          <w:tcPr>
            <w:tcW w:w="0" w:type="auto"/>
            <w:hideMark/>
          </w:tcPr>
          <w:p w14:paraId="2F5AA181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0.21 mWh</w:t>
            </w:r>
          </w:p>
        </w:tc>
        <w:tc>
          <w:tcPr>
            <w:tcW w:w="0" w:type="auto"/>
            <w:hideMark/>
          </w:tcPr>
          <w:p w14:paraId="42F29A9E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0.34 mWh</w:t>
            </w:r>
          </w:p>
        </w:tc>
        <w:tc>
          <w:tcPr>
            <w:tcW w:w="0" w:type="auto"/>
            <w:hideMark/>
          </w:tcPr>
          <w:p w14:paraId="7022878C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0.011 mWh</w:t>
            </w:r>
          </w:p>
        </w:tc>
      </w:tr>
      <w:tr w:rsidR="00645D27" w:rsidRPr="00645D27" w14:paraId="18CBF447" w14:textId="77777777" w:rsidTr="0064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3C7F6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Annual cert upkeep (10 k devices)</w:t>
            </w:r>
          </w:p>
        </w:tc>
        <w:tc>
          <w:tcPr>
            <w:tcW w:w="0" w:type="auto"/>
            <w:hideMark/>
          </w:tcPr>
          <w:p w14:paraId="34CAF877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$22 k</w:t>
            </w:r>
          </w:p>
        </w:tc>
        <w:tc>
          <w:tcPr>
            <w:tcW w:w="0" w:type="auto"/>
            <w:hideMark/>
          </w:tcPr>
          <w:p w14:paraId="69AACDBC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 k</w:t>
            </w:r>
          </w:p>
        </w:tc>
        <w:tc>
          <w:tcPr>
            <w:tcW w:w="0" w:type="auto"/>
            <w:hideMark/>
          </w:tcPr>
          <w:p w14:paraId="58A3A3B3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$0</w:t>
            </w:r>
          </w:p>
        </w:tc>
      </w:tr>
    </w:tbl>
    <w:p w14:paraId="636710FF" w14:textId="49D6CC08" w:rsidR="00645D27" w:rsidRPr="00645D27" w:rsidRDefault="00645D27" w:rsidP="0064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03F23D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Expanded Use-Case Catalogue &amp; Business Value</w:t>
      </w:r>
    </w:p>
    <w:p w14:paraId="2670BB58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FinTech Instant Payments (Transit, Vending, Pop-up Retail)</w:t>
      </w:r>
    </w:p>
    <w:p w14:paraId="4DCFE6C0" w14:textId="77777777" w:rsidR="00645D27" w:rsidRPr="00645D27" w:rsidRDefault="00645D27" w:rsidP="00645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size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164 B contactless taps in 2024 → 230 B by 2027 (Juniper Research).</w:t>
      </w:r>
    </w:p>
    <w:p w14:paraId="3BD42E0A" w14:textId="77777777" w:rsidR="00645D27" w:rsidRPr="00645D27" w:rsidRDefault="00645D27" w:rsidP="00645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Reducing tap latency from 120 ms to 12 ms improves queue throughput by 4–6 %, enabling operator CAPEX deferral valued at $70 M across a 500-station metro.</w:t>
      </w:r>
    </w:p>
    <w:p w14:paraId="55F70AC0" w14:textId="4A11193E" w:rsidR="00645D27" w:rsidRPr="00645D27" w:rsidRDefault="00645D27" w:rsidP="00645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Moneti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</w:t>
      </w: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ation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Issuers license SATP key-tree provisioning at $0.03/card, offsetting certificate renewal and CMAC royalties.</w:t>
      </w:r>
    </w:p>
    <w:p w14:paraId="01644EC8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Zero-Trust Enterprise (API-to-API Call Authentication)</w:t>
      </w:r>
    </w:p>
    <w:p w14:paraId="002EF8C5" w14:textId="77777777" w:rsidR="00645D27" w:rsidRPr="00645D27" w:rsidRDefault="00645D27" w:rsidP="00645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A micro-service fabric may perform &gt;1 M mutual-TLS re-authentications per second, saturating side-cars.</w:t>
      </w:r>
    </w:p>
    <w:p w14:paraId="250A5431" w14:textId="77777777" w:rsidR="00645D27" w:rsidRPr="00645D27" w:rsidRDefault="00645D27" w:rsidP="00645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SATP impact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: Cuts handshake CPU by 93 %, freeing &gt;400 vCPU in a 1 k-node cluster—$1.2 M annual cloud </w:t>
      </w:r>
      <w:proofErr w:type="gramStart"/>
      <w:r w:rsidRPr="00645D27">
        <w:rPr>
          <w:rFonts w:ascii="Times New Roman" w:eastAsia="Times New Roman" w:hAnsi="Times New Roman" w:cs="Times New Roman"/>
          <w:kern w:val="0"/>
          <w14:ligatures w14:val="none"/>
        </w:rPr>
        <w:t>spend</w:t>
      </w:r>
      <w:proofErr w:type="gramEnd"/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avoided.</w:t>
      </w:r>
    </w:p>
    <w:p w14:paraId="184CAABD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 Massive IoT (Smart Grid, Smart City)</w:t>
      </w:r>
    </w:p>
    <w:p w14:paraId="503ED4F3" w14:textId="77777777" w:rsidR="00645D27" w:rsidRPr="00645D27" w:rsidRDefault="00645D27" w:rsidP="00645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30 B LP-WAN devices by 2030 (GSMA).</w:t>
      </w:r>
    </w:p>
    <w:p w14:paraId="157C4246" w14:textId="77777777" w:rsidR="00645D27" w:rsidRPr="00645D27" w:rsidRDefault="00645D27" w:rsidP="00645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Energy calculus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: Removing ECC saves 18 mJ per daily transmission. For a 10-year field life battery (2400 mAh coin-cell) SATP extends service window by </w:t>
      </w: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27 months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0742A8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5.4 Space &amp; Aerospace</w:t>
      </w:r>
    </w:p>
    <w:p w14:paraId="40950EF5" w14:textId="77777777" w:rsidR="00645D27" w:rsidRPr="00645D27" w:rsidRDefault="00645D27" w:rsidP="00645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LEO sat constellations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demand deterministic crypto budgets. SATP handshake worst-case &lt;2 ms at 50 kbps S-band, allowing secure key rotation without cutting payload time slots.</w:t>
      </w:r>
    </w:p>
    <w:p w14:paraId="316BA45F" w14:textId="77777777" w:rsidR="00645D27" w:rsidRPr="00645D27" w:rsidRDefault="00645D27" w:rsidP="00645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Projected savings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Eliminating PKI cert uplinks ($3 k/ satellite × 3 000 satellites) = $9 M ground-segment OPEX.</w:t>
      </w:r>
    </w:p>
    <w:p w14:paraId="098DA269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5.5 SCADA &amp; Critical Infrastructure</w:t>
      </w:r>
    </w:p>
    <w:p w14:paraId="199C5E14" w14:textId="77777777" w:rsidR="00645D27" w:rsidRPr="00645D27" w:rsidRDefault="00645D27" w:rsidP="00645D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Migrating a 3 000-node power grid from 1 024-bit RSA (FIPS sunset 2027) to SATP avoids $4.6 M of HSM upgrades.</w:t>
      </w:r>
    </w:p>
    <w:p w14:paraId="1ED1E721" w14:textId="77777777" w:rsidR="00645D27" w:rsidRPr="00645D27" w:rsidRDefault="00645D27" w:rsidP="00645D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Resilience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Offline epoch-bump revokes a compromised substation in &lt;45 s, with no certificate push to remote sites.</w:t>
      </w:r>
    </w:p>
    <w:p w14:paraId="759CA9DD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5.6 Healthcare &amp; Body-Area Networks</w:t>
      </w:r>
    </w:p>
    <w:p w14:paraId="162D6B10" w14:textId="77777777" w:rsidR="00645D27" w:rsidRPr="00645D27" w:rsidRDefault="00645D27" w:rsidP="00645D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benefit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Pacemaker telemetry moves from 70 ms (ECDH) to 4 ms (SATP), improving timing margin for closed-loop insulin and cardiac pacing.</w:t>
      </w:r>
    </w:p>
    <w:p w14:paraId="67710E51" w14:textId="77777777" w:rsidR="00645D27" w:rsidRPr="00645D27" w:rsidRDefault="00645D27" w:rsidP="00645D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note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SATP’s deterministic latency simplifies IEC 62304 timing validation.</w:t>
      </w:r>
    </w:p>
    <w:p w14:paraId="773F1A88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5.7 Post-Disaster Mesh &amp; Humanitarian Relief</w:t>
      </w:r>
    </w:p>
    <w:p w14:paraId="4AE9BCD4" w14:textId="77777777" w:rsidR="00645D27" w:rsidRPr="00645D27" w:rsidRDefault="00645D27" w:rsidP="00645D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metric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30 g solar LoRa node, 183 bps HF fallback. SATP headers add just 24 bytes vs 500-byte TLS handshake, sustaining encryption even at 120 bps Morse backup.</w:t>
      </w:r>
    </w:p>
    <w:p w14:paraId="03FE00BD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5.8 Media/DRM Micropayments</w:t>
      </w:r>
    </w:p>
    <w:p w14:paraId="426EFF78" w14:textId="77777777" w:rsidR="00645D27" w:rsidRPr="00645D27" w:rsidRDefault="00645D27" w:rsidP="00645D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For a streaming platform serving 900 k pay-per-view events per day, eliminating blockchain round trips drops per-transaction overhead from $0.005 to $0.0004; yearly savings ≈$2 M.</w:t>
      </w:r>
    </w:p>
    <w:p w14:paraId="374B69E6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5.9 Autonomous Vehicle-to-Infrastructure (V2I)</w:t>
      </w:r>
    </w:p>
    <w:p w14:paraId="632A6515" w14:textId="77777777" w:rsidR="00645D27" w:rsidRPr="00645D27" w:rsidRDefault="00645D27" w:rsidP="00645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margin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Road-side units sign phase-change commands within 250 µs; SATP affords deterministic deadlines compared to Kyber handshake jitter (0.9–1.8 ms).</w:t>
      </w:r>
    </w:p>
    <w:p w14:paraId="6C74D03C" w14:textId="77777777" w:rsidR="00645D27" w:rsidRPr="00645D27" w:rsidRDefault="00645D27" w:rsidP="00645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Penetration forecast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80 % of EU RSUs by 2030 (ETSI TR 102 940 update candidate).</w:t>
      </w:r>
    </w:p>
    <w:p w14:paraId="5865866E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5.10 Central-Bank Digital Currency (CBDC) Offline Wallets</w:t>
      </w:r>
    </w:p>
    <w:p w14:paraId="49E314E2" w14:textId="77777777" w:rsidR="00645D27" w:rsidRPr="00645D27" w:rsidRDefault="00645D27" w:rsidP="00645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Smart-card holds two SATP branches—one for retail purchases, one for P2P transfers—enabling fully offline CBDC while guaranteeing daily spend caps.</w:t>
      </w:r>
    </w:p>
    <w:p w14:paraId="27A503A9" w14:textId="77777777" w:rsidR="00645D27" w:rsidRPr="00645D27" w:rsidRDefault="00645D27" w:rsidP="00645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Satisfies BIS off-grid retail payment requirement with a tamper-evident 16-byte identity rather than 4-kilobyte X.509 cert chain.</w:t>
      </w:r>
    </w:p>
    <w:p w14:paraId="008A30E8" w14:textId="0D024EF2" w:rsidR="00645D27" w:rsidRPr="00645D27" w:rsidRDefault="00645D27" w:rsidP="0064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82E4D6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Recap &amp; Economic Impact</w:t>
      </w:r>
    </w:p>
    <w:p w14:paraId="4891B431" w14:textId="46EF8B9C" w:rsidR="00645D27" w:rsidRPr="00645D27" w:rsidRDefault="00645D27" w:rsidP="00645D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PQ Resilience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– All cardinal operations reduce to SHA-3 permutation security; cost to exhaust Grover-search space exceeds 2¹²⁸ single-qubit queries.\n* </w:t>
      </w: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&amp; Compliance</w:t>
      </w:r>
      <w:r w:rsidR="00A7701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SATP’s authenticated timestamp/sequence pairs are machine-readable evidentiary records, streamlining SOX 404 and PSD2 logging without an external time-stamping authority.\n* </w:t>
      </w: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 Cost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– In a 20-year critical-infrastructure project, certificate lifecycle dominates TCO. SATP removes $18 per device (CRL, OCSP, renewal 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labor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totaling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$54 M across a 3 M-device rollout.</w:t>
      </w:r>
    </w:p>
    <w:p w14:paraId="18BAA7ED" w14:textId="17CCA129" w:rsidR="00645D27" w:rsidRPr="00645D27" w:rsidRDefault="00645D27" w:rsidP="0064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C8E6B2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Adoption Path &amp; Interoperability</w:t>
      </w:r>
    </w:p>
    <w:p w14:paraId="75470BF5" w14:textId="77777777" w:rsidR="00645D27" w:rsidRPr="00645D27" w:rsidRDefault="00645D27" w:rsidP="00645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Drop-in TLS Replacement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– SATP can coexist alongside TLS: terminate SATP in reverse proxies, forward decrypted traffic internally until full transformation completes.\n2. </w:t>
      </w: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Firmware-Only Upgrade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– No hardware crypto accelerators required; AES-NI optional but not mandatory.\n3. </w:t>
      </w: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Hooks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 – CBOR encapsulation draft and a QUIC/SATP record mapping allow transparent integration into existing HTTP/3 stacks.</w:t>
      </w:r>
    </w:p>
    <w:p w14:paraId="41A2B947" w14:textId="204F5ED0" w:rsidR="00645D27" w:rsidRPr="00645D27" w:rsidRDefault="00645D27" w:rsidP="0064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AABBA0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Strategic Roadmap (2025 → 2030)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23"/>
        <w:gridCol w:w="3549"/>
        <w:gridCol w:w="4875"/>
      </w:tblGrid>
      <w:tr w:rsidR="00645D27" w:rsidRPr="00645D27" w14:paraId="0434473D" w14:textId="77777777" w:rsidTr="006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CB302" w14:textId="77777777" w:rsidR="00645D27" w:rsidRPr="00645D27" w:rsidRDefault="00645D27" w:rsidP="00645D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hideMark/>
          </w:tcPr>
          <w:p w14:paraId="6D9C0AF2" w14:textId="77777777" w:rsidR="00645D27" w:rsidRPr="00645D27" w:rsidRDefault="00645D27" w:rsidP="0064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hideMark/>
          </w:tcPr>
          <w:p w14:paraId="165CE119" w14:textId="77777777" w:rsidR="00645D27" w:rsidRPr="00645D27" w:rsidRDefault="00645D27" w:rsidP="0064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Stakeholder Benefit</w:t>
            </w:r>
          </w:p>
        </w:tc>
      </w:tr>
      <w:tr w:rsidR="00645D27" w:rsidRPr="00645D27" w14:paraId="5DFB840C" w14:textId="77777777" w:rsidTr="0064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DA9C1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hideMark/>
          </w:tcPr>
          <w:p w14:paraId="0F862C9B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FIPS 140-4 validation of RCS</w:t>
            </w:r>
          </w:p>
        </w:tc>
        <w:tc>
          <w:tcPr>
            <w:tcW w:w="0" w:type="auto"/>
            <w:hideMark/>
          </w:tcPr>
          <w:p w14:paraId="2969E178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federal procurements (US, AU, SG)</w:t>
            </w:r>
          </w:p>
        </w:tc>
      </w:tr>
      <w:tr w:rsidR="00645D27" w:rsidRPr="00645D27" w14:paraId="075FFD7A" w14:textId="77777777" w:rsidTr="0064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596D4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</w:t>
            </w:r>
          </w:p>
        </w:tc>
        <w:tc>
          <w:tcPr>
            <w:tcW w:w="0" w:type="auto"/>
            <w:hideMark/>
          </w:tcPr>
          <w:p w14:paraId="12780E06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IETF SATP Transport Draft</w:t>
            </w:r>
          </w:p>
        </w:tc>
        <w:tc>
          <w:tcPr>
            <w:tcW w:w="0" w:type="auto"/>
            <w:hideMark/>
          </w:tcPr>
          <w:p w14:paraId="22BEA8D7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Vendor interop; open-source reference library</w:t>
            </w:r>
          </w:p>
        </w:tc>
      </w:tr>
      <w:tr w:rsidR="00645D27" w:rsidRPr="00645D27" w14:paraId="60BA2B0C" w14:textId="77777777" w:rsidTr="0064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BDBBC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2027</w:t>
            </w:r>
          </w:p>
        </w:tc>
        <w:tc>
          <w:tcPr>
            <w:tcW w:w="0" w:type="auto"/>
            <w:hideMark/>
          </w:tcPr>
          <w:p w14:paraId="7879676D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FinTech Pilot → Mass Transit</w:t>
            </w:r>
          </w:p>
        </w:tc>
        <w:tc>
          <w:tcPr>
            <w:tcW w:w="0" w:type="auto"/>
            <w:hideMark/>
          </w:tcPr>
          <w:p w14:paraId="6481C046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Transit switch OEMs embed SATP in validators</w:t>
            </w:r>
          </w:p>
        </w:tc>
      </w:tr>
      <w:tr w:rsidR="00645D27" w:rsidRPr="00645D27" w14:paraId="509C2A72" w14:textId="77777777" w:rsidTr="0064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26198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2028</w:t>
            </w:r>
          </w:p>
        </w:tc>
        <w:tc>
          <w:tcPr>
            <w:tcW w:w="0" w:type="auto"/>
            <w:hideMark/>
          </w:tcPr>
          <w:p w14:paraId="1936F630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SCADA Retrofit Toolkit</w:t>
            </w:r>
          </w:p>
        </w:tc>
        <w:tc>
          <w:tcPr>
            <w:tcW w:w="0" w:type="auto"/>
            <w:hideMark/>
          </w:tcPr>
          <w:p w14:paraId="6C8F4D7A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PLC vendors release certified firmware modules</w:t>
            </w:r>
          </w:p>
        </w:tc>
      </w:tr>
      <w:tr w:rsidR="00645D27" w:rsidRPr="00645D27" w14:paraId="5BCBE9A6" w14:textId="77777777" w:rsidTr="0064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52B43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2029</w:t>
            </w:r>
          </w:p>
        </w:tc>
        <w:tc>
          <w:tcPr>
            <w:tcW w:w="0" w:type="auto"/>
            <w:hideMark/>
          </w:tcPr>
          <w:p w14:paraId="512966A1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Space-Qualified SATP ASIC</w:t>
            </w:r>
          </w:p>
        </w:tc>
        <w:tc>
          <w:tcPr>
            <w:tcW w:w="0" w:type="auto"/>
            <w:hideMark/>
          </w:tcPr>
          <w:p w14:paraId="3C531EA8" w14:textId="77777777" w:rsidR="00645D27" w:rsidRPr="00645D27" w:rsidRDefault="00645D27" w:rsidP="0064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 nm rad-hard variant for LEO / deep-space</w:t>
            </w:r>
          </w:p>
        </w:tc>
      </w:tr>
      <w:tr w:rsidR="00645D27" w:rsidRPr="00645D27" w14:paraId="747A3CE3" w14:textId="77777777" w:rsidTr="0064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F5E3F" w14:textId="77777777" w:rsidR="00645D27" w:rsidRPr="00645D27" w:rsidRDefault="00645D27" w:rsidP="00645D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2030</w:t>
            </w:r>
          </w:p>
        </w:tc>
        <w:tc>
          <w:tcPr>
            <w:tcW w:w="0" w:type="auto"/>
            <w:hideMark/>
          </w:tcPr>
          <w:p w14:paraId="065F61AB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CBDC Offline Wallet Launch</w:t>
            </w:r>
          </w:p>
        </w:tc>
        <w:tc>
          <w:tcPr>
            <w:tcW w:w="0" w:type="auto"/>
            <w:hideMark/>
          </w:tcPr>
          <w:p w14:paraId="14329B3D" w14:textId="77777777" w:rsidR="00645D27" w:rsidRPr="00645D27" w:rsidRDefault="00645D27" w:rsidP="006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D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National deployments across five central banks</w:t>
            </w:r>
          </w:p>
        </w:tc>
      </w:tr>
    </w:tbl>
    <w:p w14:paraId="107EC67B" w14:textId="77777777" w:rsidR="00645D27" w:rsidRPr="00645D27" w:rsidRDefault="00645D27" w:rsidP="00645D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kern w:val="0"/>
          <w14:ligatures w14:val="none"/>
        </w:rPr>
        <w:pict w14:anchorId="1049D7B0">
          <v:rect id="_x0000_i1033" style="width:0;height:1.5pt" o:hralign="center" o:hrstd="t" o:hr="t" fillcolor="#a0a0a0" stroked="f"/>
        </w:pict>
      </w:r>
    </w:p>
    <w:p w14:paraId="6A911374" w14:textId="77777777" w:rsidR="00645D27" w:rsidRPr="00645D27" w:rsidRDefault="00645D27" w:rsidP="0064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645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Extended Conclusion</w:t>
      </w:r>
    </w:p>
    <w:p w14:paraId="5AA440E0" w14:textId="77777777" w:rsidR="00645D27" w:rsidRPr="00645D27" w:rsidRDefault="00645D27" w:rsidP="006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kern w:val="0"/>
          <w14:ligatures w14:val="none"/>
        </w:rPr>
        <w:t xml:space="preserve">SATP proves that </w:t>
      </w: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 security does not require heavyweight cryptography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. By anchoring its design in the SHA-3 family and a single wide-block stream cipher, SATP sidesteps the operational drag of PKI, the looming threats of quantum cryptanalysis, and the latency ceilings that plague high-frequency and embedded systems. The protocol’s 16-byte identity format, deterministic key-rotation model, and authenticated timestamp/sequence header form a coherent package ready for sectors as varied as FinTech, critical infrastructure, IoT, and space telemetry.</w:t>
      </w:r>
    </w:p>
    <w:p w14:paraId="6A59B541" w14:textId="126BEC25" w:rsidR="00645D27" w:rsidRPr="00645D27" w:rsidRDefault="00645D27" w:rsidP="0064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outcome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: higher transaction throughput, lower battery and silicon budgets, and a straight-line migration path away from vulnerable public-key stacks—without waiting for a quantum-resistant public-key standard to stabili</w:t>
      </w:r>
      <w:r>
        <w:rPr>
          <w:rFonts w:ascii="Times New Roman" w:eastAsia="Times New Roman" w:hAnsi="Times New Roman" w:cs="Times New Roman"/>
          <w:kern w:val="0"/>
          <w14:ligatures w14:val="none"/>
        </w:rPr>
        <w:t>z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e. Organi</w:t>
      </w:r>
      <w:r>
        <w:rPr>
          <w:rFonts w:ascii="Times New Roman" w:eastAsia="Times New Roman" w:hAnsi="Times New Roman" w:cs="Times New Roman"/>
          <w:kern w:val="0"/>
          <w14:ligatures w14:val="none"/>
        </w:rPr>
        <w:t>z</w:t>
      </w:r>
      <w:r w:rsidRPr="00645D27">
        <w:rPr>
          <w:rFonts w:ascii="Times New Roman" w:eastAsia="Times New Roman" w:hAnsi="Times New Roman" w:cs="Times New Roman"/>
          <w:kern w:val="0"/>
          <w14:ligatures w14:val="none"/>
        </w:rPr>
        <w:t>ations adopting SATP in the 2025-2030 window can expect tangible cost savings, measurable performance gains, and the confidence that their encrypted traffic will remain confidential well into the quantum era.</w:t>
      </w:r>
    </w:p>
    <w:p w14:paraId="218EFB03" w14:textId="77777777" w:rsidR="00FF5359" w:rsidRPr="00645D27" w:rsidRDefault="00FF5359">
      <w:pPr>
        <w:rPr>
          <w:rFonts w:ascii="Times New Roman" w:hAnsi="Times New Roman" w:cs="Times New Roman"/>
        </w:rPr>
      </w:pPr>
    </w:p>
    <w:sectPr w:rsidR="00FF5359" w:rsidRPr="0064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6954"/>
    <w:multiLevelType w:val="multilevel"/>
    <w:tmpl w:val="27C2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72D05"/>
    <w:multiLevelType w:val="multilevel"/>
    <w:tmpl w:val="8AB8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A5AEE"/>
    <w:multiLevelType w:val="multilevel"/>
    <w:tmpl w:val="60A4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C192E"/>
    <w:multiLevelType w:val="multilevel"/>
    <w:tmpl w:val="6AA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26FFF"/>
    <w:multiLevelType w:val="multilevel"/>
    <w:tmpl w:val="BBD6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07AA8"/>
    <w:multiLevelType w:val="multilevel"/>
    <w:tmpl w:val="846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A5B9C"/>
    <w:multiLevelType w:val="multilevel"/>
    <w:tmpl w:val="629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06C2E"/>
    <w:multiLevelType w:val="multilevel"/>
    <w:tmpl w:val="B91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E17E4"/>
    <w:multiLevelType w:val="multilevel"/>
    <w:tmpl w:val="8454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93137"/>
    <w:multiLevelType w:val="multilevel"/>
    <w:tmpl w:val="B0F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C5B94"/>
    <w:multiLevelType w:val="multilevel"/>
    <w:tmpl w:val="14C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0642C"/>
    <w:multiLevelType w:val="multilevel"/>
    <w:tmpl w:val="60D2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82A5D"/>
    <w:multiLevelType w:val="multilevel"/>
    <w:tmpl w:val="C2BC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A3CFB"/>
    <w:multiLevelType w:val="multilevel"/>
    <w:tmpl w:val="705E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779215">
    <w:abstractNumId w:val="4"/>
  </w:num>
  <w:num w:numId="2" w16cid:durableId="385837606">
    <w:abstractNumId w:val="0"/>
  </w:num>
  <w:num w:numId="3" w16cid:durableId="86855500">
    <w:abstractNumId w:val="12"/>
  </w:num>
  <w:num w:numId="4" w16cid:durableId="1417820454">
    <w:abstractNumId w:val="9"/>
  </w:num>
  <w:num w:numId="5" w16cid:durableId="157382695">
    <w:abstractNumId w:val="6"/>
  </w:num>
  <w:num w:numId="6" w16cid:durableId="808326774">
    <w:abstractNumId w:val="10"/>
  </w:num>
  <w:num w:numId="7" w16cid:durableId="1561208241">
    <w:abstractNumId w:val="11"/>
  </w:num>
  <w:num w:numId="8" w16cid:durableId="396321341">
    <w:abstractNumId w:val="3"/>
  </w:num>
  <w:num w:numId="9" w16cid:durableId="1093361154">
    <w:abstractNumId w:val="13"/>
  </w:num>
  <w:num w:numId="10" w16cid:durableId="346248882">
    <w:abstractNumId w:val="8"/>
  </w:num>
  <w:num w:numId="11" w16cid:durableId="1387100946">
    <w:abstractNumId w:val="7"/>
  </w:num>
  <w:num w:numId="12" w16cid:durableId="1138885351">
    <w:abstractNumId w:val="5"/>
  </w:num>
  <w:num w:numId="13" w16cid:durableId="513225220">
    <w:abstractNumId w:val="2"/>
  </w:num>
  <w:num w:numId="14" w16cid:durableId="2056661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27"/>
    <w:rsid w:val="002754F7"/>
    <w:rsid w:val="002A0A3E"/>
    <w:rsid w:val="00407936"/>
    <w:rsid w:val="0045590A"/>
    <w:rsid w:val="004648AC"/>
    <w:rsid w:val="00645D27"/>
    <w:rsid w:val="0067561C"/>
    <w:rsid w:val="007D7B64"/>
    <w:rsid w:val="00A77015"/>
    <w:rsid w:val="00B43854"/>
    <w:rsid w:val="00BA77A5"/>
    <w:rsid w:val="00C71C09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393D"/>
  <w15:chartTrackingRefBased/>
  <w15:docId w15:val="{404DBFF7-94E1-47DC-A0A5-8B604B8F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27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645D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U</dc:creator>
  <cp:keywords/>
  <dc:description/>
  <cp:lastModifiedBy>J U</cp:lastModifiedBy>
  <cp:revision>2</cp:revision>
  <dcterms:created xsi:type="dcterms:W3CDTF">2025-07-07T20:06:00Z</dcterms:created>
  <dcterms:modified xsi:type="dcterms:W3CDTF">2025-07-07T20:17:00Z</dcterms:modified>
</cp:coreProperties>
</file>