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附录：常用公式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基本变换公式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</w:rPr>
              <w:t>变换类型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5"/>
                <w:szCs w:val="16"/>
              </w:rPr>
            </w:pPr>
            <w:r>
              <w:rPr>
                <w:rFonts w:hint="eastAsia"/>
                <w:sz w:val="20"/>
                <w:szCs w:val="21"/>
              </w:rPr>
              <w:t>变换公式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FS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1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−j</m:t>
                        </m:r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nary>
              </m:oMath>
            </m:oMathPara>
          </w:p>
          <w:p>
            <w:pPr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x(t)=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n=−∞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X(n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FT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−∞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−jωt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d</m:t>
                    </m:r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</m:oMath>
            </m:oMathPara>
          </w:p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x(t)=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2π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−∞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jωt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dω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  <w:p>
            <w:pPr>
              <w:rPr>
                <w:sz w:val="18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sz w:val="18"/>
                    <w:szCs w:val="18"/>
                  </w:rPr>
                  <m:t>一般周期信号傅里叶变换：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=2π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n=−∞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ω−n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(n)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−j</m:t>
                        </m:r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x(</m:t>
                </m:r>
                <m:r>
                  <m:rPr/>
                  <w:rPr>
                    <w:rFonts w:hint="eastAsia" w:ascii="Cambria Math" w:hAnsi="Cambria Math"/>
                    <w:sz w:val="18"/>
                    <w:szCs w:val="20"/>
                  </w:rPr>
                  <m:t>n</m:t>
                </m:r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j</m:t>
                        </m:r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TFT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n=−∞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(n)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−jΩ</m:t>
                        </m:r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x(</m:t>
                </m:r>
                <m:r>
                  <m:rPr/>
                  <w:rPr>
                    <w:rFonts w:hint="eastAsia" w:ascii="Cambria Math" w:hAnsi="Cambria Math"/>
                    <w:sz w:val="18"/>
                    <w:szCs w:val="20"/>
                  </w:rPr>
                  <m:t>n</m:t>
                </m:r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2π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−π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jΩ</m:t>
                        </m:r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dΩ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FT</w:t>
            </w:r>
          </w:p>
        </w:tc>
        <w:tc>
          <w:tcPr>
            <w:tcW w:w="574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n=0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(n)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−j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2π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nk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x(</m:t>
                </m:r>
                <m:r>
                  <m:rPr/>
                  <w:rPr>
                    <w:rFonts w:hint="eastAsia" w:ascii="Cambria Math" w:hAnsi="Cambria Math"/>
                    <w:sz w:val="18"/>
                    <w:szCs w:val="20"/>
                  </w:rPr>
                  <m:t>n</m:t>
                </m:r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/>
                        <w:sz w:val="18"/>
                        <w:szCs w:val="20"/>
                      </w:rPr>
                      <m:t>k</m:t>
                    </m:r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=0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N−1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2π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20"/>
                          </w:rPr>
                          <m:t>nk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nary>
              </m:oMath>
            </m:oMathPara>
          </w:p>
        </w:tc>
      </w:tr>
    </w:tbl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连续信号傅里叶变换相关性质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对偶性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)⇔2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πx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(−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1965"/>
              </w:tabs>
              <w:jc w:val="center"/>
            </w:pPr>
            <w:r>
              <w:rPr>
                <w:rFonts w:hint="eastAsia"/>
              </w:rPr>
              <w:t>尺度变换</w:t>
            </w:r>
          </w:p>
        </w:tc>
        <w:tc>
          <w:tcPr>
            <w:tcW w:w="5607" w:type="dxa"/>
            <w:vAlign w:val="center"/>
          </w:tcPr>
          <w:p>
            <w:pPr>
              <w:rPr>
                <w:iCs/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at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)⇔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(a</m:t>
                </m:r>
                <m:r>
                  <m:rPr/>
                  <w:rPr>
                    <w:rFonts w:hint="eastAsia" w:ascii="Cambria Math" w:hAnsi="Cambria Math" w:cs="Cambria Math"/>
                    <w:sz w:val="18"/>
                    <w:szCs w:val="18"/>
                  </w:rPr>
                  <m:t>≠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时移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)⇔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±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jw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p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tabs>
                <w:tab w:val="left" w:pos="2655"/>
              </w:tabs>
              <w:jc w:val="center"/>
            </w:pPr>
            <w:r>
              <w:rPr>
                <w:rFonts w:hint="eastAsia"/>
              </w:rPr>
              <w:t>频移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m:oMathPara>
              <m:oMath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e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±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cs="Cambria Math"/>
                            <w:sz w:val="18"/>
                            <w:szCs w:val="20"/>
                          </w:rPr>
                          <m:t>w</m:t>
                        </m: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  <w:i/>
                            <w:sz w:val="18"/>
                            <w:szCs w:val="20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t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⇔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∓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Cambria Math"/>
                        <w:sz w:val="18"/>
                        <w:szCs w:val="20"/>
                      </w:rPr>
                      <m:t>w</m:t>
                    </m: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  <w:i/>
                        <w:sz w:val="18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微分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⇔(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jw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)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n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p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)</m:t>
                </m:r>
              </m:oMath>
            </m:oMathPara>
          </w:p>
          <w:p>
            <w:pPr>
              <w:rPr>
                <w:sz w:val="18"/>
                <w:szCs w:val="20"/>
              </w:rPr>
            </w:pPr>
            <m:oMath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(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1</m:t>
                  </m:r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8"/>
                      <w:szCs w:val="20"/>
                    </w:rPr>
                    <m:t>(</m:t>
                  </m:r>
                  <m:r>
                    <m:rPr/>
                    <w:rPr>
                      <w:rFonts w:ascii="Cambria Math" w:hAnsi="Cambria Math" w:cs="Cambria Math"/>
                      <w:sz w:val="18"/>
                      <w:szCs w:val="20"/>
                    </w:rPr>
                    <m:t>jw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18"/>
                          <w:szCs w:val="20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mbria Math"/>
                          <w:sz w:val="18"/>
                          <w:szCs w:val="2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Cambria Math"/>
                      <w:sz w:val="18"/>
                      <w:szCs w:val="20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sz w:val="18"/>
                      <w:szCs w:val="20"/>
                    </w:rPr>
                    <m:t>X</m:t>
                  </m:r>
                  <m:ctrlPr>
                    <w:rPr>
                      <w:rFonts w:ascii="Cambria Math" w:hAnsi="Cambria Math" w:cs="Cambria Math"/>
                      <w:sz w:val="18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8"/>
                      <w:szCs w:val="20"/>
                    </w:rPr>
                    <m:t>(</m:t>
                  </m:r>
                  <m:r>
                    <m:rPr/>
                    <w:rPr>
                      <w:rFonts w:ascii="Cambria Math" w:hAnsi="Cambria Math" w:cs="Cambria Math"/>
                      <w:sz w:val="18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18"/>
                      <w:szCs w:val="20"/>
                    </w:rPr>
                    <m:t>)</m:t>
                  </m:r>
                  <m:ctrlPr>
                    <w:rPr>
                      <w:rFonts w:ascii="Cambria Math" w:hAnsi="Cambria Math" w:cs="Cambria Math"/>
                      <w:sz w:val="18"/>
                      <w:szCs w:val="2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(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)+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[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(+∞)+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(−∞)]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(</m:t>
              </m:r>
              <m:r>
                <m:rPr/>
                <w:rPr>
                  <w:rFonts w:ascii="Cambria Math" w:hAnsi="Cambria Math" w:cs="Cambria Math"/>
                  <w:sz w:val="18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18"/>
                  <w:szCs w:val="20"/>
                </w:rPr>
                <m:t>)</m:t>
              </m:r>
            </m:oMath>
            <w:r>
              <w:rPr>
                <w:rFonts w:hint="eastAsia"/>
                <w:sz w:val="18"/>
                <w:szCs w:val="20"/>
              </w:rPr>
              <w:t xml:space="preserve"> （含有直流分量）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∫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−∞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t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up>
                </m:sSubSup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)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dτ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jw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)+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πX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(0)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(</m:t>
                </m:r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帕斯瓦尔公式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∫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−∞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∞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|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(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)|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p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d</m:t>
                </m:r>
                <m:r>
                  <m:rPr/>
                  <w:rPr>
                    <w:rFonts w:hint="eastAsia" w:ascii="Cambria Math" w:hAnsi="Cambria Math" w:cs="Cambria Math"/>
                    <w:sz w:val="18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1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2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π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∫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−∞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∞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|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(</m:t>
                    </m:r>
                    <m:r>
                      <m:rPr/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)|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20"/>
                      </w:rPr>
                      <m:t>2</m:t>
                    </m: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up>
                </m:sSup>
                <m:r>
                  <m:rPr/>
                  <w:rPr>
                    <w:rFonts w:ascii="Cambria Math" w:hAnsi="Cambria Math" w:cs="Cambria Math"/>
                    <w:sz w:val="18"/>
                    <w:szCs w:val="20"/>
                  </w:rPr>
                  <m:t>dw</m:t>
                </m:r>
              </m:oMath>
            </m:oMathPara>
          </w:p>
        </w:tc>
      </w:tr>
    </w:tbl>
    <w:p/>
    <w:p>
      <w:pPr>
        <w:jc w:val="center"/>
        <w:rPr>
          <w:b/>
          <w:bCs/>
        </w:rPr>
      </w:pPr>
      <w:r>
        <w:rPr>
          <w:rFonts w:hint="eastAsia"/>
          <w:b/>
          <w:bCs/>
          <w:i/>
          <w:iCs/>
        </w:rPr>
        <w:t>Z</w:t>
      </w:r>
      <w:r>
        <w:rPr>
          <w:rFonts w:hint="eastAsia"/>
          <w:b/>
          <w:bCs/>
        </w:rPr>
        <w:t>变换相关性质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时移（单边</w:t>
            </w:r>
            <w:r>
              <w:rPr>
                <w:rFonts w:hint="eastAsia"/>
                <w:i/>
                <w:iCs/>
              </w:rPr>
              <w:t>Z</w:t>
            </w:r>
            <w:r>
              <w:rPr>
                <w:rFonts w:hint="eastAsia"/>
              </w:rPr>
              <w:t>变换）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左移：</w:t>
            </w:r>
          </w:p>
          <w:p>
            <w:pPr>
              <w:jc w:val="center"/>
              <w:rPr>
                <w:sz w:val="18"/>
                <w:szCs w:val="20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20"/>
                  </w:rPr>
                  <m:t>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n+m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−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k=0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m−1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−k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</m:oMath>
            </m:oMathPara>
          </w:p>
          <w:p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右</w:t>
            </w:r>
            <w:r>
              <w:rPr>
                <w:rFonts w:hint="eastAsia"/>
                <w:sz w:val="18"/>
                <w:szCs w:val="20"/>
              </w:rPr>
              <w:t>移：</w:t>
            </w:r>
          </w:p>
          <w:p>
            <w:pPr>
              <w:jc w:val="center"/>
              <w:rPr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8"/>
                    <w:szCs w:val="20"/>
                  </w:rPr>
                  <m:t>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n−m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−m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18"/>
                        <w:szCs w:val="20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naryPr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k=−m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−k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i/>
                <w:iCs/>
              </w:rPr>
              <w:t>Z</w:t>
            </w:r>
            <w:r>
              <w:rPr>
                <w:rFonts w:hint="eastAsia"/>
              </w:rPr>
              <w:t>域尺度变换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⇔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/>
                            <w:sz w:val="18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i/>
                <w:iCs/>
              </w:rPr>
              <w:t>Z</w:t>
            </w:r>
            <w:r>
              <w:rPr>
                <w:rFonts w:hint="eastAsia"/>
              </w:rPr>
              <w:t>域微分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nx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⇔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−z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dz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时间翻转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−n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累加</w:t>
            </w:r>
          </w:p>
        </w:tc>
        <w:tc>
          <w:tcPr>
            <w:tcW w:w="5607" w:type="dxa"/>
            <w:vAlign w:val="center"/>
          </w:tcPr>
          <w:p>
            <w:pPr>
              <w:rPr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k=−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18"/>
                        <w:szCs w:val="18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nary>
                <m:r>
                  <m:rPr/>
                  <w:rPr>
                    <w:rFonts w:ascii="Cambria Math" w:hAnsi="Cambria Math" w:cs="Cambria Math"/>
                    <w:sz w:val="18"/>
                    <w:szCs w:val="18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初值定理</w:t>
            </w:r>
          </w:p>
        </w:tc>
        <w:tc>
          <w:tcPr>
            <w:tcW w:w="5607" w:type="dxa"/>
            <w:vAlign w:val="center"/>
          </w:tcPr>
          <w:p>
            <w:pPr>
              <w:ind w:left="360"/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</w:rPr>
                          <m:t>→∞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t>终值定理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</w:rPr>
                          <m:t>→∞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lim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18"/>
                            <w:szCs w:val="18"/>
                          </w:rPr>
                          <m:t>→</m:t>
                        </m:r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lim>
                    </m:limLow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func>
              </m:oMath>
            </m:oMathPara>
          </w:p>
        </w:tc>
      </w:tr>
    </w:tbl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常用序列变换对</w:t>
      </w:r>
    </w:p>
    <w:tbl>
      <w:tblPr>
        <w:tblStyle w:val="7"/>
        <w:tblW w:w="8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321"/>
        <w:gridCol w:w="1322"/>
        <w:gridCol w:w="1398"/>
        <w:gridCol w:w="1843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9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4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傅里叶变换</w:t>
            </w:r>
          </w:p>
        </w:tc>
        <w:tc>
          <w:tcPr>
            <w:tcW w:w="5286" w:type="dxa"/>
            <w:gridSpan w:val="3"/>
            <w:vAlign w:val="center"/>
          </w:tcPr>
          <w:p>
            <w:pPr>
              <w:jc w:val="center"/>
            </w:pPr>
            <w:r>
              <w:rPr>
                <w:i/>
                <w:iCs/>
              </w:rPr>
              <w:t>Z</w:t>
            </w:r>
            <w:r>
              <w:rPr>
                <w:rFonts w:hint="eastAsia"/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9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18"/>
                        <w:szCs w:val="18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sz w:val="18"/>
                    <w:szCs w:val="18"/>
                  </w:rPr>
                  <m:t>R</m:t>
                </m:r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OC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δ(t)</m:t>
                </m:r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vertAlign w:val="subscript"/>
                <w:oMath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2πδ(ω)</m:t>
                </m:r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vertAlign w:val="subscript"/>
                <w:oMath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z−1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u(t)</m:t>
                </m:r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πδ(ω)+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jω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vertAlign w:val="subscript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  <w:vertAlign w:val="subscript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vertAlign w:val="subscript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z−a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g(t)=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1,|t|&lt;τ/2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0,|t|&gt;τ/2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τSa(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ωτ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n+2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⋯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n+m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m!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>
            <w:pPr>
              <w:jc w:val="center"/>
              <w:rPr>
                <w:rFonts w:ascii="Cambria Math" w:hAnsi="Cambria Math"/>
                <w:sz w:val="18"/>
                <w:szCs w:val="18"/>
                <w:vertAlign w:val="subscript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m+1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m+1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Sa(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t)</m:t>
                </m:r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g(ω),g(ω)=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1,|ω|&lt;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0,|ω|&gt;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az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z−a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</m:sSup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2πδ(ω−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−2z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</m:func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4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−at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jω+a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d>
              </m:oMath>
            </m:oMathPara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z−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−2z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>
                    </m:func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18"/>
                    <w:szCs w:val="18"/>
                  </w:rPr>
                  <m:t>1&lt;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≤∞</m:t>
                </m:r>
              </m:oMath>
            </m:oMathPara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A3"/>
    <w:rsid w:val="00027C94"/>
    <w:rsid w:val="000B7C55"/>
    <w:rsid w:val="000C5D81"/>
    <w:rsid w:val="000D2393"/>
    <w:rsid w:val="00102CD0"/>
    <w:rsid w:val="00151E1C"/>
    <w:rsid w:val="001D1702"/>
    <w:rsid w:val="002C536D"/>
    <w:rsid w:val="00335B20"/>
    <w:rsid w:val="003433F1"/>
    <w:rsid w:val="00366361"/>
    <w:rsid w:val="00396EF5"/>
    <w:rsid w:val="003C0F0C"/>
    <w:rsid w:val="00467DE1"/>
    <w:rsid w:val="00484079"/>
    <w:rsid w:val="004B010B"/>
    <w:rsid w:val="004E7341"/>
    <w:rsid w:val="00532521"/>
    <w:rsid w:val="005900A3"/>
    <w:rsid w:val="005E2D88"/>
    <w:rsid w:val="00667D3E"/>
    <w:rsid w:val="006712AC"/>
    <w:rsid w:val="0072290B"/>
    <w:rsid w:val="0073391D"/>
    <w:rsid w:val="00745212"/>
    <w:rsid w:val="0075078F"/>
    <w:rsid w:val="00795422"/>
    <w:rsid w:val="00816893"/>
    <w:rsid w:val="008A3462"/>
    <w:rsid w:val="008D0336"/>
    <w:rsid w:val="0093048F"/>
    <w:rsid w:val="009962E5"/>
    <w:rsid w:val="009A1E69"/>
    <w:rsid w:val="009B4B64"/>
    <w:rsid w:val="009F53B1"/>
    <w:rsid w:val="00A34984"/>
    <w:rsid w:val="00A5000C"/>
    <w:rsid w:val="00A6147D"/>
    <w:rsid w:val="00A61832"/>
    <w:rsid w:val="00A7667D"/>
    <w:rsid w:val="00AC1CA8"/>
    <w:rsid w:val="00B12C91"/>
    <w:rsid w:val="00B92540"/>
    <w:rsid w:val="00CB1C0D"/>
    <w:rsid w:val="00CF3083"/>
    <w:rsid w:val="00CF7701"/>
    <w:rsid w:val="00D35E48"/>
    <w:rsid w:val="00D44AD7"/>
    <w:rsid w:val="00D73CF2"/>
    <w:rsid w:val="00D93E42"/>
    <w:rsid w:val="00E07583"/>
    <w:rsid w:val="00E34706"/>
    <w:rsid w:val="00E65AAF"/>
    <w:rsid w:val="2DBF7370"/>
    <w:rsid w:val="EDFCE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3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styleId="12">
    <w:name w:val="Placeholder Text"/>
    <w:basedOn w:val="8"/>
    <w:semiHidden/>
    <w:uiPriority w:val="99"/>
    <w:rPr>
      <w:color w:val="808080"/>
    </w:r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315</Words>
  <Characters>1801</Characters>
  <Lines>15</Lines>
  <Paragraphs>4</Paragraphs>
  <TotalTime>0</TotalTime>
  <ScaleCrop>false</ScaleCrop>
  <LinksUpToDate>false</LinksUpToDate>
  <CharactersWithSpaces>2112</CharactersWithSpaces>
  <Application>WPS Office WWO_dingtalk_20221031101348-1857be321c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2023-06-12T15:54:00Z</dcterms:created>
  <dc:creator>Guo Jacky</dc:creator>
  <cp:lastModifiedBy>Administrator</cp:lastModifiedBy>
  <dcterms:modified xsi:type="dcterms:W3CDTF">2023-06-17T14:41:16Z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TemplateTypoMode" linkTarget="0">
    <vt:lpwstr>web</vt:lpwstr>
  </property>
  <property fmtid="{D5CDD505-2E9C-101B-9397-08002B2CF9AE}" pid="3" name="woTemplate" linkTarget="0">
    <vt:i4>1</vt:i4>
  </property>
  <property fmtid="{D5CDD505-2E9C-101B-9397-08002B2CF9AE}" pid="4" name="KSOProductBuildVer">
    <vt:lpwstr>2052-0.0.0.0</vt:lpwstr>
  </property>
</Properties>
</file>