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pPr>
      <w:r>
        <w:rPr>
          <w:rFonts w:ascii="Calibri" w:hAnsi="Calibri"/>
          <w:b/>
          <w:i w:val="0"/>
          <w:color w:val="5C685F"/>
          <w:sz w:val="24"/>
        </w:rPr>
        <w:t>QSentia</w:t>
      </w:r>
    </w:p>
    <w:p>
      <w:pPr>
        <w:spacing w:before="280" w:after="80" w:line="264" w:lineRule="auto"/>
      </w:pPr>
      <w:r>
        <w:rPr>
          <w:rFonts w:ascii="Calibri" w:hAnsi="Calibri"/>
          <w:b/>
          <w:color w:val="000000"/>
          <w:sz w:val="50"/>
        </w:rPr>
        <w:t>Website Technical Report</w:t>
      </w:r>
    </w:p>
    <w:p>
      <w:pPr>
        <w:spacing w:before="0" w:after="320" w:line="264" w:lineRule="auto"/>
      </w:pPr>
      <w:r>
        <w:rPr>
          <w:rFonts w:ascii="Calibri" w:hAnsi="Calibri"/>
          <w:color w:val="5C685F"/>
          <w:sz w:val="27"/>
        </w:rPr>
        <w:t>Implementation wiring, API data flow, page inventory, loading-state behavior, and IEEE-aligned standards mapping</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800"/>
        <w:gridCol w:w="7560"/>
      </w:tblGrid>
      <w:tr>
        <w:trPr>
          <w:tblHeader w:val="true"/>
        </w:trPr>
        <w:tc>
          <w:tcPr>
            <w:tcW w:type="dxa" w:w="18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20"/>
              </w:rPr>
              <w:t>Field</w:t>
            </w:r>
          </w:p>
        </w:tc>
        <w:tc>
          <w:tcPr>
            <w:tcW w:type="dxa" w:w="75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20"/>
              </w:rPr>
              <w:t>Value</w:t>
            </w:r>
          </w:p>
        </w:tc>
      </w:tr>
      <w:tr>
        <w:tc>
          <w:tcPr>
            <w:tcW w:type="dxa" w:w="1800"/>
            <w:vAlign w:val="center"/>
          </w:tcPr>
          <w:p>
            <w:pPr>
              <w:spacing w:before="0" w:after="0" w:line="252" w:lineRule="auto"/>
            </w:pPr>
            <w:r/>
            <w:r>
              <w:rPr>
                <w:rFonts w:ascii="Calibri" w:hAnsi="Calibri"/>
                <w:b w:val="0"/>
                <w:color w:val="000000"/>
                <w:sz w:val="20"/>
              </w:rPr>
              <w:t>Project</w:t>
            </w:r>
          </w:p>
        </w:tc>
        <w:tc>
          <w:tcPr>
            <w:tcW w:type="dxa" w:w="7560"/>
            <w:vAlign w:val="center"/>
          </w:tcPr>
          <w:p>
            <w:pPr>
              <w:spacing w:before="0" w:after="0" w:line="252" w:lineRule="auto"/>
            </w:pPr>
            <w:r/>
            <w:r>
              <w:rPr>
                <w:rFonts w:ascii="Calibri" w:hAnsi="Calibri"/>
                <w:b w:val="0"/>
                <w:color w:val="000000"/>
                <w:sz w:val="20"/>
              </w:rPr>
              <w:t>QSentia Investor Intelligence Platform</w:t>
            </w:r>
          </w:p>
        </w:tc>
      </w:tr>
      <w:tr>
        <w:tc>
          <w:tcPr>
            <w:tcW w:type="dxa" w:w="1800"/>
            <w:vAlign w:val="center"/>
          </w:tcPr>
          <w:p>
            <w:pPr>
              <w:spacing w:before="0" w:after="0" w:line="252" w:lineRule="auto"/>
            </w:pPr>
            <w:r/>
            <w:r>
              <w:rPr>
                <w:rFonts w:ascii="Calibri" w:hAnsi="Calibri"/>
                <w:b w:val="0"/>
                <w:color w:val="000000"/>
                <w:sz w:val="20"/>
              </w:rPr>
              <w:t>Repository</w:t>
            </w:r>
          </w:p>
        </w:tc>
        <w:tc>
          <w:tcPr>
            <w:tcW w:type="dxa" w:w="7560"/>
            <w:vAlign w:val="center"/>
          </w:tcPr>
          <w:p>
            <w:pPr>
              <w:spacing w:before="0" w:after="0" w:line="252" w:lineRule="auto"/>
            </w:pPr>
            <w:r/>
            <w:r>
              <w:rPr>
                <w:rFonts w:ascii="Calibri" w:hAnsi="Calibri"/>
                <w:b w:val="0"/>
                <w:color w:val="000000"/>
                <w:sz w:val="20"/>
              </w:rPr>
              <w:t>FinTechEntrepreneurldz/qsentia-investor-site</w:t>
            </w:r>
          </w:p>
        </w:tc>
      </w:tr>
      <w:tr>
        <w:tc>
          <w:tcPr>
            <w:tcW w:type="dxa" w:w="1800"/>
            <w:vAlign w:val="center"/>
          </w:tcPr>
          <w:p>
            <w:pPr>
              <w:spacing w:before="0" w:after="0" w:line="252" w:lineRule="auto"/>
            </w:pPr>
            <w:r/>
            <w:r>
              <w:rPr>
                <w:rFonts w:ascii="Calibri" w:hAnsi="Calibri"/>
                <w:b w:val="0"/>
                <w:color w:val="000000"/>
                <w:sz w:val="20"/>
              </w:rPr>
              <w:t>Framework</w:t>
            </w:r>
          </w:p>
        </w:tc>
        <w:tc>
          <w:tcPr>
            <w:tcW w:type="dxa" w:w="7560"/>
            <w:vAlign w:val="center"/>
          </w:tcPr>
          <w:p>
            <w:pPr>
              <w:spacing w:before="0" w:after="0" w:line="252" w:lineRule="auto"/>
            </w:pPr>
            <w:r/>
            <w:r>
              <w:rPr>
                <w:rFonts w:ascii="Calibri" w:hAnsi="Calibri"/>
                <w:b w:val="0"/>
                <w:color w:val="000000"/>
                <w:sz w:val="20"/>
              </w:rPr>
              <w:t>Next.js 16.2.4, React 19.2.4, TypeScript 5, Tailwind CSS 4</w:t>
            </w:r>
          </w:p>
        </w:tc>
      </w:tr>
      <w:tr>
        <w:tc>
          <w:tcPr>
            <w:tcW w:type="dxa" w:w="1800"/>
            <w:vAlign w:val="center"/>
          </w:tcPr>
          <w:p>
            <w:pPr>
              <w:spacing w:before="0" w:after="0" w:line="252" w:lineRule="auto"/>
            </w:pPr>
            <w:r/>
            <w:r>
              <w:rPr>
                <w:rFonts w:ascii="Calibri" w:hAnsi="Calibri"/>
                <w:b w:val="0"/>
                <w:color w:val="000000"/>
                <w:sz w:val="20"/>
              </w:rPr>
              <w:t>Prepared</w:t>
            </w:r>
          </w:p>
        </w:tc>
        <w:tc>
          <w:tcPr>
            <w:tcW w:type="dxa" w:w="7560"/>
            <w:vAlign w:val="center"/>
          </w:tcPr>
          <w:p>
            <w:pPr>
              <w:spacing w:before="0" w:after="0" w:line="252" w:lineRule="auto"/>
            </w:pPr>
            <w:r/>
            <w:r>
              <w:rPr>
                <w:rFonts w:ascii="Calibri" w:hAnsi="Calibri"/>
                <w:b w:val="0"/>
                <w:color w:val="000000"/>
                <w:sz w:val="20"/>
              </w:rPr>
              <w:t>June 4, 2026</w:t>
            </w:r>
          </w:p>
        </w:tc>
      </w:tr>
      <w:tr>
        <w:tc>
          <w:tcPr>
            <w:tcW w:type="dxa" w:w="1800"/>
            <w:vAlign w:val="center"/>
          </w:tcPr>
          <w:p>
            <w:pPr>
              <w:spacing w:before="0" w:after="0" w:line="252" w:lineRule="auto"/>
            </w:pPr>
            <w:r/>
            <w:r>
              <w:rPr>
                <w:rFonts w:ascii="Calibri" w:hAnsi="Calibri"/>
                <w:b w:val="0"/>
                <w:color w:val="000000"/>
                <w:sz w:val="20"/>
              </w:rPr>
              <w:t>Status</w:t>
            </w:r>
          </w:p>
        </w:tc>
        <w:tc>
          <w:tcPr>
            <w:tcW w:type="dxa" w:w="7560"/>
            <w:vAlign w:val="center"/>
          </w:tcPr>
          <w:p>
            <w:pPr>
              <w:spacing w:before="0" w:after="0" w:line="252" w:lineRule="auto"/>
            </w:pPr>
            <w:r/>
            <w:r>
              <w:rPr>
                <w:rFonts w:ascii="Calibri" w:hAnsi="Calibri"/>
                <w:b w:val="0"/>
                <w:color w:val="000000"/>
                <w:sz w:val="20"/>
              </w:rPr>
              <w:t>Implementation report based on current local workspace and live localhost API responses</w:t>
            </w:r>
          </w:p>
        </w:tc>
      </w:tr>
    </w:tbl>
    <w:p>
      <w:pPr>
        <w:spacing w:before="0" w:after="40" w:line="264" w:lineRule="auto"/>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Pr>
      <w:tblGrid>
        <w:gridCol w:w="9360"/>
      </w:tblGrid>
      <w:tr>
        <w:trPr>
          <w:tblHeader w:val="true"/>
        </w:trPr>
        <w:tc>
          <w:tcPr>
            <w:tcW w:type="dxa" w:w="9360"/>
            <w:tcMar>
              <w:top w:w="80" w:type="dxa"/>
              <w:bottom w:w="80" w:type="dxa"/>
              <w:start w:w="120" w:type="dxa"/>
              <w:end w:w="120" w:type="dxa"/>
            </w:tcMar>
            <w:shd w:fill="EEF2FF"/>
          </w:tcPr>
          <w:p>
            <w:pPr>
              <w:spacing w:before="0" w:after="60" w:line="264" w:lineRule="auto"/>
            </w:pPr>
            <w:r>
              <w:rPr>
                <w:rFonts w:ascii="Calibri" w:hAnsi="Calibri"/>
                <w:b/>
                <w:color w:val="172554"/>
                <w:sz w:val="22"/>
              </w:rPr>
              <w:t>Scope note</w:t>
            </w:r>
          </w:p>
          <w:p>
            <w:pPr>
              <w:spacing w:before="0" w:after="0" w:line="264" w:lineRule="auto"/>
            </w:pPr>
            <w:r>
              <w:rPr>
                <w:rFonts w:ascii="Calibri" w:hAnsi="Calibri"/>
                <w:color w:val="000000"/>
                <w:sz w:val="21"/>
              </w:rPr>
              <w:t>This report documents the website as implemented in the current workspace. The IEEE section maps the implementation to relevant IEEE and ISO/IEC/IEEE software engineering standards; it does not assert formal third-party certification.</w:t>
            </w:r>
          </w:p>
        </w:tc>
      </w:tr>
    </w:tbl>
    <w:p>
      <w:pPr>
        <w:spacing w:before="0" w:after="40" w:line="264" w:lineRule="auto"/>
      </w:pPr>
      <w:r>
        <w:rPr>
          <w:rFonts w:ascii="Calibri" w:hAnsi="Calibri"/>
          <w:b w:val="0"/>
          <w:i w:val="0"/>
          <w:color w:val="000000"/>
          <w:sz w:val="22"/>
        </w:rPr>
      </w:r>
    </w:p>
    <w:p>
      <w:r>
        <w:br w:type="page"/>
      </w:r>
    </w:p>
    <w:p>
      <w:pPr>
        <w:pStyle w:val="Heading1"/>
        <w:spacing w:before="320" w:after="160" w:line="264" w:lineRule="auto"/>
      </w:pPr>
      <w:r>
        <w:rPr>
          <w:rFonts w:ascii="Calibri" w:hAnsi="Calibri"/>
          <w:b/>
          <w:color w:val="2E74B5"/>
          <w:sz w:val="32"/>
        </w:rPr>
        <w:t>1. Executive Summary</w:t>
      </w:r>
    </w:p>
    <w:p>
      <w:pPr>
        <w:spacing w:before="0" w:after="120" w:line="264" w:lineRule="auto"/>
      </w:pPr>
      <w:r>
        <w:rPr>
          <w:rFonts w:ascii="Calibri" w:hAnsi="Calibri"/>
          <w:b w:val="0"/>
          <w:i w:val="0"/>
          <w:color w:val="000000"/>
          <w:sz w:val="22"/>
        </w:rPr>
        <w:t>The QSentia investor website is implemented as a Next.js application that presents live model telemetry, research views, marketplace model profiles, MLEQ engine context, account access, legal pages, and an embedded assistant named Alex. The build was moved away from dummy or placeholder-looking data toward API-backed telemetry sourced from the application API layer and, for local development, upstream QSentia dashboard data.</w:t>
      </w:r>
    </w:p>
    <w:p>
      <w:pPr>
        <w:spacing w:before="0" w:after="120" w:line="264" w:lineRule="auto"/>
      </w:pPr>
      <w:r>
        <w:rPr>
          <w:rFonts w:ascii="Calibri" w:hAnsi="Calibri"/>
          <w:b w:val="0"/>
          <w:i w:val="0"/>
          <w:color w:val="000000"/>
          <w:sz w:val="22"/>
        </w:rPr>
        <w:t>The main implementation objective was professionalizing the experience: replacing generic AI-looking copy and dummy cards, wiring pages to the API folder, adding professional loading buffers while slow telemetry resolves, explaining model equity indices in plain investor language, and aligning page content with mission, risk, and alpha narratives.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800"/>
        <w:gridCol w:w="5200"/>
        <w:gridCol w:w="2360"/>
      </w:tblGrid>
      <w:tr>
        <w:trPr>
          <w:tblHeader w:val="true"/>
        </w:trPr>
        <w:tc>
          <w:tcPr>
            <w:tcW w:type="dxa" w:w="18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Area</w:t>
            </w:r>
          </w:p>
        </w:tc>
        <w:tc>
          <w:tcPr>
            <w:tcW w:type="dxa" w:w="52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Current implementation evidence</w:t>
            </w:r>
          </w:p>
        </w:tc>
        <w:tc>
          <w:tcPr>
            <w:tcW w:type="dxa" w:w="23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Result</w:t>
            </w:r>
          </w:p>
        </w:tc>
      </w:tr>
      <w:tr>
        <w:tc>
          <w:tcPr>
            <w:tcW w:type="dxa" w:w="1800"/>
            <w:vAlign w:val="center"/>
          </w:tcPr>
          <w:p>
            <w:pPr>
              <w:spacing w:before="0" w:after="0" w:line="252" w:lineRule="auto"/>
            </w:pPr>
            <w:r/>
            <w:r>
              <w:rPr>
                <w:rFonts w:ascii="Calibri" w:hAnsi="Calibri"/>
                <w:b w:val="0"/>
                <w:color w:val="000000"/>
                <w:sz w:val="18"/>
              </w:rPr>
              <w:t>Live telemetry</w:t>
            </w:r>
          </w:p>
        </w:tc>
        <w:tc>
          <w:tcPr>
            <w:tcW w:type="dxa" w:w="5200"/>
            <w:vAlign w:val="center"/>
          </w:tcPr>
          <w:p>
            <w:pPr>
              <w:spacing w:before="0" w:after="0" w:line="252" w:lineRule="auto"/>
            </w:pPr>
            <w:r/>
            <w:r>
              <w:rPr>
                <w:rFonts w:ascii="Calibri" w:hAnsi="Calibri"/>
                <w:b w:val="0"/>
                <w:color w:val="000000"/>
                <w:sz w:val="18"/>
              </w:rPr>
              <w:t>/api/dashboard reports 10 registry models, 10 comparison rows, 5 benchmarks, 6 selected equity-curve points, 6 decisions, and 3 submitted orders.</w:t>
            </w:r>
          </w:p>
        </w:tc>
        <w:tc>
          <w:tcPr>
            <w:tcW w:type="dxa" w:w="2360"/>
            <w:vAlign w:val="center"/>
          </w:tcPr>
          <w:p>
            <w:pPr>
              <w:spacing w:before="0" w:after="0" w:line="252" w:lineRule="auto"/>
            </w:pPr>
            <w:r/>
            <w:r>
              <w:rPr>
                <w:rFonts w:ascii="Calibri" w:hAnsi="Calibri"/>
                <w:b w:val="0"/>
                <w:color w:val="000000"/>
                <w:sz w:val="18"/>
              </w:rPr>
              <w:t>Pages consume source-backed values instead of mock data.</w:t>
            </w:r>
          </w:p>
        </w:tc>
      </w:tr>
      <w:tr>
        <w:tc>
          <w:tcPr>
            <w:tcW w:type="dxa" w:w="1800"/>
            <w:vAlign w:val="center"/>
          </w:tcPr>
          <w:p>
            <w:pPr>
              <w:spacing w:before="0" w:after="0" w:line="252" w:lineRule="auto"/>
            </w:pPr>
            <w:r/>
            <w:r>
              <w:rPr>
                <w:rFonts w:ascii="Calibri" w:hAnsi="Calibri"/>
                <w:b w:val="0"/>
                <w:color w:val="000000"/>
                <w:sz w:val="18"/>
              </w:rPr>
              <w:t>API marketplace</w:t>
            </w:r>
          </w:p>
        </w:tc>
        <w:tc>
          <w:tcPr>
            <w:tcW w:type="dxa" w:w="5200"/>
            <w:vAlign w:val="center"/>
          </w:tcPr>
          <w:p>
            <w:pPr>
              <w:spacing w:before="0" w:after="0" w:line="252" w:lineRule="auto"/>
            </w:pPr>
            <w:r/>
            <w:r>
              <w:rPr>
                <w:rFonts w:ascii="Calibri" w:hAnsi="Calibri"/>
                <w:b w:val="0"/>
                <w:color w:val="000000"/>
                <w:sz w:val="18"/>
              </w:rPr>
              <w:t>/api/models maps dashboard modelComparison data into marketplace cards; detail pages use /api/models/{slug}.</w:t>
            </w:r>
          </w:p>
        </w:tc>
        <w:tc>
          <w:tcPr>
            <w:tcW w:type="dxa" w:w="2360"/>
            <w:vAlign w:val="center"/>
          </w:tcPr>
          <w:p>
            <w:pPr>
              <w:spacing w:before="0" w:after="0" w:line="252" w:lineRule="auto"/>
            </w:pPr>
            <w:r/>
            <w:r>
              <w:rPr>
                <w:rFonts w:ascii="Calibri" w:hAnsi="Calibri"/>
                <w:b w:val="0"/>
                <w:color w:val="000000"/>
                <w:sz w:val="18"/>
              </w:rPr>
              <w:t>Model cards and profiles remain connected to dashboard telemetry.</w:t>
            </w:r>
          </w:p>
        </w:tc>
      </w:tr>
      <w:tr>
        <w:tc>
          <w:tcPr>
            <w:tcW w:type="dxa" w:w="1800"/>
            <w:vAlign w:val="center"/>
          </w:tcPr>
          <w:p>
            <w:pPr>
              <w:spacing w:before="0" w:after="0" w:line="252" w:lineRule="auto"/>
            </w:pPr>
            <w:r/>
            <w:r>
              <w:rPr>
                <w:rFonts w:ascii="Calibri" w:hAnsi="Calibri"/>
                <w:b w:val="0"/>
                <w:color w:val="000000"/>
                <w:sz w:val="18"/>
              </w:rPr>
              <w:t>Research terminal</w:t>
            </w:r>
          </w:p>
        </w:tc>
        <w:tc>
          <w:tcPr>
            <w:tcW w:type="dxa" w:w="5200"/>
            <w:vAlign w:val="center"/>
          </w:tcPr>
          <w:p>
            <w:pPr>
              <w:spacing w:before="0" w:after="0" w:line="252" w:lineRule="auto"/>
            </w:pPr>
            <w:r/>
            <w:r>
              <w:rPr>
                <w:rFonts w:ascii="Calibri" w:hAnsi="Calibri"/>
                <w:b w:val="0"/>
                <w:color w:val="000000"/>
                <w:sz w:val="18"/>
              </w:rPr>
              <w:t>ResearchTerminal consumes /api/dashboard, fetches per-model detail curves when needed, and renders tickers, filters, tabs, and normalized charts.</w:t>
            </w:r>
          </w:p>
        </w:tc>
        <w:tc>
          <w:tcPr>
            <w:tcW w:type="dxa" w:w="2360"/>
            <w:vAlign w:val="center"/>
          </w:tcPr>
          <w:p>
            <w:pPr>
              <w:spacing w:before="0" w:after="0" w:line="252" w:lineRule="auto"/>
            </w:pPr>
            <w:r/>
            <w:r>
              <w:rPr>
                <w:rFonts w:ascii="Calibri" w:hAnsi="Calibri"/>
                <w:b w:val="0"/>
                <w:color w:val="000000"/>
                <w:sz w:val="18"/>
              </w:rPr>
              <w:t>Live research view supports model and benchmark comparison.</w:t>
            </w:r>
          </w:p>
        </w:tc>
      </w:tr>
      <w:tr>
        <w:tc>
          <w:tcPr>
            <w:tcW w:type="dxa" w:w="1800"/>
            <w:vAlign w:val="center"/>
          </w:tcPr>
          <w:p>
            <w:pPr>
              <w:spacing w:before="0" w:after="0" w:line="252" w:lineRule="auto"/>
            </w:pPr>
            <w:r/>
            <w:r>
              <w:rPr>
                <w:rFonts w:ascii="Calibri" w:hAnsi="Calibri"/>
                <w:b w:val="0"/>
                <w:color w:val="000000"/>
                <w:sz w:val="18"/>
              </w:rPr>
              <w:t>Loading buffers</w:t>
            </w:r>
          </w:p>
        </w:tc>
        <w:tc>
          <w:tcPr>
            <w:tcW w:type="dxa" w:w="5200"/>
            <w:vAlign w:val="center"/>
          </w:tcPr>
          <w:p>
            <w:pPr>
              <w:spacing w:before="0" w:after="0" w:line="252" w:lineRule="auto"/>
            </w:pPr>
            <w:r/>
            <w:r>
              <w:rPr>
                <w:rFonts w:ascii="Calibri" w:hAnsi="Calibri"/>
                <w:b w:val="0"/>
                <w:color w:val="000000"/>
                <w:sz w:val="18"/>
              </w:rPr>
              <w:t>ApiLoadingPanel is shared across dashboard, research, marketplace, model detail, and MLEQ.</w:t>
            </w:r>
          </w:p>
        </w:tc>
        <w:tc>
          <w:tcPr>
            <w:tcW w:type="dxa" w:w="2360"/>
            <w:vAlign w:val="center"/>
          </w:tcPr>
          <w:p>
            <w:pPr>
              <w:spacing w:before="0" w:after="0" w:line="252" w:lineRule="auto"/>
            </w:pPr>
            <w:r/>
            <w:r>
              <w:rPr>
                <w:rFonts w:ascii="Calibri" w:hAnsi="Calibri"/>
                <w:b w:val="0"/>
                <w:color w:val="000000"/>
                <w:sz w:val="18"/>
              </w:rPr>
              <w:t>Slow API calls present a polished buffering state rather than premature empty states.</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2. Technology Stack and Runtime Wiring</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900"/>
        <w:gridCol w:w="3100"/>
        <w:gridCol w:w="4360"/>
      </w:tblGrid>
      <w:tr>
        <w:trPr>
          <w:tblHeader w:val="true"/>
        </w:trP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Layer</w:t>
            </w:r>
          </w:p>
        </w:tc>
        <w:tc>
          <w:tcPr>
            <w:tcW w:type="dxa" w:w="3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Implementation</w:t>
            </w:r>
          </w:p>
        </w:tc>
        <w:tc>
          <w:tcPr>
            <w:tcW w:type="dxa" w:w="43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Notes</w:t>
            </w:r>
          </w:p>
        </w:tc>
      </w:tr>
      <w:tr>
        <w:tc>
          <w:tcPr>
            <w:tcW w:type="dxa" w:w="1900"/>
            <w:vAlign w:val="center"/>
          </w:tcPr>
          <w:p>
            <w:pPr>
              <w:spacing w:before="0" w:after="0" w:line="252" w:lineRule="auto"/>
            </w:pPr>
            <w:r/>
            <w:r>
              <w:rPr>
                <w:rFonts w:ascii="Calibri" w:hAnsi="Calibri"/>
                <w:b w:val="0"/>
                <w:color w:val="000000"/>
                <w:sz w:val="18"/>
              </w:rPr>
              <w:t>Application framework</w:t>
            </w:r>
          </w:p>
        </w:tc>
        <w:tc>
          <w:tcPr>
            <w:tcW w:type="dxa" w:w="3100"/>
            <w:vAlign w:val="center"/>
          </w:tcPr>
          <w:p>
            <w:pPr>
              <w:spacing w:before="0" w:after="0" w:line="252" w:lineRule="auto"/>
            </w:pPr>
            <w:r/>
            <w:r>
              <w:rPr>
                <w:rFonts w:ascii="Calibri" w:hAnsi="Calibri"/>
                <w:b w:val="0"/>
                <w:color w:val="000000"/>
                <w:sz w:val="18"/>
              </w:rPr>
              <w:t>Next.js 16 app router under app/</w:t>
            </w:r>
          </w:p>
        </w:tc>
        <w:tc>
          <w:tcPr>
            <w:tcW w:type="dxa" w:w="4360"/>
            <w:vAlign w:val="center"/>
          </w:tcPr>
          <w:p>
            <w:pPr>
              <w:spacing w:before="0" w:after="0" w:line="252" w:lineRule="auto"/>
            </w:pPr>
            <w:r/>
            <w:r>
              <w:rPr>
                <w:rFonts w:ascii="Calibri" w:hAnsi="Calibri"/>
                <w:b w:val="0"/>
                <w:color w:val="000000"/>
                <w:sz w:val="18"/>
              </w:rPr>
              <w:t>Client pages use useSWR for API-backed state; route handlers live under app/api.</w:t>
            </w:r>
          </w:p>
        </w:tc>
      </w:tr>
      <w:tr>
        <w:tc>
          <w:tcPr>
            <w:tcW w:type="dxa" w:w="1900"/>
            <w:vAlign w:val="center"/>
          </w:tcPr>
          <w:p>
            <w:pPr>
              <w:spacing w:before="0" w:after="0" w:line="252" w:lineRule="auto"/>
            </w:pPr>
            <w:r/>
            <w:r>
              <w:rPr>
                <w:rFonts w:ascii="Calibri" w:hAnsi="Calibri"/>
                <w:b w:val="0"/>
                <w:color w:val="000000"/>
                <w:sz w:val="18"/>
              </w:rPr>
              <w:t>UI runtime</w:t>
            </w:r>
          </w:p>
        </w:tc>
        <w:tc>
          <w:tcPr>
            <w:tcW w:type="dxa" w:w="3100"/>
            <w:vAlign w:val="center"/>
          </w:tcPr>
          <w:p>
            <w:pPr>
              <w:spacing w:before="0" w:after="0" w:line="252" w:lineRule="auto"/>
            </w:pPr>
            <w:r/>
            <w:r>
              <w:rPr>
                <w:rFonts w:ascii="Calibri" w:hAnsi="Calibri"/>
                <w:b w:val="0"/>
                <w:color w:val="000000"/>
                <w:sz w:val="18"/>
              </w:rPr>
              <w:t>React 19.2.4 with TypeScript</w:t>
            </w:r>
          </w:p>
        </w:tc>
        <w:tc>
          <w:tcPr>
            <w:tcW w:type="dxa" w:w="4360"/>
            <w:vAlign w:val="center"/>
          </w:tcPr>
          <w:p>
            <w:pPr>
              <w:spacing w:before="0" w:after="0" w:line="252" w:lineRule="auto"/>
            </w:pPr>
            <w:r/>
            <w:r>
              <w:rPr>
                <w:rFonts w:ascii="Calibri" w:hAnsi="Calibri"/>
                <w:b w:val="0"/>
                <w:color w:val="000000"/>
                <w:sz w:val="18"/>
              </w:rPr>
              <w:t>Componentized page shell, navigation, footer, assistant, dashboard, research terminal, and loading panel.</w:t>
            </w:r>
          </w:p>
        </w:tc>
      </w:tr>
      <w:tr>
        <w:tc>
          <w:tcPr>
            <w:tcW w:type="dxa" w:w="1900"/>
            <w:vAlign w:val="center"/>
          </w:tcPr>
          <w:p>
            <w:pPr>
              <w:spacing w:before="0" w:after="0" w:line="252" w:lineRule="auto"/>
            </w:pPr>
            <w:r/>
            <w:r>
              <w:rPr>
                <w:rFonts w:ascii="Calibri" w:hAnsi="Calibri"/>
                <w:b w:val="0"/>
                <w:color w:val="000000"/>
                <w:sz w:val="18"/>
              </w:rPr>
              <w:t>Styling</w:t>
            </w:r>
          </w:p>
        </w:tc>
        <w:tc>
          <w:tcPr>
            <w:tcW w:type="dxa" w:w="3100"/>
            <w:vAlign w:val="center"/>
          </w:tcPr>
          <w:p>
            <w:pPr>
              <w:spacing w:before="0" w:after="0" w:line="252" w:lineRule="auto"/>
            </w:pPr>
            <w:r/>
            <w:r>
              <w:rPr>
                <w:rFonts w:ascii="Calibri" w:hAnsi="Calibri"/>
                <w:b w:val="0"/>
                <w:color w:val="000000"/>
                <w:sz w:val="18"/>
              </w:rPr>
              <w:t>Tailwind CSS 4 utility classes</w:t>
            </w:r>
          </w:p>
        </w:tc>
        <w:tc>
          <w:tcPr>
            <w:tcW w:type="dxa" w:w="4360"/>
            <w:vAlign w:val="center"/>
          </w:tcPr>
          <w:p>
            <w:pPr>
              <w:spacing w:before="0" w:after="0" w:line="252" w:lineRule="auto"/>
            </w:pPr>
            <w:r/>
            <w:r>
              <w:rPr>
                <w:rFonts w:ascii="Calibri" w:hAnsi="Calibri"/>
                <w:b w:val="0"/>
                <w:color w:val="000000"/>
                <w:sz w:val="18"/>
              </w:rPr>
              <w:t>Professional blue/navy palette, grid backdrops, compact cards, responsive layouts.</w:t>
            </w:r>
          </w:p>
        </w:tc>
      </w:tr>
      <w:tr>
        <w:tc>
          <w:tcPr>
            <w:tcW w:type="dxa" w:w="1900"/>
            <w:vAlign w:val="center"/>
          </w:tcPr>
          <w:p>
            <w:pPr>
              <w:spacing w:before="0" w:after="0" w:line="252" w:lineRule="auto"/>
            </w:pPr>
            <w:r/>
            <w:r>
              <w:rPr>
                <w:rFonts w:ascii="Calibri" w:hAnsi="Calibri"/>
                <w:b w:val="0"/>
                <w:color w:val="000000"/>
                <w:sz w:val="18"/>
              </w:rPr>
              <w:t>Charts</w:t>
            </w:r>
          </w:p>
        </w:tc>
        <w:tc>
          <w:tcPr>
            <w:tcW w:type="dxa" w:w="3100"/>
            <w:vAlign w:val="center"/>
          </w:tcPr>
          <w:p>
            <w:pPr>
              <w:spacing w:before="0" w:after="0" w:line="252" w:lineRule="auto"/>
            </w:pPr>
            <w:r/>
            <w:r>
              <w:rPr>
                <w:rFonts w:ascii="Calibri" w:hAnsi="Calibri"/>
                <w:b w:val="0"/>
                <w:color w:val="000000"/>
                <w:sz w:val="18"/>
              </w:rPr>
              <w:t>Recharts and custom SVG</w:t>
            </w:r>
          </w:p>
        </w:tc>
        <w:tc>
          <w:tcPr>
            <w:tcW w:type="dxa" w:w="4360"/>
            <w:vAlign w:val="center"/>
          </w:tcPr>
          <w:p>
            <w:pPr>
              <w:spacing w:before="0" w:after="0" w:line="252" w:lineRule="auto"/>
            </w:pPr>
            <w:r/>
            <w:r>
              <w:rPr>
                <w:rFonts w:ascii="Calibri" w:hAnsi="Calibri"/>
                <w:b w:val="0"/>
                <w:color w:val="000000"/>
                <w:sz w:val="18"/>
              </w:rPr>
              <w:t>Dashboard/research use Recharts; home and MLEQ use custom normalized equity visuals.</w:t>
            </w:r>
          </w:p>
        </w:tc>
      </w:tr>
      <w:tr>
        <w:tc>
          <w:tcPr>
            <w:tcW w:type="dxa" w:w="1900"/>
            <w:vAlign w:val="center"/>
          </w:tcPr>
          <w:p>
            <w:pPr>
              <w:spacing w:before="0" w:after="0" w:line="252" w:lineRule="auto"/>
            </w:pPr>
            <w:r/>
            <w:r>
              <w:rPr>
                <w:rFonts w:ascii="Calibri" w:hAnsi="Calibri"/>
                <w:b w:val="0"/>
                <w:color w:val="000000"/>
                <w:sz w:val="18"/>
              </w:rPr>
              <w:t>Data parsing and metrics</w:t>
            </w:r>
          </w:p>
        </w:tc>
        <w:tc>
          <w:tcPr>
            <w:tcW w:type="dxa" w:w="3100"/>
            <w:vAlign w:val="center"/>
          </w:tcPr>
          <w:p>
            <w:pPr>
              <w:spacing w:before="0" w:after="0" w:line="252" w:lineRule="auto"/>
            </w:pPr>
            <w:r/>
            <w:r>
              <w:rPr>
                <w:rFonts w:ascii="Calibri" w:hAnsi="Calibri"/>
                <w:b w:val="0"/>
                <w:color w:val="000000"/>
                <w:sz w:val="18"/>
              </w:rPr>
              <w:t>PapaParse plus lib/metrics.ts</w:t>
            </w:r>
          </w:p>
        </w:tc>
        <w:tc>
          <w:tcPr>
            <w:tcW w:type="dxa" w:w="4360"/>
            <w:vAlign w:val="center"/>
          </w:tcPr>
          <w:p>
            <w:pPr>
              <w:spacing w:before="0" w:after="0" w:line="252" w:lineRule="auto"/>
            </w:pPr>
            <w:r/>
            <w:r>
              <w:rPr>
                <w:rFonts w:ascii="Calibri" w:hAnsi="Calibri"/>
                <w:b w:val="0"/>
                <w:color w:val="000000"/>
                <w:sz w:val="18"/>
              </w:rPr>
              <w:t>CSV rows are normalized, converted to returns, drawdowns, normalized equity index, and risk statistics.</w:t>
            </w:r>
          </w:p>
        </w:tc>
      </w:tr>
      <w:tr>
        <w:tc>
          <w:tcPr>
            <w:tcW w:type="dxa" w:w="1900"/>
            <w:vAlign w:val="center"/>
          </w:tcPr>
          <w:p>
            <w:pPr>
              <w:spacing w:before="0" w:after="0" w:line="252" w:lineRule="auto"/>
            </w:pPr>
            <w:r/>
            <w:r>
              <w:rPr>
                <w:rFonts w:ascii="Calibri" w:hAnsi="Calibri"/>
                <w:b w:val="0"/>
                <w:color w:val="000000"/>
                <w:sz w:val="18"/>
              </w:rPr>
              <w:t>Data fetching</w:t>
            </w:r>
          </w:p>
        </w:tc>
        <w:tc>
          <w:tcPr>
            <w:tcW w:type="dxa" w:w="3100"/>
            <w:vAlign w:val="center"/>
          </w:tcPr>
          <w:p>
            <w:pPr>
              <w:spacing w:before="0" w:after="0" w:line="252" w:lineRule="auto"/>
            </w:pPr>
            <w:r/>
            <w:r>
              <w:rPr>
                <w:rFonts w:ascii="Calibri" w:hAnsi="Calibri"/>
                <w:b w:val="0"/>
                <w:color w:val="000000"/>
                <w:sz w:val="18"/>
              </w:rPr>
              <w:t>SWR on client pages; fetch inside route handlers</w:t>
            </w:r>
          </w:p>
        </w:tc>
        <w:tc>
          <w:tcPr>
            <w:tcW w:type="dxa" w:w="4360"/>
            <w:vAlign w:val="center"/>
          </w:tcPr>
          <w:p>
            <w:pPr>
              <w:spacing w:before="0" w:after="0" w:line="252" w:lineRule="auto"/>
            </w:pPr>
            <w:r/>
            <w:r>
              <w:rPr>
                <w:rFonts w:ascii="Calibri" w:hAnsi="Calibri"/>
                <w:b w:val="0"/>
                <w:color w:val="000000"/>
                <w:sz w:val="18"/>
              </w:rPr>
              <w:t>Refresh intervals are used for dashboard/research and assistant data.</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3. Page and Component Inventory</w:t>
      </w:r>
    </w:p>
    <w:p>
      <w:pPr>
        <w:spacing w:before="0" w:after="120" w:line="264" w:lineRule="auto"/>
      </w:pPr>
      <w:r>
        <w:rPr>
          <w:rFonts w:ascii="Calibri" w:hAnsi="Calibri"/>
          <w:b w:val="0"/>
          <w:i w:val="0"/>
          <w:color w:val="000000"/>
          <w:sz w:val="22"/>
        </w:rPr>
        <w:t>The site uses a shared PageShell and SiteHeader from components/PageChrome.tsx. Root layout injects SiteFooter and AlexAssistant globally so every route keeps footer links and assistant access.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100"/>
        <w:gridCol w:w="4100"/>
        <w:gridCol w:w="3160"/>
      </w:tblGrid>
      <w:tr>
        <w:trPr>
          <w:tblHeader w:val="true"/>
        </w:trPr>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Route or component</w:t>
            </w:r>
          </w:p>
        </w:tc>
        <w:tc>
          <w:tcPr>
            <w:tcW w:type="dxa" w:w="4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Primary responsibility</w:t>
            </w:r>
          </w:p>
        </w:tc>
        <w:tc>
          <w:tcPr>
            <w:tcW w:type="dxa" w:w="31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Data wiring</w:t>
            </w:r>
          </w:p>
        </w:tc>
      </w:tr>
      <w:tr>
        <w:tc>
          <w:tcPr>
            <w:tcW w:type="dxa" w:w="2100"/>
            <w:vAlign w:val="center"/>
          </w:tcPr>
          <w:p>
            <w:pPr>
              <w:spacing w:before="0" w:after="0" w:line="252" w:lineRule="auto"/>
            </w:pPr>
            <w:r/>
            <w:r>
              <w:rPr>
                <w:rFonts w:ascii="Calibri" w:hAnsi="Calibri"/>
                <w:b w:val="0"/>
                <w:color w:val="000000"/>
                <w:sz w:val="17"/>
              </w:rPr>
              <w:t>/</w:t>
            </w:r>
          </w:p>
        </w:tc>
        <w:tc>
          <w:tcPr>
            <w:tcW w:type="dxa" w:w="4100"/>
            <w:vAlign w:val="center"/>
          </w:tcPr>
          <w:p>
            <w:pPr>
              <w:spacing w:before="0" w:after="0" w:line="252" w:lineRule="auto"/>
            </w:pPr>
            <w:r/>
            <w:r>
              <w:rPr>
                <w:rFonts w:ascii="Calibri" w:hAnsi="Calibri"/>
                <w:b w:val="0"/>
                <w:color w:val="000000"/>
                <w:sz w:val="17"/>
              </w:rPr>
              <w:t>Investor-facing homepage, value proposition, registry/product cards, selected model equity index, benchmark comparison, live response preview.</w:t>
            </w:r>
          </w:p>
        </w:tc>
        <w:tc>
          <w:tcPr>
            <w:tcW w:type="dxa" w:w="3160"/>
            <w:vAlign w:val="center"/>
          </w:tcPr>
          <w:p>
            <w:pPr>
              <w:spacing w:before="0" w:after="0" w:line="252" w:lineRule="auto"/>
            </w:pPr>
            <w:r/>
            <w:r>
              <w:rPr>
                <w:rFonts w:ascii="Calibri" w:hAnsi="Calibri"/>
                <w:b w:val="0"/>
                <w:color w:val="000000"/>
                <w:sz w:val="17"/>
              </w:rPr>
              <w:t>SWR GET /api/dashboard.</w:t>
            </w:r>
          </w:p>
        </w:tc>
      </w:tr>
      <w:tr>
        <w:tc>
          <w:tcPr>
            <w:tcW w:type="dxa" w:w="2100"/>
            <w:vAlign w:val="center"/>
          </w:tcPr>
          <w:p>
            <w:pPr>
              <w:spacing w:before="0" w:after="0" w:line="252" w:lineRule="auto"/>
            </w:pPr>
            <w:r/>
            <w:r>
              <w:rPr>
                <w:rFonts w:ascii="Calibri" w:hAnsi="Calibri"/>
                <w:b w:val="0"/>
                <w:color w:val="000000"/>
                <w:sz w:val="17"/>
              </w:rPr>
              <w:t>/dashboard</w:t>
            </w:r>
          </w:p>
        </w:tc>
        <w:tc>
          <w:tcPr>
            <w:tcW w:type="dxa" w:w="4100"/>
            <w:vAlign w:val="center"/>
          </w:tcPr>
          <w:p>
            <w:pPr>
              <w:spacing w:before="0" w:after="0" w:line="252" w:lineRule="auto"/>
            </w:pPr>
            <w:r/>
            <w:r>
              <w:rPr>
                <w:rFonts w:ascii="Calibri" w:hAnsi="Calibri"/>
                <w:b w:val="0"/>
                <w:color w:val="000000"/>
                <w:sz w:val="17"/>
              </w:rPr>
              <w:t>Operating telemetry terminal with model selector, metrics, normalized curves, execution status, registry table, benchmark table, and raw source tables.</w:t>
            </w:r>
          </w:p>
        </w:tc>
        <w:tc>
          <w:tcPr>
            <w:tcW w:type="dxa" w:w="3160"/>
            <w:vAlign w:val="center"/>
          </w:tcPr>
          <w:p>
            <w:pPr>
              <w:spacing w:before="0" w:after="0" w:line="252" w:lineRule="auto"/>
            </w:pPr>
            <w:r/>
            <w:r>
              <w:rPr>
                <w:rFonts w:ascii="Calibri" w:hAnsi="Calibri"/>
                <w:b w:val="0"/>
                <w:color w:val="000000"/>
                <w:sz w:val="17"/>
              </w:rPr>
              <w:t>SWR GET /api/dashboard or /api/dashboard?model={id}.</w:t>
            </w:r>
          </w:p>
        </w:tc>
      </w:tr>
      <w:tr>
        <w:tc>
          <w:tcPr>
            <w:tcW w:type="dxa" w:w="2100"/>
            <w:vAlign w:val="center"/>
          </w:tcPr>
          <w:p>
            <w:pPr>
              <w:spacing w:before="0" w:after="0" w:line="252" w:lineRule="auto"/>
            </w:pPr>
            <w:r/>
            <w:r>
              <w:rPr>
                <w:rFonts w:ascii="Calibri" w:hAnsi="Calibri"/>
                <w:b w:val="0"/>
                <w:color w:val="000000"/>
                <w:sz w:val="17"/>
              </w:rPr>
              <w:t>/research</w:t>
            </w:r>
          </w:p>
        </w:tc>
        <w:tc>
          <w:tcPr>
            <w:tcW w:type="dxa" w:w="4100"/>
            <w:vAlign w:val="center"/>
          </w:tcPr>
          <w:p>
            <w:pPr>
              <w:spacing w:before="0" w:after="0" w:line="252" w:lineRule="auto"/>
            </w:pPr>
            <w:r/>
            <w:r>
              <w:rPr>
                <w:rFonts w:ascii="Calibri" w:hAnsi="Calibri"/>
                <w:b w:val="0"/>
                <w:color w:val="000000"/>
                <w:sz w:val="17"/>
              </w:rPr>
              <w:t>Research overview page that embeds ResearchTerminal.</w:t>
            </w:r>
          </w:p>
        </w:tc>
        <w:tc>
          <w:tcPr>
            <w:tcW w:type="dxa" w:w="3160"/>
            <w:vAlign w:val="center"/>
          </w:tcPr>
          <w:p>
            <w:pPr>
              <w:spacing w:before="0" w:after="0" w:line="252" w:lineRule="auto"/>
            </w:pPr>
            <w:r/>
            <w:r>
              <w:rPr>
                <w:rFonts w:ascii="Calibri" w:hAnsi="Calibri"/>
                <w:b w:val="0"/>
                <w:color w:val="000000"/>
                <w:sz w:val="17"/>
              </w:rPr>
              <w:t>ResearchTerminal calls /api/dashboard and model-specific /api/dashboard?model={id} when curve detail is needed.</w:t>
            </w:r>
          </w:p>
        </w:tc>
      </w:tr>
      <w:tr>
        <w:tc>
          <w:tcPr>
            <w:tcW w:type="dxa" w:w="2100"/>
            <w:vAlign w:val="center"/>
          </w:tcPr>
          <w:p>
            <w:pPr>
              <w:spacing w:before="0" w:after="0" w:line="252" w:lineRule="auto"/>
            </w:pPr>
            <w:r/>
            <w:r>
              <w:rPr>
                <w:rFonts w:ascii="Calibri" w:hAnsi="Calibri"/>
                <w:b w:val="0"/>
                <w:color w:val="000000"/>
                <w:sz w:val="17"/>
              </w:rPr>
              <w:t>/mleq</w:t>
            </w:r>
          </w:p>
        </w:tc>
        <w:tc>
          <w:tcPr>
            <w:tcW w:type="dxa" w:w="4100"/>
            <w:vAlign w:val="center"/>
          </w:tcPr>
          <w:p>
            <w:pPr>
              <w:spacing w:before="0" w:after="0" w:line="252" w:lineRule="auto"/>
            </w:pPr>
            <w:r/>
            <w:r>
              <w:rPr>
                <w:rFonts w:ascii="Calibri" w:hAnsi="Calibri"/>
                <w:b w:val="0"/>
                <w:color w:val="000000"/>
                <w:sz w:val="17"/>
              </w:rPr>
              <w:t>Dark-themed Machine Learning Equity Quant narrative page with live stats, model rank view, thesis, pipeline monitor, and discipline sections.</w:t>
            </w:r>
          </w:p>
        </w:tc>
        <w:tc>
          <w:tcPr>
            <w:tcW w:type="dxa" w:w="3160"/>
            <w:vAlign w:val="center"/>
          </w:tcPr>
          <w:p>
            <w:pPr>
              <w:spacing w:before="0" w:after="0" w:line="252" w:lineRule="auto"/>
            </w:pPr>
            <w:r/>
            <w:r>
              <w:rPr>
                <w:rFonts w:ascii="Calibri" w:hAnsi="Calibri"/>
                <w:b w:val="0"/>
                <w:color w:val="000000"/>
                <w:sz w:val="17"/>
              </w:rPr>
              <w:t>SWR GET /api/dashboard.</w:t>
            </w:r>
          </w:p>
        </w:tc>
      </w:tr>
      <w:tr>
        <w:tc>
          <w:tcPr>
            <w:tcW w:type="dxa" w:w="2100"/>
            <w:vAlign w:val="center"/>
          </w:tcPr>
          <w:p>
            <w:pPr>
              <w:spacing w:before="0" w:after="0" w:line="252" w:lineRule="auto"/>
            </w:pPr>
            <w:r/>
            <w:r>
              <w:rPr>
                <w:rFonts w:ascii="Calibri" w:hAnsi="Calibri"/>
                <w:b w:val="0"/>
                <w:color w:val="000000"/>
                <w:sz w:val="17"/>
              </w:rPr>
              <w:t>/marketplace</w:t>
            </w:r>
          </w:p>
        </w:tc>
        <w:tc>
          <w:tcPr>
            <w:tcW w:type="dxa" w:w="4100"/>
            <w:vAlign w:val="center"/>
          </w:tcPr>
          <w:p>
            <w:pPr>
              <w:spacing w:before="0" w:after="0" w:line="252" w:lineRule="auto"/>
            </w:pPr>
            <w:r/>
            <w:r>
              <w:rPr>
                <w:rFonts w:ascii="Calibri" w:hAnsi="Calibri"/>
                <w:b w:val="0"/>
                <w:color w:val="000000"/>
                <w:sz w:val="17"/>
              </w:rPr>
              <w:t>Model-product marketplace with search and category filters.</w:t>
            </w:r>
          </w:p>
        </w:tc>
        <w:tc>
          <w:tcPr>
            <w:tcW w:type="dxa" w:w="3160"/>
            <w:vAlign w:val="center"/>
          </w:tcPr>
          <w:p>
            <w:pPr>
              <w:spacing w:before="0" w:after="0" w:line="252" w:lineRule="auto"/>
            </w:pPr>
            <w:r/>
            <w:r>
              <w:rPr>
                <w:rFonts w:ascii="Calibri" w:hAnsi="Calibri"/>
                <w:b w:val="0"/>
                <w:color w:val="000000"/>
                <w:sz w:val="17"/>
              </w:rPr>
              <w:t>SWR GET /api/models.</w:t>
            </w:r>
          </w:p>
        </w:tc>
      </w:tr>
      <w:tr>
        <w:tc>
          <w:tcPr>
            <w:tcW w:type="dxa" w:w="2100"/>
            <w:vAlign w:val="center"/>
          </w:tcPr>
          <w:p>
            <w:pPr>
              <w:spacing w:before="0" w:after="0" w:line="252" w:lineRule="auto"/>
            </w:pPr>
            <w:r/>
            <w:r>
              <w:rPr>
                <w:rFonts w:ascii="Calibri" w:hAnsi="Calibri"/>
                <w:b w:val="0"/>
                <w:color w:val="000000"/>
                <w:sz w:val="17"/>
              </w:rPr>
              <w:t>/marketplace/{slug}</w:t>
            </w:r>
          </w:p>
        </w:tc>
        <w:tc>
          <w:tcPr>
            <w:tcW w:type="dxa" w:w="4100"/>
            <w:vAlign w:val="center"/>
          </w:tcPr>
          <w:p>
            <w:pPr>
              <w:spacing w:before="0" w:after="0" w:line="252" w:lineRule="auto"/>
            </w:pPr>
            <w:r/>
            <w:r>
              <w:rPr>
                <w:rFonts w:ascii="Calibri" w:hAnsi="Calibri"/>
                <w:b w:val="0"/>
                <w:color w:val="000000"/>
                <w:sz w:val="17"/>
              </w:rPr>
              <w:t>Single model profile, telemetry preview, source details, features, access CTA.</w:t>
            </w:r>
          </w:p>
        </w:tc>
        <w:tc>
          <w:tcPr>
            <w:tcW w:type="dxa" w:w="3160"/>
            <w:vAlign w:val="center"/>
          </w:tcPr>
          <w:p>
            <w:pPr>
              <w:spacing w:before="0" w:after="0" w:line="252" w:lineRule="auto"/>
            </w:pPr>
            <w:r/>
            <w:r>
              <w:rPr>
                <w:rFonts w:ascii="Calibri" w:hAnsi="Calibri"/>
                <w:b w:val="0"/>
                <w:color w:val="000000"/>
                <w:sz w:val="17"/>
              </w:rPr>
              <w:t>SWR GET /api/models/{slug}; POST /api/models/{slug}/demo for preview.</w:t>
            </w:r>
          </w:p>
        </w:tc>
      </w:tr>
      <w:tr>
        <w:tc>
          <w:tcPr>
            <w:tcW w:type="dxa" w:w="2100"/>
            <w:vAlign w:val="center"/>
          </w:tcPr>
          <w:p>
            <w:pPr>
              <w:spacing w:before="0" w:after="0" w:line="252" w:lineRule="auto"/>
            </w:pPr>
            <w:r/>
            <w:r>
              <w:rPr>
                <w:rFonts w:ascii="Calibri" w:hAnsi="Calibri"/>
                <w:b w:val="0"/>
                <w:color w:val="000000"/>
                <w:sz w:val="17"/>
              </w:rPr>
              <w:t>/docs</w:t>
            </w:r>
          </w:p>
        </w:tc>
        <w:tc>
          <w:tcPr>
            <w:tcW w:type="dxa" w:w="4100"/>
            <w:vAlign w:val="center"/>
          </w:tcPr>
          <w:p>
            <w:pPr>
              <w:spacing w:before="0" w:after="0" w:line="252" w:lineRule="auto"/>
            </w:pPr>
            <w:r/>
            <w:r>
              <w:rPr>
                <w:rFonts w:ascii="Calibri" w:hAnsi="Calibri"/>
                <w:b w:val="0"/>
                <w:color w:val="000000"/>
                <w:sz w:val="17"/>
              </w:rPr>
              <w:t>API endpoint documentation and curl examples.</w:t>
            </w:r>
          </w:p>
        </w:tc>
        <w:tc>
          <w:tcPr>
            <w:tcW w:type="dxa" w:w="3160"/>
            <w:vAlign w:val="center"/>
          </w:tcPr>
          <w:p>
            <w:pPr>
              <w:spacing w:before="0" w:after="0" w:line="252" w:lineRule="auto"/>
            </w:pPr>
            <w:r/>
            <w:r>
              <w:rPr>
                <w:rFonts w:ascii="Calibri" w:hAnsi="Calibri"/>
                <w:b w:val="0"/>
                <w:color w:val="000000"/>
                <w:sz w:val="17"/>
              </w:rPr>
              <w:t>Static content aligned to implemented API routes.</w:t>
            </w:r>
          </w:p>
        </w:tc>
      </w:tr>
      <w:tr>
        <w:tc>
          <w:tcPr>
            <w:tcW w:type="dxa" w:w="2100"/>
            <w:vAlign w:val="center"/>
          </w:tcPr>
          <w:p>
            <w:pPr>
              <w:spacing w:before="0" w:after="0" w:line="252" w:lineRule="auto"/>
            </w:pPr>
            <w:r/>
            <w:r>
              <w:rPr>
                <w:rFonts w:ascii="Calibri" w:hAnsi="Calibri"/>
                <w:b w:val="0"/>
                <w:color w:val="000000"/>
                <w:sz w:val="17"/>
              </w:rPr>
              <w:t>/signin and /create-account</w:t>
            </w:r>
          </w:p>
        </w:tc>
        <w:tc>
          <w:tcPr>
            <w:tcW w:type="dxa" w:w="4100"/>
            <w:vAlign w:val="center"/>
          </w:tcPr>
          <w:p>
            <w:pPr>
              <w:spacing w:before="0" w:after="0" w:line="252" w:lineRule="auto"/>
            </w:pPr>
            <w:r/>
            <w:r>
              <w:rPr>
                <w:rFonts w:ascii="Calibri" w:hAnsi="Calibri"/>
                <w:b w:val="0"/>
                <w:color w:val="000000"/>
                <w:sz w:val="17"/>
              </w:rPr>
              <w:t>Client-side account forms.</w:t>
            </w:r>
          </w:p>
        </w:tc>
        <w:tc>
          <w:tcPr>
            <w:tcW w:type="dxa" w:w="3160"/>
            <w:vAlign w:val="center"/>
          </w:tcPr>
          <w:p>
            <w:pPr>
              <w:spacing w:before="0" w:after="0" w:line="252" w:lineRule="auto"/>
            </w:pPr>
            <w:r/>
            <w:r>
              <w:rPr>
                <w:rFonts w:ascii="Calibri" w:hAnsi="Calibri"/>
                <w:b w:val="0"/>
                <w:color w:val="000000"/>
                <w:sz w:val="17"/>
              </w:rPr>
              <w:t>Local storage session via lib/clientSession.ts.</w:t>
            </w:r>
          </w:p>
        </w:tc>
      </w:tr>
      <w:tr>
        <w:tc>
          <w:tcPr>
            <w:tcW w:type="dxa" w:w="2100"/>
            <w:vAlign w:val="center"/>
          </w:tcPr>
          <w:p>
            <w:pPr>
              <w:spacing w:before="0" w:after="0" w:line="252" w:lineRule="auto"/>
            </w:pPr>
            <w:r/>
            <w:r>
              <w:rPr>
                <w:rFonts w:ascii="Calibri" w:hAnsi="Calibri"/>
                <w:b w:val="0"/>
                <w:color w:val="000000"/>
                <w:sz w:val="17"/>
              </w:rPr>
              <w:t>AlexAssistant</w:t>
            </w:r>
          </w:p>
        </w:tc>
        <w:tc>
          <w:tcPr>
            <w:tcW w:type="dxa" w:w="4100"/>
            <w:vAlign w:val="center"/>
          </w:tcPr>
          <w:p>
            <w:pPr>
              <w:spacing w:before="0" w:after="0" w:line="252" w:lineRule="auto"/>
            </w:pPr>
            <w:r/>
            <w:r>
              <w:rPr>
                <w:rFonts w:ascii="Calibri" w:hAnsi="Calibri"/>
                <w:b w:val="0"/>
                <w:color w:val="000000"/>
                <w:sz w:val="17"/>
              </w:rPr>
              <w:t>Help assistant named Alex, personalized by stored user name and aware of website pages and live telemetry.</w:t>
            </w:r>
          </w:p>
        </w:tc>
        <w:tc>
          <w:tcPr>
            <w:tcW w:type="dxa" w:w="3160"/>
            <w:vAlign w:val="center"/>
          </w:tcPr>
          <w:p>
            <w:pPr>
              <w:spacing w:before="0" w:after="0" w:line="252" w:lineRule="auto"/>
            </w:pPr>
            <w:r/>
            <w:r>
              <w:rPr>
                <w:rFonts w:ascii="Calibri" w:hAnsi="Calibri"/>
                <w:b w:val="0"/>
                <w:color w:val="000000"/>
                <w:sz w:val="17"/>
              </w:rPr>
              <w:t>Fetches /api/dashboard and /api/models; reads local session.</w:t>
            </w:r>
          </w:p>
        </w:tc>
      </w:tr>
      <w:tr>
        <w:tc>
          <w:tcPr>
            <w:tcW w:type="dxa" w:w="2100"/>
            <w:vAlign w:val="center"/>
          </w:tcPr>
          <w:p>
            <w:pPr>
              <w:spacing w:before="0" w:after="0" w:line="252" w:lineRule="auto"/>
            </w:pPr>
            <w:r/>
            <w:r>
              <w:rPr>
                <w:rFonts w:ascii="Calibri" w:hAnsi="Calibri"/>
                <w:b w:val="0"/>
                <w:color w:val="000000"/>
                <w:sz w:val="17"/>
              </w:rPr>
              <w:t>SiteFooter</w:t>
            </w:r>
          </w:p>
        </w:tc>
        <w:tc>
          <w:tcPr>
            <w:tcW w:type="dxa" w:w="4100"/>
            <w:vAlign w:val="center"/>
          </w:tcPr>
          <w:p>
            <w:pPr>
              <w:spacing w:before="0" w:after="0" w:line="252" w:lineRule="auto"/>
            </w:pPr>
            <w:r/>
            <w:r>
              <w:rPr>
                <w:rFonts w:ascii="Calibri" w:hAnsi="Calibri"/>
                <w:b w:val="0"/>
                <w:color w:val="000000"/>
                <w:sz w:val="17"/>
              </w:rPr>
              <w:t>Professional footer with docs, API, company/legal, and social links.</w:t>
            </w:r>
          </w:p>
        </w:tc>
        <w:tc>
          <w:tcPr>
            <w:tcW w:type="dxa" w:w="3160"/>
            <w:vAlign w:val="center"/>
          </w:tcPr>
          <w:p>
            <w:pPr>
              <w:spacing w:before="0" w:after="0" w:line="252" w:lineRule="auto"/>
            </w:pPr>
            <w:r/>
            <w:r>
              <w:rPr>
                <w:rFonts w:ascii="Calibri" w:hAnsi="Calibri"/>
                <w:b w:val="0"/>
                <w:color w:val="000000"/>
                <w:sz w:val="17"/>
              </w:rPr>
              <w:t>Static link wiring.</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4. API and Data-Flow Wiring</w:t>
      </w:r>
    </w:p>
    <w:p>
      <w:pPr>
        <w:pStyle w:val="Heading2"/>
        <w:spacing w:before="240" w:after="120" w:line="264" w:lineRule="auto"/>
      </w:pPr>
      <w:r>
        <w:rPr>
          <w:rFonts w:ascii="Calibri" w:hAnsi="Calibri"/>
          <w:b/>
          <w:color w:val="2E74B5"/>
          <w:sz w:val="26"/>
        </w:rPr>
        <w:t>4.1 Dashboard API</w:t>
      </w:r>
    </w:p>
    <w:p>
      <w:pPr>
        <w:spacing w:before="0" w:after="120" w:line="264" w:lineRule="auto"/>
      </w:pPr>
      <w:r>
        <w:rPr>
          <w:rFonts w:ascii="Calibri" w:hAnsi="Calibri"/>
          <w:b w:val="0"/>
          <w:i w:val="0"/>
          <w:color w:val="000000"/>
          <w:sz w:val="22"/>
        </w:rPr>
        <w:t>The central route is app/api/dashboard/route.ts. It is declared dynamic and uses the Node.js runtime. For localhost and 127.0.0.1, it attempts an upstream dashboard proxy to https://www.qsentia.com before falling back to local GitHub/raw-log assembly. It maintains a last-good cache under .qsentia-cache/dashboard-last-good.json to reduce dead-end states when upstream data is temporarily unavailable.</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400"/>
        <w:gridCol w:w="4100"/>
        <w:gridCol w:w="2860"/>
      </w:tblGrid>
      <w:tr>
        <w:trPr>
          <w:tblHeader w:val="true"/>
        </w:trPr>
        <w:tc>
          <w:tcPr>
            <w:tcW w:type="dxa" w:w="24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Input/source</w:t>
            </w:r>
          </w:p>
        </w:tc>
        <w:tc>
          <w:tcPr>
            <w:tcW w:type="dxa" w:w="4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Processing</w:t>
            </w:r>
          </w:p>
        </w:tc>
        <w:tc>
          <w:tcPr>
            <w:tcW w:type="dxa" w:w="28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Output fields</w:t>
            </w:r>
          </w:p>
        </w:tc>
      </w:tr>
      <w:tr>
        <w:tc>
          <w:tcPr>
            <w:tcW w:type="dxa" w:w="2400"/>
            <w:vAlign w:val="center"/>
          </w:tcPr>
          <w:p>
            <w:pPr>
              <w:spacing w:before="0" w:after="0" w:line="252" w:lineRule="auto"/>
            </w:pPr>
            <w:r/>
            <w:r>
              <w:rPr>
                <w:rFonts w:ascii="Calibri" w:hAnsi="Calibri"/>
                <w:b w:val="0"/>
                <w:color w:val="000000"/>
                <w:sz w:val="17"/>
              </w:rPr>
              <w:t>Required model registry and repository logs</w:t>
            </w:r>
          </w:p>
        </w:tc>
        <w:tc>
          <w:tcPr>
            <w:tcW w:type="dxa" w:w="4100"/>
            <w:vAlign w:val="center"/>
          </w:tcPr>
          <w:p>
            <w:pPr>
              <w:spacing w:before="0" w:after="0" w:line="252" w:lineRule="auto"/>
            </w:pPr>
            <w:r/>
            <w:r>
              <w:rPr>
                <w:rFonts w:ascii="Calibri" w:hAnsi="Calibri"/>
                <w:b w:val="0"/>
                <w:color w:val="000000"/>
                <w:sz w:val="17"/>
              </w:rPr>
              <w:t>Fetches model configs and CSV/JSON logs; normalizes portfolio rows, decisions, orders, positions, target weights, health status, execution realism, and readiness checks.</w:t>
            </w:r>
          </w:p>
        </w:tc>
        <w:tc>
          <w:tcPr>
            <w:tcW w:type="dxa" w:w="2860"/>
            <w:vAlign w:val="center"/>
          </w:tcPr>
          <w:p>
            <w:pPr>
              <w:spacing w:before="0" w:after="0" w:line="252" w:lineRule="auto"/>
            </w:pPr>
            <w:r/>
            <w:r>
              <w:rPr>
                <w:rFonts w:ascii="Calibri" w:hAnsi="Calibri"/>
                <w:b w:val="0"/>
                <w:color w:val="000000"/>
                <w:sz w:val="17"/>
              </w:rPr>
              <w:t>registry, selectedModelConfig, latest, decisions, positions, targetWeights, plannedOrders, submittedOrders.</w:t>
            </w:r>
          </w:p>
        </w:tc>
      </w:tr>
      <w:tr>
        <w:tc>
          <w:tcPr>
            <w:tcW w:type="dxa" w:w="2400"/>
            <w:vAlign w:val="center"/>
          </w:tcPr>
          <w:p>
            <w:pPr>
              <w:spacing w:before="0" w:after="0" w:line="252" w:lineRule="auto"/>
            </w:pPr>
            <w:r/>
            <w:r>
              <w:rPr>
                <w:rFonts w:ascii="Calibri" w:hAnsi="Calibri"/>
                <w:b w:val="0"/>
                <w:color w:val="000000"/>
                <w:sz w:val="17"/>
              </w:rPr>
              <w:t>Portfolio/account observations</w:t>
            </w:r>
          </w:p>
        </w:tc>
        <w:tc>
          <w:tcPr>
            <w:tcW w:type="dxa" w:w="4100"/>
            <w:vAlign w:val="center"/>
          </w:tcPr>
          <w:p>
            <w:pPr>
              <w:spacing w:before="0" w:after="0" w:line="252" w:lineRule="auto"/>
            </w:pPr>
            <w:r/>
            <w:r>
              <w:rPr>
                <w:rFonts w:ascii="Calibri" w:hAnsi="Calibri"/>
                <w:b w:val="0"/>
                <w:color w:val="000000"/>
                <w:sz w:val="17"/>
              </w:rPr>
              <w:t>Builds daily portfolio values, computes selected performance values, returns, drawdowns, and normalized equity index using normalizeTo100.</w:t>
            </w:r>
          </w:p>
        </w:tc>
        <w:tc>
          <w:tcPr>
            <w:tcW w:type="dxa" w:w="2860"/>
            <w:vAlign w:val="center"/>
          </w:tcPr>
          <w:p>
            <w:pPr>
              <w:spacing w:before="0" w:after="0" w:line="252" w:lineRule="auto"/>
            </w:pPr>
            <w:r/>
            <w:r>
              <w:rPr>
                <w:rFonts w:ascii="Calibri" w:hAnsi="Calibri"/>
                <w:b w:val="0"/>
                <w:color w:val="000000"/>
                <w:sz w:val="17"/>
              </w:rPr>
              <w:t>stats, equityCurve, returns, drawdowns, latest.portfolioValue, portfolioReturn.</w:t>
            </w:r>
          </w:p>
        </w:tc>
      </w:tr>
      <w:tr>
        <w:tc>
          <w:tcPr>
            <w:tcW w:type="dxa" w:w="2400"/>
            <w:vAlign w:val="center"/>
          </w:tcPr>
          <w:p>
            <w:pPr>
              <w:spacing w:before="0" w:after="0" w:line="252" w:lineRule="auto"/>
            </w:pPr>
            <w:r/>
            <w:r>
              <w:rPr>
                <w:rFonts w:ascii="Calibri" w:hAnsi="Calibri"/>
                <w:b w:val="0"/>
                <w:color w:val="000000"/>
                <w:sz w:val="17"/>
              </w:rPr>
              <w:t>Benchmarks</w:t>
            </w:r>
          </w:p>
        </w:tc>
        <w:tc>
          <w:tcPr>
            <w:tcW w:type="dxa" w:w="4100"/>
            <w:vAlign w:val="center"/>
          </w:tcPr>
          <w:p>
            <w:pPr>
              <w:spacing w:before="0" w:after="0" w:line="252" w:lineRule="auto"/>
            </w:pPr>
            <w:r/>
            <w:r>
              <w:rPr>
                <w:rFonts w:ascii="Calibri" w:hAnsi="Calibri"/>
                <w:b w:val="0"/>
                <w:color w:val="000000"/>
                <w:sz w:val="17"/>
              </w:rPr>
              <w:t>Fetches benchmark series for SPY, QQQ, DIA, IWM, and VTI and computes performance statistics.</w:t>
            </w:r>
          </w:p>
        </w:tc>
        <w:tc>
          <w:tcPr>
            <w:tcW w:type="dxa" w:w="2860"/>
            <w:vAlign w:val="center"/>
          </w:tcPr>
          <w:p>
            <w:pPr>
              <w:spacing w:before="0" w:after="0" w:line="252" w:lineRule="auto"/>
            </w:pPr>
            <w:r/>
            <w:r>
              <w:rPr>
                <w:rFonts w:ascii="Calibri" w:hAnsi="Calibri"/>
                <w:b w:val="0"/>
                <w:color w:val="000000"/>
                <w:sz w:val="17"/>
              </w:rPr>
              <w:t>benchmarks with points, stats, and rowCount.</w:t>
            </w:r>
          </w:p>
        </w:tc>
      </w:tr>
      <w:tr>
        <w:tc>
          <w:tcPr>
            <w:tcW w:type="dxa" w:w="2400"/>
            <w:vAlign w:val="center"/>
          </w:tcPr>
          <w:p>
            <w:pPr>
              <w:spacing w:before="0" w:after="0" w:line="252" w:lineRule="auto"/>
            </w:pPr>
            <w:r/>
            <w:r>
              <w:rPr>
                <w:rFonts w:ascii="Calibri" w:hAnsi="Calibri"/>
                <w:b w:val="0"/>
                <w:color w:val="000000"/>
                <w:sz w:val="17"/>
              </w:rPr>
              <w:t>Model comparison loop</w:t>
            </w:r>
          </w:p>
        </w:tc>
        <w:tc>
          <w:tcPr>
            <w:tcW w:type="dxa" w:w="4100"/>
            <w:vAlign w:val="center"/>
          </w:tcPr>
          <w:p>
            <w:pPr>
              <w:spacing w:before="0" w:after="0" w:line="252" w:lineRule="auto"/>
            </w:pPr>
            <w:r/>
            <w:r>
              <w:rPr>
                <w:rFonts w:ascii="Calibri" w:hAnsi="Calibri"/>
                <w:b w:val="0"/>
                <w:color w:val="000000"/>
                <w:sz w:val="17"/>
              </w:rPr>
              <w:t>For every registered model, fetches portfolio/latest account rows, computes normalized curves and stats, and attaches model-specific benchmarks.</w:t>
            </w:r>
          </w:p>
        </w:tc>
        <w:tc>
          <w:tcPr>
            <w:tcW w:type="dxa" w:w="2860"/>
            <w:vAlign w:val="center"/>
          </w:tcPr>
          <w:p>
            <w:pPr>
              <w:spacing w:before="0" w:after="0" w:line="252" w:lineRule="auto"/>
            </w:pPr>
            <w:r/>
            <w:r>
              <w:rPr>
                <w:rFonts w:ascii="Calibri" w:hAnsi="Calibri"/>
                <w:b w:val="0"/>
                <w:color w:val="000000"/>
                <w:sz w:val="17"/>
              </w:rPr>
              <w:t>modelComparison with id, name, repo, logsPath, points, stats, latestValue, row counts, inceptionDate.</w:t>
            </w:r>
          </w:p>
        </w:tc>
      </w:tr>
      <w:tr>
        <w:tc>
          <w:tcPr>
            <w:tcW w:type="dxa" w:w="2400"/>
            <w:vAlign w:val="center"/>
          </w:tcPr>
          <w:p>
            <w:pPr>
              <w:spacing w:before="0" w:after="0" w:line="252" w:lineRule="auto"/>
            </w:pPr>
            <w:r/>
            <w:r>
              <w:rPr>
                <w:rFonts w:ascii="Calibri" w:hAnsi="Calibri"/>
                <w:b w:val="0"/>
                <w:color w:val="000000"/>
                <w:sz w:val="17"/>
              </w:rPr>
              <w:t>Summary mode</w:t>
            </w:r>
          </w:p>
        </w:tc>
        <w:tc>
          <w:tcPr>
            <w:tcW w:type="dxa" w:w="4100"/>
            <w:vAlign w:val="center"/>
          </w:tcPr>
          <w:p>
            <w:pPr>
              <w:spacing w:before="0" w:after="0" w:line="252" w:lineRule="auto"/>
            </w:pPr>
            <w:r/>
            <w:r>
              <w:rPr>
                <w:rFonts w:ascii="Calibri" w:hAnsi="Calibri"/>
                <w:b w:val="0"/>
                <w:color w:val="000000"/>
                <w:sz w:val="17"/>
              </w:rPr>
              <w:t>GET /api/dashboard?summary=1 returns registry-focused lightweight response.</w:t>
            </w:r>
          </w:p>
        </w:tc>
        <w:tc>
          <w:tcPr>
            <w:tcW w:type="dxa" w:w="2860"/>
            <w:vAlign w:val="center"/>
          </w:tcPr>
          <w:p>
            <w:pPr>
              <w:spacing w:before="0" w:after="0" w:line="252" w:lineRule="auto"/>
            </w:pPr>
            <w:r/>
            <w:r>
              <w:rPr>
                <w:rFonts w:ascii="Calibri" w:hAnsi="Calibri"/>
                <w:b w:val="0"/>
                <w:color w:val="000000"/>
                <w:sz w:val="17"/>
              </w:rPr>
              <w:t>summary payload for live API ribbon and lightweight status surfaces.</w:t>
            </w:r>
          </w:p>
        </w:tc>
      </w:tr>
    </w:tbl>
    <w:p>
      <w:pPr>
        <w:spacing w:before="0" w:after="40" w:line="264" w:lineRule="auto"/>
      </w:pPr>
      <w:r>
        <w:rPr>
          <w:rFonts w:ascii="Calibri" w:hAnsi="Calibri"/>
          <w:b w:val="0"/>
          <w:i w:val="0"/>
          <w:color w:val="000000"/>
          <w:sz w:val="22"/>
        </w:rPr>
      </w:r>
    </w:p>
    <w:p>
      <w:pPr>
        <w:pStyle w:val="Heading2"/>
        <w:spacing w:before="240" w:after="120" w:line="264" w:lineRule="auto"/>
      </w:pPr>
      <w:r>
        <w:rPr>
          <w:rFonts w:ascii="Calibri" w:hAnsi="Calibri"/>
          <w:b/>
          <w:color w:val="2E74B5"/>
          <w:sz w:val="26"/>
        </w:rPr>
        <w:t>4.2 Marketplace API</w:t>
      </w:r>
    </w:p>
    <w:p>
      <w:pPr>
        <w:spacing w:before="0" w:after="120" w:line="264" w:lineRule="auto"/>
      </w:pPr>
      <w:r>
        <w:rPr>
          <w:rFonts w:ascii="Calibri" w:hAnsi="Calibri"/>
          <w:b w:val="0"/>
          <w:i w:val="0"/>
          <w:color w:val="000000"/>
          <w:sz w:val="22"/>
        </w:rPr>
        <w:t>The marketplace API is a thin layer over the dashboard. lib/modelCatalog.ts fetches /api/dashboard, maps modelComparison entries into marketplace models, generates slugs, categories, tags, and performance values, and uses model-specific dashboard calls for detail pages.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500"/>
        <w:gridCol w:w="1000"/>
        <w:gridCol w:w="5860"/>
      </w:tblGrid>
      <w:tr>
        <w:trPr>
          <w:tblHeader w:val="true"/>
        </w:trPr>
        <w:tc>
          <w:tcPr>
            <w:tcW w:type="dxa" w:w="25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Endpoint</w:t>
            </w:r>
          </w:p>
        </w:tc>
        <w:tc>
          <w:tcPr>
            <w:tcW w:type="dxa" w:w="10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Method</w:t>
            </w:r>
          </w:p>
        </w:tc>
        <w:tc>
          <w:tcPr>
            <w:tcW w:type="dxa" w:w="58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Implementation behavior</w:t>
            </w:r>
          </w:p>
        </w:tc>
      </w:tr>
      <w:tr>
        <w:tc>
          <w:tcPr>
            <w:tcW w:type="dxa" w:w="2500"/>
            <w:vAlign w:val="center"/>
          </w:tcPr>
          <w:p>
            <w:pPr>
              <w:spacing w:before="0" w:after="0" w:line="252" w:lineRule="auto"/>
            </w:pPr>
            <w:r/>
            <w:r>
              <w:rPr>
                <w:rFonts w:ascii="Calibri" w:hAnsi="Calibri"/>
                <w:b w:val="0"/>
                <w:color w:val="000000"/>
                <w:sz w:val="18"/>
              </w:rPr>
              <w:t>/api/models</w:t>
            </w:r>
          </w:p>
        </w:tc>
        <w:tc>
          <w:tcPr>
            <w:tcW w:type="dxa" w:w="1000"/>
            <w:vAlign w:val="center"/>
          </w:tcPr>
          <w:p>
            <w:pPr>
              <w:spacing w:before="0" w:after="0" w:line="252" w:lineRule="auto"/>
            </w:pPr>
            <w:r/>
            <w:r>
              <w:rPr>
                <w:rFonts w:ascii="Calibri" w:hAnsi="Calibri"/>
                <w:b w:val="0"/>
                <w:color w:val="000000"/>
                <w:sz w:val="18"/>
              </w:rPr>
              <w:t>GET</w:t>
            </w:r>
          </w:p>
        </w:tc>
        <w:tc>
          <w:tcPr>
            <w:tcW w:type="dxa" w:w="5860"/>
            <w:vAlign w:val="center"/>
          </w:tcPr>
          <w:p>
            <w:pPr>
              <w:spacing w:before="0" w:after="0" w:line="252" w:lineRule="auto"/>
            </w:pPr>
            <w:r/>
            <w:r>
              <w:rPr>
                <w:rFonts w:ascii="Calibri" w:hAnsi="Calibri"/>
                <w:b w:val="0"/>
                <w:color w:val="000000"/>
                <w:sz w:val="18"/>
              </w:rPr>
              <w:t>Returns model list from getLiveMarketplaceModels, source app-api-dashboard, and a timestamp. Cache-Control allows public s-maxage and stale-while-revalidate.</w:t>
            </w:r>
          </w:p>
        </w:tc>
      </w:tr>
      <w:tr>
        <w:tc>
          <w:tcPr>
            <w:tcW w:type="dxa" w:w="2500"/>
            <w:vAlign w:val="center"/>
          </w:tcPr>
          <w:p>
            <w:pPr>
              <w:spacing w:before="0" w:after="0" w:line="252" w:lineRule="auto"/>
            </w:pPr>
            <w:r/>
            <w:r>
              <w:rPr>
                <w:rFonts w:ascii="Calibri" w:hAnsi="Calibri"/>
                <w:b w:val="0"/>
                <w:color w:val="000000"/>
                <w:sz w:val="18"/>
              </w:rPr>
              <w:t>/api/models/{slug}</w:t>
            </w:r>
          </w:p>
        </w:tc>
        <w:tc>
          <w:tcPr>
            <w:tcW w:type="dxa" w:w="1000"/>
            <w:vAlign w:val="center"/>
          </w:tcPr>
          <w:p>
            <w:pPr>
              <w:spacing w:before="0" w:after="0" w:line="252" w:lineRule="auto"/>
            </w:pPr>
            <w:r/>
            <w:r>
              <w:rPr>
                <w:rFonts w:ascii="Calibri" w:hAnsi="Calibri"/>
                <w:b w:val="0"/>
                <w:color w:val="000000"/>
                <w:sz w:val="18"/>
              </w:rPr>
              <w:t>GET</w:t>
            </w:r>
          </w:p>
        </w:tc>
        <w:tc>
          <w:tcPr>
            <w:tcW w:type="dxa" w:w="5860"/>
            <w:vAlign w:val="center"/>
          </w:tcPr>
          <w:p>
            <w:pPr>
              <w:spacing w:before="0" w:after="0" w:line="252" w:lineRule="auto"/>
            </w:pPr>
            <w:r/>
            <w:r>
              <w:rPr>
                <w:rFonts w:ascii="Calibri" w:hAnsi="Calibri"/>
                <w:b w:val="0"/>
                <w:color w:val="000000"/>
                <w:sz w:val="18"/>
              </w:rPr>
              <w:t>Resolves slug to a model, fetches model-specific dashboard detail, returns long description, features, source details, latest state, and metrics.</w:t>
            </w:r>
          </w:p>
        </w:tc>
      </w:tr>
      <w:tr>
        <w:tc>
          <w:tcPr>
            <w:tcW w:type="dxa" w:w="2500"/>
            <w:vAlign w:val="center"/>
          </w:tcPr>
          <w:p>
            <w:pPr>
              <w:spacing w:before="0" w:after="0" w:line="252" w:lineRule="auto"/>
            </w:pPr>
            <w:r/>
            <w:r>
              <w:rPr>
                <w:rFonts w:ascii="Calibri" w:hAnsi="Calibri"/>
                <w:b w:val="0"/>
                <w:color w:val="000000"/>
                <w:sz w:val="18"/>
              </w:rPr>
              <w:t>/api/models/{slug}/demo</w:t>
            </w:r>
          </w:p>
        </w:tc>
        <w:tc>
          <w:tcPr>
            <w:tcW w:type="dxa" w:w="1000"/>
            <w:vAlign w:val="center"/>
          </w:tcPr>
          <w:p>
            <w:pPr>
              <w:spacing w:before="0" w:after="0" w:line="252" w:lineRule="auto"/>
            </w:pPr>
            <w:r/>
            <w:r>
              <w:rPr>
                <w:rFonts w:ascii="Calibri" w:hAnsi="Calibri"/>
                <w:b w:val="0"/>
                <w:color w:val="000000"/>
                <w:sz w:val="18"/>
              </w:rPr>
              <w:t>POST</w:t>
            </w:r>
          </w:p>
        </w:tc>
        <w:tc>
          <w:tcPr>
            <w:tcW w:type="dxa" w:w="5860"/>
            <w:vAlign w:val="center"/>
          </w:tcPr>
          <w:p>
            <w:pPr>
              <w:spacing w:before="0" w:after="0" w:line="252" w:lineRule="auto"/>
            </w:pPr>
            <w:r/>
            <w:r>
              <w:rPr>
                <w:rFonts w:ascii="Calibri" w:hAnsi="Calibri"/>
                <w:b w:val="0"/>
                <w:color w:val="000000"/>
                <w:sz w:val="18"/>
              </w:rPr>
              <w:t>Rate-limited to 5 requests per hour per IP. Returns latest decision preview fields: action, confidence, positionSize, latency, timestamp, and source.</w:t>
            </w:r>
          </w:p>
        </w:tc>
      </w:tr>
    </w:tbl>
    <w:p>
      <w:pPr>
        <w:spacing w:before="0" w:after="40" w:line="264" w:lineRule="auto"/>
      </w:pPr>
      <w:r>
        <w:rPr>
          <w:rFonts w:ascii="Calibri" w:hAnsi="Calibri"/>
          <w:b w:val="0"/>
          <w:i w:val="0"/>
          <w:color w:val="000000"/>
          <w:sz w:val="22"/>
        </w:rPr>
      </w:r>
    </w:p>
    <w:p>
      <w:pPr>
        <w:pStyle w:val="Heading2"/>
        <w:spacing w:before="240" w:after="120" w:line="264" w:lineRule="auto"/>
      </w:pPr>
      <w:r>
        <w:rPr>
          <w:rFonts w:ascii="Calibri" w:hAnsi="Calibri"/>
          <w:b/>
          <w:color w:val="2E74B5"/>
          <w:sz w:val="26"/>
        </w:rPr>
        <w:t>4.3 Client Data Wiring</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100"/>
        <w:gridCol w:w="2650"/>
        <w:gridCol w:w="4610"/>
      </w:tblGrid>
      <w:tr>
        <w:trPr>
          <w:tblHeader w:val="true"/>
        </w:trPr>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Client surface</w:t>
            </w:r>
          </w:p>
        </w:tc>
        <w:tc>
          <w:tcPr>
            <w:tcW w:type="dxa" w:w="26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Hook/endpoint</w:t>
            </w:r>
          </w:p>
        </w:tc>
        <w:tc>
          <w:tcPr>
            <w:tcW w:type="dxa" w:w="461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State behavior</w:t>
            </w:r>
          </w:p>
        </w:tc>
      </w:tr>
      <w:tr>
        <w:tc>
          <w:tcPr>
            <w:tcW w:type="dxa" w:w="2100"/>
            <w:vAlign w:val="center"/>
          </w:tcPr>
          <w:p>
            <w:pPr>
              <w:spacing w:before="0" w:after="0" w:line="252" w:lineRule="auto"/>
            </w:pPr>
            <w:r/>
            <w:r>
              <w:rPr>
                <w:rFonts w:ascii="Calibri" w:hAnsi="Calibri"/>
                <w:b w:val="0"/>
                <w:color w:val="000000"/>
                <w:sz w:val="17"/>
              </w:rPr>
              <w:t>Home</w:t>
            </w:r>
          </w:p>
        </w:tc>
        <w:tc>
          <w:tcPr>
            <w:tcW w:type="dxa" w:w="2650"/>
            <w:vAlign w:val="center"/>
          </w:tcPr>
          <w:p>
            <w:pPr>
              <w:spacing w:before="0" w:after="0" w:line="252" w:lineRule="auto"/>
            </w:pPr>
            <w:r/>
            <w:r>
              <w:rPr>
                <w:rFonts w:ascii="Calibri" w:hAnsi="Calibri"/>
                <w:b w:val="0"/>
                <w:color w:val="000000"/>
                <w:sz w:val="17"/>
              </w:rPr>
              <w:t>useSWR('/api/dashboard')</w:t>
            </w:r>
          </w:p>
        </w:tc>
        <w:tc>
          <w:tcPr>
            <w:tcW w:type="dxa" w:w="4610"/>
            <w:vAlign w:val="center"/>
          </w:tcPr>
          <w:p>
            <w:pPr>
              <w:spacing w:before="0" w:after="0" w:line="252" w:lineRule="auto"/>
            </w:pPr>
            <w:r/>
            <w:r>
              <w:rPr>
                <w:rFonts w:ascii="Calibri" w:hAnsi="Calibri"/>
                <w:b w:val="0"/>
                <w:color w:val="000000"/>
                <w:sz w:val="17"/>
              </w:rPr>
              <w:t>Shows homepage telemetry, model registry count, equity index explanation, and benchmark comparison.</w:t>
            </w:r>
          </w:p>
        </w:tc>
      </w:tr>
      <w:tr>
        <w:tc>
          <w:tcPr>
            <w:tcW w:type="dxa" w:w="2100"/>
            <w:vAlign w:val="center"/>
          </w:tcPr>
          <w:p>
            <w:pPr>
              <w:spacing w:before="0" w:after="0" w:line="252" w:lineRule="auto"/>
            </w:pPr>
            <w:r/>
            <w:r>
              <w:rPr>
                <w:rFonts w:ascii="Calibri" w:hAnsi="Calibri"/>
                <w:b w:val="0"/>
                <w:color w:val="000000"/>
                <w:sz w:val="17"/>
              </w:rPr>
              <w:t>Dashboard</w:t>
            </w:r>
          </w:p>
        </w:tc>
        <w:tc>
          <w:tcPr>
            <w:tcW w:type="dxa" w:w="2650"/>
            <w:vAlign w:val="center"/>
          </w:tcPr>
          <w:p>
            <w:pPr>
              <w:spacing w:before="0" w:after="0" w:line="252" w:lineRule="auto"/>
            </w:pPr>
            <w:r/>
            <w:r>
              <w:rPr>
                <w:rFonts w:ascii="Calibri" w:hAnsi="Calibri"/>
                <w:b w:val="0"/>
                <w:color w:val="000000"/>
                <w:sz w:val="17"/>
              </w:rPr>
              <w:t>useSWR(endpoint)</w:t>
            </w:r>
          </w:p>
        </w:tc>
        <w:tc>
          <w:tcPr>
            <w:tcW w:type="dxa" w:w="4610"/>
            <w:vAlign w:val="center"/>
          </w:tcPr>
          <w:p>
            <w:pPr>
              <w:spacing w:before="0" w:after="0" w:line="252" w:lineRule="auto"/>
            </w:pPr>
            <w:r/>
            <w:r>
              <w:rPr>
                <w:rFonts w:ascii="Calibri" w:hAnsi="Calibri"/>
                <w:b w:val="0"/>
                <w:color w:val="000000"/>
                <w:sz w:val="17"/>
              </w:rPr>
              <w:t>Endpoint changes when selected model changes. Initial load is buffered with ApiLoadingPanel.</w:t>
            </w:r>
          </w:p>
        </w:tc>
      </w:tr>
      <w:tr>
        <w:tc>
          <w:tcPr>
            <w:tcW w:type="dxa" w:w="2100"/>
            <w:vAlign w:val="center"/>
          </w:tcPr>
          <w:p>
            <w:pPr>
              <w:spacing w:before="0" w:after="0" w:line="252" w:lineRule="auto"/>
            </w:pPr>
            <w:r/>
            <w:r>
              <w:rPr>
                <w:rFonts w:ascii="Calibri" w:hAnsi="Calibri"/>
                <w:b w:val="0"/>
                <w:color w:val="000000"/>
                <w:sz w:val="17"/>
              </w:rPr>
              <w:t>ResearchTerminal</w:t>
            </w:r>
          </w:p>
        </w:tc>
        <w:tc>
          <w:tcPr>
            <w:tcW w:type="dxa" w:w="2650"/>
            <w:vAlign w:val="center"/>
          </w:tcPr>
          <w:p>
            <w:pPr>
              <w:spacing w:before="0" w:after="0" w:line="252" w:lineRule="auto"/>
            </w:pPr>
            <w:r/>
            <w:r>
              <w:rPr>
                <w:rFonts w:ascii="Calibri" w:hAnsi="Calibri"/>
                <w:b w:val="0"/>
                <w:color w:val="000000"/>
                <w:sz w:val="17"/>
              </w:rPr>
              <w:t>useSWR('/api/dashboard') plus conditional model detail fetcher</w:t>
            </w:r>
          </w:p>
        </w:tc>
        <w:tc>
          <w:tcPr>
            <w:tcW w:type="dxa" w:w="4610"/>
            <w:vAlign w:val="center"/>
          </w:tcPr>
          <w:p>
            <w:pPr>
              <w:spacing w:before="0" w:after="0" w:line="252" w:lineRule="auto"/>
            </w:pPr>
            <w:r/>
            <w:r>
              <w:rPr>
                <w:rFonts w:ascii="Calibri" w:hAnsi="Calibri"/>
                <w:b w:val="0"/>
                <w:color w:val="000000"/>
                <w:sz w:val="17"/>
              </w:rPr>
              <w:t>If modelComparison lacks curve points, it fetches per-model dashboard data and builds research curves.</w:t>
            </w:r>
          </w:p>
        </w:tc>
      </w:tr>
      <w:tr>
        <w:tc>
          <w:tcPr>
            <w:tcW w:type="dxa" w:w="2100"/>
            <w:vAlign w:val="center"/>
          </w:tcPr>
          <w:p>
            <w:pPr>
              <w:spacing w:before="0" w:after="0" w:line="252" w:lineRule="auto"/>
            </w:pPr>
            <w:r/>
            <w:r>
              <w:rPr>
                <w:rFonts w:ascii="Calibri" w:hAnsi="Calibri"/>
                <w:b w:val="0"/>
                <w:color w:val="000000"/>
                <w:sz w:val="17"/>
              </w:rPr>
              <w:t>MLEQ</w:t>
            </w:r>
          </w:p>
        </w:tc>
        <w:tc>
          <w:tcPr>
            <w:tcW w:type="dxa" w:w="2650"/>
            <w:vAlign w:val="center"/>
          </w:tcPr>
          <w:p>
            <w:pPr>
              <w:spacing w:before="0" w:after="0" w:line="252" w:lineRule="auto"/>
            </w:pPr>
            <w:r/>
            <w:r>
              <w:rPr>
                <w:rFonts w:ascii="Calibri" w:hAnsi="Calibri"/>
                <w:b w:val="0"/>
                <w:color w:val="000000"/>
                <w:sz w:val="17"/>
              </w:rPr>
              <w:t>useSWR('/api/dashboard')</w:t>
            </w:r>
          </w:p>
        </w:tc>
        <w:tc>
          <w:tcPr>
            <w:tcW w:type="dxa" w:w="4610"/>
            <w:vAlign w:val="center"/>
          </w:tcPr>
          <w:p>
            <w:pPr>
              <w:spacing w:before="0" w:after="0" w:line="252" w:lineRule="auto"/>
            </w:pPr>
            <w:r/>
            <w:r>
              <w:rPr>
                <w:rFonts w:ascii="Calibri" w:hAnsi="Calibri"/>
                <w:b w:val="0"/>
                <w:color w:val="000000"/>
                <w:sz w:val="17"/>
              </w:rPr>
              <w:t>Dark loading buffer appears before model families, pipeline, and terminal metrics render.</w:t>
            </w:r>
          </w:p>
        </w:tc>
      </w:tr>
      <w:tr>
        <w:tc>
          <w:tcPr>
            <w:tcW w:type="dxa" w:w="2100"/>
            <w:vAlign w:val="center"/>
          </w:tcPr>
          <w:p>
            <w:pPr>
              <w:spacing w:before="0" w:after="0" w:line="252" w:lineRule="auto"/>
            </w:pPr>
            <w:r/>
            <w:r>
              <w:rPr>
                <w:rFonts w:ascii="Calibri" w:hAnsi="Calibri"/>
                <w:b w:val="0"/>
                <w:color w:val="000000"/>
                <w:sz w:val="17"/>
              </w:rPr>
              <w:t>Marketplace</w:t>
            </w:r>
          </w:p>
        </w:tc>
        <w:tc>
          <w:tcPr>
            <w:tcW w:type="dxa" w:w="2650"/>
            <w:vAlign w:val="center"/>
          </w:tcPr>
          <w:p>
            <w:pPr>
              <w:spacing w:before="0" w:after="0" w:line="252" w:lineRule="auto"/>
            </w:pPr>
            <w:r/>
            <w:r>
              <w:rPr>
                <w:rFonts w:ascii="Calibri" w:hAnsi="Calibri"/>
                <w:b w:val="0"/>
                <w:color w:val="000000"/>
                <w:sz w:val="17"/>
              </w:rPr>
              <w:t>useSWR('/api/models')</w:t>
            </w:r>
          </w:p>
        </w:tc>
        <w:tc>
          <w:tcPr>
            <w:tcW w:type="dxa" w:w="4610"/>
            <w:vAlign w:val="center"/>
          </w:tcPr>
          <w:p>
            <w:pPr>
              <w:spacing w:before="0" w:after="0" w:line="252" w:lineRule="auto"/>
            </w:pPr>
            <w:r/>
            <w:r>
              <w:rPr>
                <w:rFonts w:ascii="Calibri" w:hAnsi="Calibri"/>
                <w:b w:val="0"/>
                <w:color w:val="000000"/>
                <w:sz w:val="17"/>
              </w:rPr>
              <w:t>Search and category filtering operate on API-backed model list.</w:t>
            </w:r>
          </w:p>
        </w:tc>
      </w:tr>
      <w:tr>
        <w:tc>
          <w:tcPr>
            <w:tcW w:type="dxa" w:w="2100"/>
            <w:vAlign w:val="center"/>
          </w:tcPr>
          <w:p>
            <w:pPr>
              <w:spacing w:before="0" w:after="0" w:line="252" w:lineRule="auto"/>
            </w:pPr>
            <w:r/>
            <w:r>
              <w:rPr>
                <w:rFonts w:ascii="Calibri" w:hAnsi="Calibri"/>
                <w:b w:val="0"/>
                <w:color w:val="000000"/>
                <w:sz w:val="17"/>
              </w:rPr>
              <w:t>Model detail</w:t>
            </w:r>
          </w:p>
        </w:tc>
        <w:tc>
          <w:tcPr>
            <w:tcW w:type="dxa" w:w="2650"/>
            <w:vAlign w:val="center"/>
          </w:tcPr>
          <w:p>
            <w:pPr>
              <w:spacing w:before="0" w:after="0" w:line="252" w:lineRule="auto"/>
            </w:pPr>
            <w:r/>
            <w:r>
              <w:rPr>
                <w:rFonts w:ascii="Calibri" w:hAnsi="Calibri"/>
                <w:b w:val="0"/>
                <w:color w:val="000000"/>
                <w:sz w:val="17"/>
              </w:rPr>
              <w:t>useSWR('/api/models/{slug}')</w:t>
            </w:r>
          </w:p>
        </w:tc>
        <w:tc>
          <w:tcPr>
            <w:tcW w:type="dxa" w:w="4610"/>
            <w:vAlign w:val="center"/>
          </w:tcPr>
          <w:p>
            <w:pPr>
              <w:spacing w:before="0" w:after="0" w:line="252" w:lineRule="auto"/>
            </w:pPr>
            <w:r/>
            <w:r>
              <w:rPr>
                <w:rFonts w:ascii="Calibri" w:hAnsi="Calibri"/>
                <w:b w:val="0"/>
                <w:color w:val="000000"/>
                <w:sz w:val="17"/>
              </w:rPr>
              <w:t>Initial load displays profile buffer; POST demo route is invoked manually by the preview button.</w:t>
            </w:r>
          </w:p>
        </w:tc>
      </w:tr>
      <w:tr>
        <w:tc>
          <w:tcPr>
            <w:tcW w:type="dxa" w:w="2100"/>
            <w:vAlign w:val="center"/>
          </w:tcPr>
          <w:p>
            <w:pPr>
              <w:spacing w:before="0" w:after="0" w:line="252" w:lineRule="auto"/>
            </w:pPr>
            <w:r/>
            <w:r>
              <w:rPr>
                <w:rFonts w:ascii="Calibri" w:hAnsi="Calibri"/>
                <w:b w:val="0"/>
                <w:color w:val="000000"/>
                <w:sz w:val="17"/>
              </w:rPr>
              <w:t>Alex assistant</w:t>
            </w:r>
          </w:p>
        </w:tc>
        <w:tc>
          <w:tcPr>
            <w:tcW w:type="dxa" w:w="2650"/>
            <w:vAlign w:val="center"/>
          </w:tcPr>
          <w:p>
            <w:pPr>
              <w:spacing w:before="0" w:after="0" w:line="252" w:lineRule="auto"/>
            </w:pPr>
            <w:r/>
            <w:r>
              <w:rPr>
                <w:rFonts w:ascii="Calibri" w:hAnsi="Calibri"/>
                <w:b w:val="0"/>
                <w:color w:val="000000"/>
                <w:sz w:val="17"/>
              </w:rPr>
              <w:t>fetch('/api/dashboard') and fetch('/api/models')</w:t>
            </w:r>
          </w:p>
        </w:tc>
        <w:tc>
          <w:tcPr>
            <w:tcW w:type="dxa" w:w="4610"/>
            <w:vAlign w:val="center"/>
          </w:tcPr>
          <w:p>
            <w:pPr>
              <w:spacing w:before="0" w:after="0" w:line="252" w:lineRule="auto"/>
            </w:pPr>
            <w:r/>
            <w:r>
              <w:rPr>
                <w:rFonts w:ascii="Calibri" w:hAnsi="Calibri"/>
                <w:b w:val="0"/>
                <w:color w:val="000000"/>
                <w:sz w:val="17"/>
              </w:rPr>
              <w:t>Assistant can summarize live telemetry and personalize greeting from local storage session.</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5. UX Wiring and Professionalization Changes</w:t>
      </w:r>
    </w:p>
    <w:p>
      <w:pPr>
        <w:pStyle w:val="ListBullet"/>
        <w:spacing w:before="0" w:after="80" w:line="280" w:lineRule="auto"/>
      </w:pPr>
      <w:r>
        <w:rPr>
          <w:rFonts w:ascii="Calibri" w:hAnsi="Calibri"/>
          <w:color w:val="000000"/>
          <w:sz w:val="22"/>
        </w:rPr>
        <w:t>Homepage hero copy was changed to investor-native language: More alpha. Less unmanaged risk.</w:t>
      </w:r>
    </w:p>
    <w:p>
      <w:pPr>
        <w:pStyle w:val="ListBullet"/>
        <w:spacing w:before="0" w:after="80" w:line="280" w:lineRule="auto"/>
      </w:pPr>
      <w:r>
        <w:rPr>
          <w:rFonts w:ascii="Calibri" w:hAnsi="Calibri"/>
          <w:color w:val="000000"/>
          <w:sz w:val="22"/>
        </w:rPr>
        <w:t>The previous pill-style AI-looking labels were removed or replaced with quieter institutional copy.</w:t>
      </w:r>
    </w:p>
    <w:p>
      <w:pPr>
        <w:pStyle w:val="ListBullet"/>
        <w:spacing w:before="0" w:after="80" w:line="280" w:lineRule="auto"/>
      </w:pPr>
      <w:r>
        <w:rPr>
          <w:rFonts w:ascii="Calibri" w:hAnsi="Calibri"/>
          <w:color w:val="000000"/>
          <w:sz w:val="22"/>
        </w:rPr>
        <w:t>Selected model performance was renamed to Selected model equity index and explained as an index-style track record where the first observation equals 100.</w:t>
      </w:r>
    </w:p>
    <w:p>
      <w:pPr>
        <w:pStyle w:val="ListBullet"/>
        <w:spacing w:before="0" w:after="80" w:line="280" w:lineRule="auto"/>
      </w:pPr>
      <w:r>
        <w:rPr>
          <w:rFonts w:ascii="Calibri" w:hAnsi="Calibri"/>
          <w:color w:val="000000"/>
          <w:sz w:val="22"/>
        </w:rPr>
        <w:t>The home chart now uses current index, source points, and start-100 terminology to avoid confusion with currency or Sensex/Nifty style market indices.</w:t>
      </w:r>
    </w:p>
    <w:p>
      <w:pPr>
        <w:pStyle w:val="ListBullet"/>
        <w:spacing w:before="0" w:after="80" w:line="280" w:lineRule="auto"/>
      </w:pPr>
      <w:r>
        <w:rPr>
          <w:rFonts w:ascii="Calibri" w:hAnsi="Calibri"/>
          <w:color w:val="000000"/>
          <w:sz w:val="22"/>
        </w:rPr>
        <w:t>The shared ApiLoadingPanel prevents premature empty states while live dashboard/model data is still loading.</w:t>
      </w:r>
    </w:p>
    <w:p>
      <w:pPr>
        <w:pStyle w:val="ListBullet"/>
        <w:spacing w:before="0" w:after="80" w:line="280" w:lineRule="auto"/>
      </w:pPr>
      <w:r>
        <w:rPr>
          <w:rFonts w:ascii="Calibri" w:hAnsi="Calibri"/>
          <w:color w:val="000000"/>
          <w:sz w:val="22"/>
        </w:rPr>
        <w:t>Footer, problem-solution, shipping-policy, mission/vision/objective content, and MLEQ pages were professionalized around source-backed telemetry and risk review.</w:t>
      </w:r>
    </w:p>
    <w:p>
      <w:pPr>
        <w:pStyle w:val="ListBullet"/>
        <w:spacing w:before="0" w:after="80" w:line="280" w:lineRule="auto"/>
      </w:pPr>
      <w:r>
        <w:rPr>
          <w:rFonts w:ascii="Calibri" w:hAnsi="Calibri"/>
          <w:color w:val="000000"/>
          <w:sz w:val="22"/>
        </w:rPr>
        <w:t>Alex assistant is globally available and can reference website pages, API docs, live telemetry, model registry, account access, and MLEQ.</w:t>
      </w:r>
    </w:p>
    <w:p>
      <w:pPr>
        <w:pStyle w:val="Heading1"/>
        <w:spacing w:before="320" w:after="160" w:line="264" w:lineRule="auto"/>
      </w:pPr>
      <w:r>
        <w:rPr>
          <w:rFonts w:ascii="Calibri" w:hAnsi="Calibri"/>
          <w:b/>
          <w:color w:val="2E74B5"/>
          <w:sz w:val="32"/>
        </w:rPr>
        <w:t>6. Standards and Compliance Mapping</w:t>
      </w:r>
    </w:p>
    <w:tbl>
      <w:tblPr>
        <w:tblW w:type="dxa" w:w="9360"/>
        <w:jc w:val="left"/>
        <w:tblLayout w:type="fixed"/>
        <w:tblLook w:firstColumn="1" w:firstRow="1" w:lastColumn="0" w:lastRow="0" w:noHBand="0" w:noVBand="1" w:val="04A0"/>
        <w:tblInd w:w="120" w:type="dxa"/>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Pr>
      <w:tblGrid>
        <w:gridCol w:w="9360"/>
      </w:tblGrid>
      <w:tr>
        <w:trPr>
          <w:tblHeader w:val="true"/>
        </w:trPr>
        <w:tc>
          <w:tcPr>
            <w:tcW w:type="dxa" w:w="9360"/>
            <w:tcMar>
              <w:top w:w="80" w:type="dxa"/>
              <w:bottom w:w="80" w:type="dxa"/>
              <w:start w:w="120" w:type="dxa"/>
              <w:end w:w="120" w:type="dxa"/>
            </w:tcMar>
            <w:shd w:fill="F8FAFF"/>
          </w:tcPr>
          <w:p>
            <w:pPr>
              <w:spacing w:before="0" w:after="60" w:line="264" w:lineRule="auto"/>
            </w:pPr>
            <w:r>
              <w:rPr>
                <w:rFonts w:ascii="Calibri" w:hAnsi="Calibri"/>
                <w:b/>
                <w:color w:val="172554"/>
                <w:sz w:val="22"/>
              </w:rPr>
              <w:t>Interpretation</w:t>
            </w:r>
          </w:p>
          <w:p>
            <w:pPr>
              <w:spacing w:before="0" w:after="0" w:line="264" w:lineRule="auto"/>
            </w:pPr>
            <w:r>
              <w:rPr>
                <w:rFonts w:ascii="Calibri" w:hAnsi="Calibri"/>
                <w:color w:val="000000"/>
                <w:sz w:val="21"/>
              </w:rPr>
              <w:t>The following matrix maps the implementation to relevant IEEE and ISO/IEC/IEEE standards. It is an engineering-alignment report, not a formal audit certificate.</w:t>
            </w:r>
          </w:p>
        </w:tc>
      </w:tr>
    </w:tbl>
    <w:p>
      <w:pPr>
        <w:spacing w:before="0" w:after="40" w:line="264" w:lineRule="auto"/>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900"/>
        <w:gridCol w:w="2100"/>
        <w:gridCol w:w="3450"/>
        <w:gridCol w:w="1910"/>
      </w:tblGrid>
      <w:tr>
        <w:trPr>
          <w:tblHeader w:val="true"/>
        </w:trP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Standard</w:t>
            </w:r>
          </w:p>
        </w:tc>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Purpose</w:t>
            </w:r>
          </w:p>
        </w:tc>
        <w:tc>
          <w:tcPr>
            <w:tcW w:type="dxa" w:w="34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Implementation evidence</w:t>
            </w:r>
          </w:p>
        </w:tc>
        <w:tc>
          <w:tcPr>
            <w:tcW w:type="dxa" w:w="191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Recommended next step</w:t>
            </w:r>
          </w:p>
        </w:tc>
      </w:tr>
      <w:tr>
        <w:tc>
          <w:tcPr>
            <w:tcW w:type="dxa" w:w="1900"/>
            <w:vAlign w:val="center"/>
          </w:tcPr>
          <w:p>
            <w:pPr>
              <w:spacing w:before="0" w:after="0" w:line="252" w:lineRule="auto"/>
            </w:pPr>
            <w:r/>
            <w:r>
              <w:rPr>
                <w:rFonts w:ascii="Calibri" w:hAnsi="Calibri"/>
                <w:b w:val="0"/>
                <w:color w:val="000000"/>
                <w:sz w:val="15"/>
              </w:rPr>
              <w:t>ISO/IEC/IEEE 42010</w:t>
            </w:r>
          </w:p>
        </w:tc>
        <w:tc>
          <w:tcPr>
            <w:tcW w:type="dxa" w:w="2100"/>
            <w:vAlign w:val="center"/>
          </w:tcPr>
          <w:p>
            <w:pPr>
              <w:spacing w:before="0" w:after="0" w:line="252" w:lineRule="auto"/>
            </w:pPr>
            <w:r/>
            <w:r>
              <w:rPr>
                <w:rFonts w:ascii="Calibri" w:hAnsi="Calibri"/>
                <w:b w:val="0"/>
                <w:color w:val="000000"/>
                <w:sz w:val="15"/>
              </w:rPr>
              <w:t>Architecture description</w:t>
            </w:r>
          </w:p>
        </w:tc>
        <w:tc>
          <w:tcPr>
            <w:tcW w:type="dxa" w:w="3450"/>
            <w:vAlign w:val="center"/>
          </w:tcPr>
          <w:p>
            <w:pPr>
              <w:spacing w:before="0" w:after="0" w:line="252" w:lineRule="auto"/>
            </w:pPr>
            <w:r/>
            <w:r>
              <w:rPr>
                <w:rFonts w:ascii="Calibri" w:hAnsi="Calibri"/>
                <w:b w:val="0"/>
                <w:color w:val="000000"/>
                <w:sz w:val="15"/>
              </w:rPr>
              <w:t>This report captures stakeholder concerns, system context, API views, data views, and route/component views.</w:t>
            </w:r>
          </w:p>
        </w:tc>
        <w:tc>
          <w:tcPr>
            <w:tcW w:type="dxa" w:w="1910"/>
            <w:vAlign w:val="center"/>
          </w:tcPr>
          <w:p>
            <w:pPr>
              <w:spacing w:before="0" w:after="0" w:line="252" w:lineRule="auto"/>
            </w:pPr>
            <w:r/>
            <w:r>
              <w:rPr>
                <w:rFonts w:ascii="Calibri" w:hAnsi="Calibri"/>
                <w:b w:val="0"/>
                <w:color w:val="000000"/>
                <w:sz w:val="15"/>
              </w:rPr>
              <w:t>Maintain an architecture decision record for upstream proxy, cache, and telemetry source decisions.</w:t>
            </w:r>
          </w:p>
        </w:tc>
      </w:tr>
      <w:tr>
        <w:tc>
          <w:tcPr>
            <w:tcW w:type="dxa" w:w="1900"/>
            <w:vAlign w:val="center"/>
          </w:tcPr>
          <w:p>
            <w:pPr>
              <w:spacing w:before="0" w:after="0" w:line="252" w:lineRule="auto"/>
            </w:pPr>
            <w:r/>
            <w:r>
              <w:rPr>
                <w:rFonts w:ascii="Calibri" w:hAnsi="Calibri"/>
                <w:b w:val="0"/>
                <w:color w:val="000000"/>
                <w:sz w:val="15"/>
              </w:rPr>
              <w:t>IEEE 1016</w:t>
            </w:r>
          </w:p>
        </w:tc>
        <w:tc>
          <w:tcPr>
            <w:tcW w:type="dxa" w:w="2100"/>
            <w:vAlign w:val="center"/>
          </w:tcPr>
          <w:p>
            <w:pPr>
              <w:spacing w:before="0" w:after="0" w:line="252" w:lineRule="auto"/>
            </w:pPr>
            <w:r/>
            <w:r>
              <w:rPr>
                <w:rFonts w:ascii="Calibri" w:hAnsi="Calibri"/>
                <w:b w:val="0"/>
                <w:color w:val="000000"/>
                <w:sz w:val="15"/>
              </w:rPr>
              <w:t>Software Design Description</w:t>
            </w:r>
          </w:p>
        </w:tc>
        <w:tc>
          <w:tcPr>
            <w:tcW w:type="dxa" w:w="3450"/>
            <w:vAlign w:val="center"/>
          </w:tcPr>
          <w:p>
            <w:pPr>
              <w:spacing w:before="0" w:after="0" w:line="252" w:lineRule="auto"/>
            </w:pPr>
            <w:r/>
            <w:r>
              <w:rPr>
                <w:rFonts w:ascii="Calibri" w:hAnsi="Calibri"/>
                <w:b w:val="0"/>
                <w:color w:val="000000"/>
                <w:sz w:val="15"/>
              </w:rPr>
              <w:t>Pages, components, API endpoints, data stores, interfaces, and loading-state behavior are documented.</w:t>
            </w:r>
          </w:p>
        </w:tc>
        <w:tc>
          <w:tcPr>
            <w:tcW w:type="dxa" w:w="1910"/>
            <w:vAlign w:val="center"/>
          </w:tcPr>
          <w:p>
            <w:pPr>
              <w:spacing w:before="0" w:after="0" w:line="252" w:lineRule="auto"/>
            </w:pPr>
            <w:r/>
            <w:r>
              <w:rPr>
                <w:rFonts w:ascii="Calibri" w:hAnsi="Calibri"/>
                <w:b w:val="0"/>
                <w:color w:val="000000"/>
                <w:sz w:val="15"/>
              </w:rPr>
              <w:t>Add sequence diagrams for dashboard and marketplace calls in future design docs.</w:t>
            </w:r>
          </w:p>
        </w:tc>
      </w:tr>
      <w:tr>
        <w:tc>
          <w:tcPr>
            <w:tcW w:type="dxa" w:w="1900"/>
            <w:vAlign w:val="center"/>
          </w:tcPr>
          <w:p>
            <w:pPr>
              <w:spacing w:before="0" w:after="0" w:line="252" w:lineRule="auto"/>
            </w:pPr>
            <w:r/>
            <w:r>
              <w:rPr>
                <w:rFonts w:ascii="Calibri" w:hAnsi="Calibri"/>
                <w:b w:val="0"/>
                <w:color w:val="000000"/>
                <w:sz w:val="15"/>
              </w:rPr>
              <w:t>ISO/IEC/IEEE 29148</w:t>
            </w:r>
          </w:p>
        </w:tc>
        <w:tc>
          <w:tcPr>
            <w:tcW w:type="dxa" w:w="2100"/>
            <w:vAlign w:val="center"/>
          </w:tcPr>
          <w:p>
            <w:pPr>
              <w:spacing w:before="0" w:after="0" w:line="252" w:lineRule="auto"/>
            </w:pPr>
            <w:r/>
            <w:r>
              <w:rPr>
                <w:rFonts w:ascii="Calibri" w:hAnsi="Calibri"/>
                <w:b w:val="0"/>
                <w:color w:val="000000"/>
                <w:sz w:val="15"/>
              </w:rPr>
              <w:t>Requirements engineering and SRS</w:t>
            </w:r>
          </w:p>
        </w:tc>
        <w:tc>
          <w:tcPr>
            <w:tcW w:type="dxa" w:w="3450"/>
            <w:vAlign w:val="center"/>
          </w:tcPr>
          <w:p>
            <w:pPr>
              <w:spacing w:before="0" w:after="0" w:line="252" w:lineRule="auto"/>
            </w:pPr>
            <w:r/>
            <w:r>
              <w:rPr>
                <w:rFonts w:ascii="Calibri" w:hAnsi="Calibri"/>
                <w:b w:val="0"/>
                <w:color w:val="000000"/>
                <w:sz w:val="15"/>
              </w:rPr>
              <w:t>Functional requirements are traceable to pages and endpoints: dashboard telemetry, marketplace models, model detail, demo preview, account/session personalization.</w:t>
            </w:r>
          </w:p>
        </w:tc>
        <w:tc>
          <w:tcPr>
            <w:tcW w:type="dxa" w:w="1910"/>
            <w:vAlign w:val="center"/>
          </w:tcPr>
          <w:p>
            <w:pPr>
              <w:spacing w:before="0" w:after="0" w:line="252" w:lineRule="auto"/>
            </w:pPr>
            <w:r/>
            <w:r>
              <w:rPr>
                <w:rFonts w:ascii="Calibri" w:hAnsi="Calibri"/>
                <w:b w:val="0"/>
                <w:color w:val="000000"/>
                <w:sz w:val="15"/>
              </w:rPr>
              <w:t>Create a formal SRS with requirement IDs and acceptance criteria.</w:t>
            </w:r>
          </w:p>
        </w:tc>
      </w:tr>
      <w:tr>
        <w:tc>
          <w:tcPr>
            <w:tcW w:type="dxa" w:w="1900"/>
            <w:vAlign w:val="center"/>
          </w:tcPr>
          <w:p>
            <w:pPr>
              <w:spacing w:before="0" w:after="0" w:line="252" w:lineRule="auto"/>
            </w:pPr>
            <w:r/>
            <w:r>
              <w:rPr>
                <w:rFonts w:ascii="Calibri" w:hAnsi="Calibri"/>
                <w:b w:val="0"/>
                <w:color w:val="000000"/>
                <w:sz w:val="15"/>
              </w:rPr>
              <w:t>IEEE 830 legacy SRS guidance</w:t>
            </w:r>
          </w:p>
        </w:tc>
        <w:tc>
          <w:tcPr>
            <w:tcW w:type="dxa" w:w="2100"/>
            <w:vAlign w:val="center"/>
          </w:tcPr>
          <w:p>
            <w:pPr>
              <w:spacing w:before="0" w:after="0" w:line="252" w:lineRule="auto"/>
            </w:pPr>
            <w:r/>
            <w:r>
              <w:rPr>
                <w:rFonts w:ascii="Calibri" w:hAnsi="Calibri"/>
                <w:b w:val="0"/>
                <w:color w:val="000000"/>
                <w:sz w:val="15"/>
              </w:rPr>
              <w:t>Legacy SRS structure still used by many reviewers</w:t>
            </w:r>
          </w:p>
        </w:tc>
        <w:tc>
          <w:tcPr>
            <w:tcW w:type="dxa" w:w="3450"/>
            <w:vAlign w:val="center"/>
          </w:tcPr>
          <w:p>
            <w:pPr>
              <w:spacing w:before="0" w:after="0" w:line="252" w:lineRule="auto"/>
            </w:pPr>
            <w:r/>
            <w:r>
              <w:rPr>
                <w:rFonts w:ascii="Calibri" w:hAnsi="Calibri"/>
                <w:b w:val="0"/>
                <w:color w:val="000000"/>
                <w:sz w:val="15"/>
              </w:rPr>
              <w:t>Report sections mirror SRS concerns: purpose, scope, interfaces, data, constraints, quality attributes.</w:t>
            </w:r>
          </w:p>
        </w:tc>
        <w:tc>
          <w:tcPr>
            <w:tcW w:type="dxa" w:w="1910"/>
            <w:vAlign w:val="center"/>
          </w:tcPr>
          <w:p>
            <w:pPr>
              <w:spacing w:before="0" w:after="0" w:line="252" w:lineRule="auto"/>
            </w:pPr>
            <w:r/>
            <w:r>
              <w:rPr>
                <w:rFonts w:ascii="Calibri" w:hAnsi="Calibri"/>
                <w:b w:val="0"/>
                <w:color w:val="000000"/>
                <w:sz w:val="15"/>
              </w:rPr>
              <w:t>Use only as legacy reference; prefer 29148 for future requirements.</w:t>
            </w:r>
          </w:p>
        </w:tc>
      </w:tr>
      <w:tr>
        <w:tc>
          <w:tcPr>
            <w:tcW w:type="dxa" w:w="1900"/>
            <w:vAlign w:val="center"/>
          </w:tcPr>
          <w:p>
            <w:pPr>
              <w:spacing w:before="0" w:after="0" w:line="252" w:lineRule="auto"/>
            </w:pPr>
            <w:r/>
            <w:r>
              <w:rPr>
                <w:rFonts w:ascii="Calibri" w:hAnsi="Calibri"/>
                <w:b w:val="0"/>
                <w:color w:val="000000"/>
                <w:sz w:val="15"/>
              </w:rPr>
              <w:t>IEEE 730</w:t>
            </w:r>
          </w:p>
        </w:tc>
        <w:tc>
          <w:tcPr>
            <w:tcW w:type="dxa" w:w="2100"/>
            <w:vAlign w:val="center"/>
          </w:tcPr>
          <w:p>
            <w:pPr>
              <w:spacing w:before="0" w:after="0" w:line="252" w:lineRule="auto"/>
            </w:pPr>
            <w:r/>
            <w:r>
              <w:rPr>
                <w:rFonts w:ascii="Calibri" w:hAnsi="Calibri"/>
                <w:b w:val="0"/>
                <w:color w:val="000000"/>
                <w:sz w:val="15"/>
              </w:rPr>
              <w:t>Software quality assurance planning</w:t>
            </w:r>
          </w:p>
        </w:tc>
        <w:tc>
          <w:tcPr>
            <w:tcW w:type="dxa" w:w="3450"/>
            <w:vAlign w:val="center"/>
          </w:tcPr>
          <w:p>
            <w:pPr>
              <w:spacing w:before="0" w:after="0" w:line="252" w:lineRule="auto"/>
            </w:pPr>
            <w:r/>
            <w:r>
              <w:rPr>
                <w:rFonts w:ascii="Calibri" w:hAnsi="Calibri"/>
                <w:b w:val="0"/>
                <w:color w:val="000000"/>
                <w:sz w:val="15"/>
              </w:rPr>
              <w:t>Linting, TypeScript checks, and browser smoke tests were used after implementation changes.</w:t>
            </w:r>
          </w:p>
        </w:tc>
        <w:tc>
          <w:tcPr>
            <w:tcW w:type="dxa" w:w="1910"/>
            <w:vAlign w:val="center"/>
          </w:tcPr>
          <w:p>
            <w:pPr>
              <w:spacing w:before="0" w:after="0" w:line="252" w:lineRule="auto"/>
            </w:pPr>
            <w:r/>
            <w:r>
              <w:rPr>
                <w:rFonts w:ascii="Calibri" w:hAnsi="Calibri"/>
                <w:b w:val="0"/>
                <w:color w:val="000000"/>
                <w:sz w:val="15"/>
              </w:rPr>
              <w:t>Document a recurring QA plan with owners, environments, pass/fail thresholds, and release gates.</w:t>
            </w:r>
          </w:p>
        </w:tc>
      </w:tr>
      <w:tr>
        <w:tc>
          <w:tcPr>
            <w:tcW w:type="dxa" w:w="1900"/>
            <w:vAlign w:val="center"/>
          </w:tcPr>
          <w:p>
            <w:pPr>
              <w:spacing w:before="0" w:after="0" w:line="252" w:lineRule="auto"/>
            </w:pPr>
            <w:r/>
            <w:r>
              <w:rPr>
                <w:rFonts w:ascii="Calibri" w:hAnsi="Calibri"/>
                <w:b w:val="0"/>
                <w:color w:val="000000"/>
                <w:sz w:val="15"/>
              </w:rPr>
              <w:t>IEEE 828</w:t>
            </w:r>
          </w:p>
        </w:tc>
        <w:tc>
          <w:tcPr>
            <w:tcW w:type="dxa" w:w="2100"/>
            <w:vAlign w:val="center"/>
          </w:tcPr>
          <w:p>
            <w:pPr>
              <w:spacing w:before="0" w:after="0" w:line="252" w:lineRule="auto"/>
            </w:pPr>
            <w:r/>
            <w:r>
              <w:rPr>
                <w:rFonts w:ascii="Calibri" w:hAnsi="Calibri"/>
                <w:b w:val="0"/>
                <w:color w:val="000000"/>
                <w:sz w:val="15"/>
              </w:rPr>
              <w:t>Configuration management</w:t>
            </w:r>
          </w:p>
        </w:tc>
        <w:tc>
          <w:tcPr>
            <w:tcW w:type="dxa" w:w="3450"/>
            <w:vAlign w:val="center"/>
          </w:tcPr>
          <w:p>
            <w:pPr>
              <w:spacing w:before="0" w:after="0" w:line="252" w:lineRule="auto"/>
            </w:pPr>
            <w:r/>
            <w:r>
              <w:rPr>
                <w:rFonts w:ascii="Calibri" w:hAnsi="Calibri"/>
                <w:b w:val="0"/>
                <w:color w:val="000000"/>
                <w:sz w:val="15"/>
              </w:rPr>
              <w:t>Repo, environment variables, route files, and .qsentia-cache last-good behavior are identified.</w:t>
            </w:r>
          </w:p>
        </w:tc>
        <w:tc>
          <w:tcPr>
            <w:tcW w:type="dxa" w:w="1910"/>
            <w:vAlign w:val="center"/>
          </w:tcPr>
          <w:p>
            <w:pPr>
              <w:spacing w:before="0" w:after="0" w:line="252" w:lineRule="auto"/>
            </w:pPr>
            <w:r/>
            <w:r>
              <w:rPr>
                <w:rFonts w:ascii="Calibri" w:hAnsi="Calibri"/>
                <w:b w:val="0"/>
                <w:color w:val="000000"/>
                <w:sz w:val="15"/>
              </w:rPr>
              <w:t>Create release tags and configuration baselines for production deployments.</w:t>
            </w:r>
          </w:p>
        </w:tc>
      </w:tr>
      <w:tr>
        <w:tc>
          <w:tcPr>
            <w:tcW w:type="dxa" w:w="1900"/>
            <w:vAlign w:val="center"/>
          </w:tcPr>
          <w:p>
            <w:pPr>
              <w:spacing w:before="0" w:after="0" w:line="252" w:lineRule="auto"/>
            </w:pPr>
            <w:r/>
            <w:r>
              <w:rPr>
                <w:rFonts w:ascii="Calibri" w:hAnsi="Calibri"/>
                <w:b w:val="0"/>
                <w:color w:val="000000"/>
                <w:sz w:val="15"/>
              </w:rPr>
              <w:t>IEEE 829 / ISO/IEC/IEEE 29119</w:t>
            </w:r>
          </w:p>
        </w:tc>
        <w:tc>
          <w:tcPr>
            <w:tcW w:type="dxa" w:w="2100"/>
            <w:vAlign w:val="center"/>
          </w:tcPr>
          <w:p>
            <w:pPr>
              <w:spacing w:before="0" w:after="0" w:line="252" w:lineRule="auto"/>
            </w:pPr>
            <w:r/>
            <w:r>
              <w:rPr>
                <w:rFonts w:ascii="Calibri" w:hAnsi="Calibri"/>
                <w:b w:val="0"/>
                <w:color w:val="000000"/>
                <w:sz w:val="15"/>
              </w:rPr>
              <w:t>Test documentation and software testing</w:t>
            </w:r>
          </w:p>
        </w:tc>
        <w:tc>
          <w:tcPr>
            <w:tcW w:type="dxa" w:w="3450"/>
            <w:vAlign w:val="center"/>
          </w:tcPr>
          <w:p>
            <w:pPr>
              <w:spacing w:before="0" w:after="0" w:line="252" w:lineRule="auto"/>
            </w:pPr>
            <w:r/>
            <w:r>
              <w:rPr>
                <w:rFonts w:ascii="Calibri" w:hAnsi="Calibri"/>
                <w:b w:val="0"/>
                <w:color w:val="000000"/>
                <w:sz w:val="15"/>
              </w:rPr>
              <w:t>Manual browser verification and command checks were performed for route loading, data rendering, and console errors.</w:t>
            </w:r>
          </w:p>
        </w:tc>
        <w:tc>
          <w:tcPr>
            <w:tcW w:type="dxa" w:w="1910"/>
            <w:vAlign w:val="center"/>
          </w:tcPr>
          <w:p>
            <w:pPr>
              <w:spacing w:before="0" w:after="0" w:line="252" w:lineRule="auto"/>
            </w:pPr>
            <w:r/>
            <w:r>
              <w:rPr>
                <w:rFonts w:ascii="Calibri" w:hAnsi="Calibri"/>
                <w:b w:val="0"/>
                <w:color w:val="000000"/>
                <w:sz w:val="15"/>
              </w:rPr>
              <w:t>Formalize test cases for API failure, upstream fallback, empty data, and model switching.</w:t>
            </w:r>
          </w:p>
        </w:tc>
      </w:tr>
      <w:tr>
        <w:tc>
          <w:tcPr>
            <w:tcW w:type="dxa" w:w="1900"/>
            <w:vAlign w:val="center"/>
          </w:tcPr>
          <w:p>
            <w:pPr>
              <w:spacing w:before="0" w:after="0" w:line="252" w:lineRule="auto"/>
            </w:pPr>
            <w:r/>
            <w:r>
              <w:rPr>
                <w:rFonts w:ascii="Calibri" w:hAnsi="Calibri"/>
                <w:b w:val="0"/>
                <w:color w:val="000000"/>
                <w:sz w:val="15"/>
              </w:rPr>
              <w:t>IEEE 1063</w:t>
            </w:r>
          </w:p>
        </w:tc>
        <w:tc>
          <w:tcPr>
            <w:tcW w:type="dxa" w:w="2100"/>
            <w:vAlign w:val="center"/>
          </w:tcPr>
          <w:p>
            <w:pPr>
              <w:spacing w:before="0" w:after="0" w:line="252" w:lineRule="auto"/>
            </w:pPr>
            <w:r/>
            <w:r>
              <w:rPr>
                <w:rFonts w:ascii="Calibri" w:hAnsi="Calibri"/>
                <w:b w:val="0"/>
                <w:color w:val="000000"/>
                <w:sz w:val="15"/>
              </w:rPr>
              <w:t>Software user documentation</w:t>
            </w:r>
          </w:p>
        </w:tc>
        <w:tc>
          <w:tcPr>
            <w:tcW w:type="dxa" w:w="3450"/>
            <w:vAlign w:val="center"/>
          </w:tcPr>
          <w:p>
            <w:pPr>
              <w:spacing w:before="0" w:after="0" w:line="252" w:lineRule="auto"/>
            </w:pPr>
            <w:r/>
            <w:r>
              <w:rPr>
                <w:rFonts w:ascii="Calibri" w:hAnsi="Calibri"/>
                <w:b w:val="0"/>
                <w:color w:val="000000"/>
                <w:sz w:val="15"/>
              </w:rPr>
              <w:t>Docs page lists API endpoints and usage flow; page copy explains model equity index and live telemetry context.</w:t>
            </w:r>
          </w:p>
        </w:tc>
        <w:tc>
          <w:tcPr>
            <w:tcW w:type="dxa" w:w="1910"/>
            <w:vAlign w:val="center"/>
          </w:tcPr>
          <w:p>
            <w:pPr>
              <w:spacing w:before="0" w:after="0" w:line="252" w:lineRule="auto"/>
            </w:pPr>
            <w:r/>
            <w:r>
              <w:rPr>
                <w:rFonts w:ascii="Calibri" w:hAnsi="Calibri"/>
                <w:b w:val="0"/>
                <w:color w:val="000000"/>
                <w:sz w:val="15"/>
              </w:rPr>
              <w:t>Add user-facing data dictionary for equity index, drawdown, Sharpe, and source rows.</w:t>
            </w:r>
          </w:p>
        </w:tc>
      </w:tr>
      <w:tr>
        <w:tc>
          <w:tcPr>
            <w:tcW w:type="dxa" w:w="1900"/>
            <w:vAlign w:val="center"/>
          </w:tcPr>
          <w:p>
            <w:pPr>
              <w:spacing w:before="0" w:after="0" w:line="252" w:lineRule="auto"/>
            </w:pPr>
            <w:r/>
            <w:r>
              <w:rPr>
                <w:rFonts w:ascii="Calibri" w:hAnsi="Calibri"/>
                <w:b w:val="0"/>
                <w:color w:val="000000"/>
                <w:sz w:val="15"/>
              </w:rPr>
              <w:t>ISO/IEC/IEEE 12207</w:t>
            </w:r>
          </w:p>
        </w:tc>
        <w:tc>
          <w:tcPr>
            <w:tcW w:type="dxa" w:w="2100"/>
            <w:vAlign w:val="center"/>
          </w:tcPr>
          <w:p>
            <w:pPr>
              <w:spacing w:before="0" w:after="0" w:line="252" w:lineRule="auto"/>
            </w:pPr>
            <w:r/>
            <w:r>
              <w:rPr>
                <w:rFonts w:ascii="Calibri" w:hAnsi="Calibri"/>
                <w:b w:val="0"/>
                <w:color w:val="000000"/>
                <w:sz w:val="15"/>
              </w:rPr>
              <w:t>Software lifecycle processes</w:t>
            </w:r>
          </w:p>
        </w:tc>
        <w:tc>
          <w:tcPr>
            <w:tcW w:type="dxa" w:w="3450"/>
            <w:vAlign w:val="center"/>
          </w:tcPr>
          <w:p>
            <w:pPr>
              <w:spacing w:before="0" w:after="0" w:line="252" w:lineRule="auto"/>
            </w:pPr>
            <w:r/>
            <w:r>
              <w:rPr>
                <w:rFonts w:ascii="Calibri" w:hAnsi="Calibri"/>
                <w:b w:val="0"/>
                <w:color w:val="000000"/>
                <w:sz w:val="15"/>
              </w:rPr>
              <w:t>Implementation, verification, API integration, and maintenance concerns are represented.</w:t>
            </w:r>
          </w:p>
        </w:tc>
        <w:tc>
          <w:tcPr>
            <w:tcW w:type="dxa" w:w="1910"/>
            <w:vAlign w:val="center"/>
          </w:tcPr>
          <w:p>
            <w:pPr>
              <w:spacing w:before="0" w:after="0" w:line="252" w:lineRule="auto"/>
            </w:pPr>
            <w:r/>
            <w:r>
              <w:rPr>
                <w:rFonts w:ascii="Calibri" w:hAnsi="Calibri"/>
                <w:b w:val="0"/>
                <w:color w:val="000000"/>
                <w:sz w:val="15"/>
              </w:rPr>
              <w:t>Define maintenance procedures for registry updates, benchmark changes, and API schema changes.</w:t>
            </w:r>
          </w:p>
        </w:tc>
      </w:tr>
      <w:tr>
        <w:tc>
          <w:tcPr>
            <w:tcW w:type="dxa" w:w="1900"/>
            <w:vAlign w:val="center"/>
          </w:tcPr>
          <w:p>
            <w:pPr>
              <w:spacing w:before="0" w:after="0" w:line="252" w:lineRule="auto"/>
            </w:pPr>
            <w:r/>
            <w:r>
              <w:rPr>
                <w:rFonts w:ascii="Calibri" w:hAnsi="Calibri"/>
                <w:b w:val="0"/>
                <w:color w:val="000000"/>
                <w:sz w:val="15"/>
              </w:rPr>
              <w:t>ISO/IEC/IEEE 24765</w:t>
            </w:r>
          </w:p>
        </w:tc>
        <w:tc>
          <w:tcPr>
            <w:tcW w:type="dxa" w:w="2100"/>
            <w:vAlign w:val="center"/>
          </w:tcPr>
          <w:p>
            <w:pPr>
              <w:spacing w:before="0" w:after="0" w:line="252" w:lineRule="auto"/>
            </w:pPr>
            <w:r/>
            <w:r>
              <w:rPr>
                <w:rFonts w:ascii="Calibri" w:hAnsi="Calibri"/>
                <w:b w:val="0"/>
                <w:color w:val="000000"/>
                <w:sz w:val="15"/>
              </w:rPr>
              <w:t>Systems/software vocabulary</w:t>
            </w:r>
          </w:p>
        </w:tc>
        <w:tc>
          <w:tcPr>
            <w:tcW w:type="dxa" w:w="3450"/>
            <w:vAlign w:val="center"/>
          </w:tcPr>
          <w:p>
            <w:pPr>
              <w:spacing w:before="0" w:after="0" w:line="252" w:lineRule="auto"/>
            </w:pPr>
            <w:r/>
            <w:r>
              <w:rPr>
                <w:rFonts w:ascii="Calibri" w:hAnsi="Calibri"/>
                <w:b w:val="0"/>
                <w:color w:val="000000"/>
                <w:sz w:val="15"/>
              </w:rPr>
              <w:t>Report uses consistent terms: telemetry, model registry, normalized equity index, source rows, benchmark series, execution audit.</w:t>
            </w:r>
          </w:p>
        </w:tc>
        <w:tc>
          <w:tcPr>
            <w:tcW w:type="dxa" w:w="1910"/>
            <w:vAlign w:val="center"/>
          </w:tcPr>
          <w:p>
            <w:pPr>
              <w:spacing w:before="0" w:after="0" w:line="252" w:lineRule="auto"/>
            </w:pPr>
            <w:r/>
            <w:r>
              <w:rPr>
                <w:rFonts w:ascii="Calibri" w:hAnsi="Calibri"/>
                <w:b w:val="0"/>
                <w:color w:val="000000"/>
                <w:sz w:val="15"/>
              </w:rPr>
              <w:t>Keep a terminology appendix in product docs.</w:t>
            </w:r>
          </w:p>
        </w:tc>
      </w:tr>
      <w:tr>
        <w:tc>
          <w:tcPr>
            <w:tcW w:type="dxa" w:w="1900"/>
            <w:vAlign w:val="center"/>
          </w:tcPr>
          <w:p>
            <w:pPr>
              <w:spacing w:before="0" w:after="0" w:line="252" w:lineRule="auto"/>
            </w:pPr>
            <w:r/>
            <w:r>
              <w:rPr>
                <w:rFonts w:ascii="Calibri" w:hAnsi="Calibri"/>
                <w:b w:val="0"/>
                <w:color w:val="000000"/>
                <w:sz w:val="15"/>
              </w:rPr>
              <w:t>IEEE 1028</w:t>
            </w:r>
          </w:p>
        </w:tc>
        <w:tc>
          <w:tcPr>
            <w:tcW w:type="dxa" w:w="2100"/>
            <w:vAlign w:val="center"/>
          </w:tcPr>
          <w:p>
            <w:pPr>
              <w:spacing w:before="0" w:after="0" w:line="252" w:lineRule="auto"/>
            </w:pPr>
            <w:r/>
            <w:r>
              <w:rPr>
                <w:rFonts w:ascii="Calibri" w:hAnsi="Calibri"/>
                <w:b w:val="0"/>
                <w:color w:val="000000"/>
                <w:sz w:val="15"/>
              </w:rPr>
              <w:t>Software reviews and audits</w:t>
            </w:r>
          </w:p>
        </w:tc>
        <w:tc>
          <w:tcPr>
            <w:tcW w:type="dxa" w:w="3450"/>
            <w:vAlign w:val="center"/>
          </w:tcPr>
          <w:p>
            <w:pPr>
              <w:spacing w:before="0" w:after="0" w:line="252" w:lineRule="auto"/>
            </w:pPr>
            <w:r/>
            <w:r>
              <w:rPr>
                <w:rFonts w:ascii="Calibri" w:hAnsi="Calibri"/>
                <w:b w:val="0"/>
                <w:color w:val="000000"/>
                <w:sz w:val="15"/>
              </w:rPr>
              <w:t>The document can support technical review of wiring, interface behavior, and standards alignment.</w:t>
            </w:r>
          </w:p>
        </w:tc>
        <w:tc>
          <w:tcPr>
            <w:tcW w:type="dxa" w:w="1910"/>
            <w:vAlign w:val="center"/>
          </w:tcPr>
          <w:p>
            <w:pPr>
              <w:spacing w:before="0" w:after="0" w:line="252" w:lineRule="auto"/>
            </w:pPr>
            <w:r/>
            <w:r>
              <w:rPr>
                <w:rFonts w:ascii="Calibri" w:hAnsi="Calibri"/>
                <w:b w:val="0"/>
                <w:color w:val="000000"/>
                <w:sz w:val="15"/>
              </w:rPr>
              <w:t>Run a structured peer review before investor or compliance distribution.</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7. Quality Attributes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750"/>
        <w:gridCol w:w="4350"/>
        <w:gridCol w:w="3260"/>
      </w:tblGrid>
      <w:tr>
        <w:trPr>
          <w:tblHeader w:val="true"/>
        </w:trPr>
        <w:tc>
          <w:tcPr>
            <w:tcW w:type="dxa" w:w="17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Attribute</w:t>
            </w:r>
          </w:p>
        </w:tc>
        <w:tc>
          <w:tcPr>
            <w:tcW w:type="dxa" w:w="43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Current design response</w:t>
            </w:r>
          </w:p>
        </w:tc>
        <w:tc>
          <w:tcPr>
            <w:tcW w:type="dxa" w:w="32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Residual risk</w:t>
            </w:r>
          </w:p>
        </w:tc>
      </w:tr>
      <w:tr>
        <w:tc>
          <w:tcPr>
            <w:tcW w:type="dxa" w:w="1750"/>
            <w:vAlign w:val="center"/>
          </w:tcPr>
          <w:p>
            <w:pPr>
              <w:spacing w:before="0" w:after="0" w:line="252" w:lineRule="auto"/>
            </w:pPr>
            <w:r/>
            <w:r>
              <w:rPr>
                <w:rFonts w:ascii="Calibri" w:hAnsi="Calibri"/>
                <w:b w:val="0"/>
                <w:color w:val="000000"/>
                <w:sz w:val="16"/>
              </w:rPr>
              <w:t>Reliability</w:t>
            </w:r>
          </w:p>
        </w:tc>
        <w:tc>
          <w:tcPr>
            <w:tcW w:type="dxa" w:w="4350"/>
            <w:vAlign w:val="center"/>
          </w:tcPr>
          <w:p>
            <w:pPr>
              <w:spacing w:before="0" w:after="0" w:line="252" w:lineRule="auto"/>
            </w:pPr>
            <w:r/>
            <w:r>
              <w:rPr>
                <w:rFonts w:ascii="Calibri" w:hAnsi="Calibri"/>
                <w:b w:val="0"/>
                <w:color w:val="000000"/>
                <w:sz w:val="16"/>
              </w:rPr>
              <w:t>Upstream dashboard attempts, last-good cache fallback, and controlled empty/loading states reduce visible failure.</w:t>
            </w:r>
          </w:p>
        </w:tc>
        <w:tc>
          <w:tcPr>
            <w:tcW w:type="dxa" w:w="3260"/>
            <w:vAlign w:val="center"/>
          </w:tcPr>
          <w:p>
            <w:pPr>
              <w:spacing w:before="0" w:after="0" w:line="252" w:lineRule="auto"/>
            </w:pPr>
            <w:r/>
            <w:r>
              <w:rPr>
                <w:rFonts w:ascii="Calibri" w:hAnsi="Calibri"/>
                <w:b w:val="0"/>
                <w:color w:val="000000"/>
                <w:sz w:val="16"/>
              </w:rPr>
              <w:t>Local cache age and upstream schema drift need monitoring.</w:t>
            </w:r>
          </w:p>
        </w:tc>
      </w:tr>
      <w:tr>
        <w:tc>
          <w:tcPr>
            <w:tcW w:type="dxa" w:w="1750"/>
            <w:vAlign w:val="center"/>
          </w:tcPr>
          <w:p>
            <w:pPr>
              <w:spacing w:before="0" w:after="0" w:line="252" w:lineRule="auto"/>
            </w:pPr>
            <w:r/>
            <w:r>
              <w:rPr>
                <w:rFonts w:ascii="Calibri" w:hAnsi="Calibri"/>
                <w:b w:val="0"/>
                <w:color w:val="000000"/>
                <w:sz w:val="16"/>
              </w:rPr>
              <w:t>Data integrity</w:t>
            </w:r>
          </w:p>
        </w:tc>
        <w:tc>
          <w:tcPr>
            <w:tcW w:type="dxa" w:w="4350"/>
            <w:vAlign w:val="center"/>
          </w:tcPr>
          <w:p>
            <w:pPr>
              <w:spacing w:before="0" w:after="0" w:line="252" w:lineRule="auto"/>
            </w:pPr>
            <w:r/>
            <w:r>
              <w:rPr>
                <w:rFonts w:ascii="Calibri" w:hAnsi="Calibri"/>
                <w:b w:val="0"/>
                <w:color w:val="000000"/>
                <w:sz w:val="16"/>
              </w:rPr>
              <w:t>No synthetic model metrics are introduced by client pages; missing values remain unavailable until source rows exist.</w:t>
            </w:r>
          </w:p>
        </w:tc>
        <w:tc>
          <w:tcPr>
            <w:tcW w:type="dxa" w:w="3260"/>
            <w:vAlign w:val="center"/>
          </w:tcPr>
          <w:p>
            <w:pPr>
              <w:spacing w:before="0" w:after="0" w:line="252" w:lineRule="auto"/>
            </w:pPr>
            <w:r/>
            <w:r>
              <w:rPr>
                <w:rFonts w:ascii="Calibri" w:hAnsi="Calibri"/>
                <w:b w:val="0"/>
                <w:color w:val="000000"/>
                <w:sz w:val="16"/>
              </w:rPr>
              <w:t>Report readers should understand that live upstream values can change after the document is prepared.</w:t>
            </w:r>
          </w:p>
        </w:tc>
      </w:tr>
      <w:tr>
        <w:tc>
          <w:tcPr>
            <w:tcW w:type="dxa" w:w="1750"/>
            <w:vAlign w:val="center"/>
          </w:tcPr>
          <w:p>
            <w:pPr>
              <w:spacing w:before="0" w:after="0" w:line="252" w:lineRule="auto"/>
            </w:pPr>
            <w:r/>
            <w:r>
              <w:rPr>
                <w:rFonts w:ascii="Calibri" w:hAnsi="Calibri"/>
                <w:b w:val="0"/>
                <w:color w:val="000000"/>
                <w:sz w:val="16"/>
              </w:rPr>
              <w:t>Performance</w:t>
            </w:r>
          </w:p>
        </w:tc>
        <w:tc>
          <w:tcPr>
            <w:tcW w:type="dxa" w:w="4350"/>
            <w:vAlign w:val="center"/>
          </w:tcPr>
          <w:p>
            <w:pPr>
              <w:spacing w:before="0" w:after="0" w:line="252" w:lineRule="auto"/>
            </w:pPr>
            <w:r/>
            <w:r>
              <w:rPr>
                <w:rFonts w:ascii="Calibri" w:hAnsi="Calibri"/>
                <w:b w:val="0"/>
                <w:color w:val="000000"/>
                <w:sz w:val="16"/>
              </w:rPr>
              <w:t>SWR caching and API cache headers reduce repeated fetch work; summary endpoint supports lightweight status surfaces.</w:t>
            </w:r>
          </w:p>
        </w:tc>
        <w:tc>
          <w:tcPr>
            <w:tcW w:type="dxa" w:w="3260"/>
            <w:vAlign w:val="center"/>
          </w:tcPr>
          <w:p>
            <w:pPr>
              <w:spacing w:before="0" w:after="0" w:line="252" w:lineRule="auto"/>
            </w:pPr>
            <w:r/>
            <w:r>
              <w:rPr>
                <w:rFonts w:ascii="Calibri" w:hAnsi="Calibri"/>
                <w:b w:val="0"/>
                <w:color w:val="000000"/>
                <w:sz w:val="16"/>
              </w:rPr>
              <w:t>Dashboard route can be slow when fetching all model/benchmark data; background caching or batch endpoints could improve response time.</w:t>
            </w:r>
          </w:p>
        </w:tc>
      </w:tr>
      <w:tr>
        <w:tc>
          <w:tcPr>
            <w:tcW w:type="dxa" w:w="1750"/>
            <w:vAlign w:val="center"/>
          </w:tcPr>
          <w:p>
            <w:pPr>
              <w:spacing w:before="0" w:after="0" w:line="252" w:lineRule="auto"/>
            </w:pPr>
            <w:r/>
            <w:r>
              <w:rPr>
                <w:rFonts w:ascii="Calibri" w:hAnsi="Calibri"/>
                <w:b w:val="0"/>
                <w:color w:val="000000"/>
                <w:sz w:val="16"/>
              </w:rPr>
              <w:t>Usability</w:t>
            </w:r>
          </w:p>
        </w:tc>
        <w:tc>
          <w:tcPr>
            <w:tcW w:type="dxa" w:w="4350"/>
            <w:vAlign w:val="center"/>
          </w:tcPr>
          <w:p>
            <w:pPr>
              <w:spacing w:before="0" w:after="0" w:line="252" w:lineRule="auto"/>
            </w:pPr>
            <w:r/>
            <w:r>
              <w:rPr>
                <w:rFonts w:ascii="Calibri" w:hAnsi="Calibri"/>
                <w:b w:val="0"/>
                <w:color w:val="000000"/>
                <w:sz w:val="16"/>
              </w:rPr>
              <w:t>Plain-language equity index explanation, professional loading buffers, model selector, filters, and tabs improve comprehension.</w:t>
            </w:r>
          </w:p>
        </w:tc>
        <w:tc>
          <w:tcPr>
            <w:tcW w:type="dxa" w:w="3260"/>
            <w:vAlign w:val="center"/>
          </w:tcPr>
          <w:p>
            <w:pPr>
              <w:spacing w:before="0" w:after="0" w:line="252" w:lineRule="auto"/>
            </w:pPr>
            <w:r/>
            <w:r>
              <w:rPr>
                <w:rFonts w:ascii="Calibri" w:hAnsi="Calibri"/>
                <w:b w:val="0"/>
                <w:color w:val="000000"/>
                <w:sz w:val="16"/>
              </w:rPr>
              <w:t>More in-product definitions would help less technical investors.</w:t>
            </w:r>
          </w:p>
        </w:tc>
      </w:tr>
      <w:tr>
        <w:tc>
          <w:tcPr>
            <w:tcW w:type="dxa" w:w="1750"/>
            <w:vAlign w:val="center"/>
          </w:tcPr>
          <w:p>
            <w:pPr>
              <w:spacing w:before="0" w:after="0" w:line="252" w:lineRule="auto"/>
            </w:pPr>
            <w:r/>
            <w:r>
              <w:rPr>
                <w:rFonts w:ascii="Calibri" w:hAnsi="Calibri"/>
                <w:b w:val="0"/>
                <w:color w:val="000000"/>
                <w:sz w:val="16"/>
              </w:rPr>
              <w:t>Security/privacy</w:t>
            </w:r>
          </w:p>
        </w:tc>
        <w:tc>
          <w:tcPr>
            <w:tcW w:type="dxa" w:w="4350"/>
            <w:vAlign w:val="center"/>
          </w:tcPr>
          <w:p>
            <w:pPr>
              <w:spacing w:before="0" w:after="0" w:line="252" w:lineRule="auto"/>
            </w:pPr>
            <w:r/>
            <w:r>
              <w:rPr>
                <w:rFonts w:ascii="Calibri" w:hAnsi="Calibri"/>
                <w:b w:val="0"/>
                <w:color w:val="000000"/>
                <w:sz w:val="16"/>
              </w:rPr>
              <w:t>GitHub token candidates are server-side in route handler; demo preview is rate-limited. Client account session uses local storage only.</w:t>
            </w:r>
          </w:p>
        </w:tc>
        <w:tc>
          <w:tcPr>
            <w:tcW w:type="dxa" w:w="3260"/>
            <w:vAlign w:val="center"/>
          </w:tcPr>
          <w:p>
            <w:pPr>
              <w:spacing w:before="0" w:after="0" w:line="252" w:lineRule="auto"/>
            </w:pPr>
            <w:r/>
            <w:r>
              <w:rPr>
                <w:rFonts w:ascii="Calibri" w:hAnsi="Calibri"/>
                <w:b w:val="0"/>
                <w:color w:val="000000"/>
                <w:sz w:val="16"/>
              </w:rPr>
              <w:t>Local storage is not a secure authentication mechanism; production auth should use server-backed sessions.</w:t>
            </w:r>
          </w:p>
        </w:tc>
      </w:tr>
      <w:tr>
        <w:tc>
          <w:tcPr>
            <w:tcW w:type="dxa" w:w="1750"/>
            <w:vAlign w:val="center"/>
          </w:tcPr>
          <w:p>
            <w:pPr>
              <w:spacing w:before="0" w:after="0" w:line="252" w:lineRule="auto"/>
            </w:pPr>
            <w:r/>
            <w:r>
              <w:rPr>
                <w:rFonts w:ascii="Calibri" w:hAnsi="Calibri"/>
                <w:b w:val="0"/>
                <w:color w:val="000000"/>
                <w:sz w:val="16"/>
              </w:rPr>
              <w:t>Maintainability</w:t>
            </w:r>
          </w:p>
        </w:tc>
        <w:tc>
          <w:tcPr>
            <w:tcW w:type="dxa" w:w="4350"/>
            <w:vAlign w:val="center"/>
          </w:tcPr>
          <w:p>
            <w:pPr>
              <w:spacing w:before="0" w:after="0" w:line="252" w:lineRule="auto"/>
            </w:pPr>
            <w:r/>
            <w:r>
              <w:rPr>
                <w:rFonts w:ascii="Calibri" w:hAnsi="Calibri"/>
                <w:b w:val="0"/>
                <w:color w:val="000000"/>
                <w:sz w:val="16"/>
              </w:rPr>
              <w:t>Shared PageShell, ApiLoadingPanel, metrics utilities, model catalog, and research terminal isolate repeated behavior.</w:t>
            </w:r>
          </w:p>
        </w:tc>
        <w:tc>
          <w:tcPr>
            <w:tcW w:type="dxa" w:w="3260"/>
            <w:vAlign w:val="center"/>
          </w:tcPr>
          <w:p>
            <w:pPr>
              <w:spacing w:before="0" w:after="0" w:line="252" w:lineRule="auto"/>
            </w:pPr>
            <w:r/>
            <w:r>
              <w:rPr>
                <w:rFonts w:ascii="Calibri" w:hAnsi="Calibri"/>
                <w:b w:val="0"/>
                <w:color w:val="000000"/>
                <w:sz w:val="16"/>
              </w:rPr>
              <w:t>Legacy *-SHLOK files should be reviewed and archived or removed to reduce repository noise.</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8. Verification Evidence</w:t>
      </w:r>
    </w:p>
    <w:p>
      <w:pPr>
        <w:spacing w:before="0" w:after="120" w:line="264" w:lineRule="auto"/>
      </w:pPr>
      <w:r>
        <w:rPr>
          <w:rFonts w:ascii="Calibri" w:hAnsi="Calibri"/>
          <w:b w:val="0"/>
          <w:i w:val="0"/>
          <w:color w:val="000000"/>
          <w:sz w:val="22"/>
        </w:rPr>
        <w:t>The following checks were performed during implementation and report preparation.</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900"/>
        <w:gridCol w:w="3300"/>
        <w:gridCol w:w="4160"/>
      </w:tblGrid>
      <w:tr>
        <w:trPr>
          <w:tblHeader w:val="true"/>
        </w:trP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Check</w:t>
            </w:r>
          </w:p>
        </w:tc>
        <w:tc>
          <w:tcPr>
            <w:tcW w:type="dxa" w:w="33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Command or method</w:t>
            </w:r>
          </w:p>
        </w:tc>
        <w:tc>
          <w:tcPr>
            <w:tcW w:type="dxa" w:w="41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Result</w:t>
            </w:r>
          </w:p>
        </w:tc>
      </w:tr>
      <w:tr>
        <w:tc>
          <w:tcPr>
            <w:tcW w:type="dxa" w:w="1900"/>
            <w:vAlign w:val="center"/>
          </w:tcPr>
          <w:p>
            <w:pPr>
              <w:spacing w:before="0" w:after="0" w:line="252" w:lineRule="auto"/>
            </w:pPr>
            <w:r/>
            <w:r>
              <w:rPr>
                <w:rFonts w:ascii="Calibri" w:hAnsi="Calibri"/>
                <w:b w:val="0"/>
                <w:color w:val="000000"/>
                <w:sz w:val="17"/>
              </w:rPr>
              <w:t>TypeScript</w:t>
            </w:r>
          </w:p>
        </w:tc>
        <w:tc>
          <w:tcPr>
            <w:tcW w:type="dxa" w:w="3300"/>
            <w:vAlign w:val="center"/>
          </w:tcPr>
          <w:p>
            <w:pPr>
              <w:spacing w:before="0" w:after="0" w:line="252" w:lineRule="auto"/>
            </w:pPr>
            <w:r/>
            <w:r>
              <w:rPr>
                <w:rFonts w:ascii="Calibri" w:hAnsi="Calibri"/>
                <w:b w:val="0"/>
                <w:color w:val="000000"/>
                <w:sz w:val="17"/>
              </w:rPr>
              <w:t>npx tsc --noEmit</w:t>
            </w:r>
          </w:p>
        </w:tc>
        <w:tc>
          <w:tcPr>
            <w:tcW w:type="dxa" w:w="4160"/>
            <w:vAlign w:val="center"/>
          </w:tcPr>
          <w:p>
            <w:pPr>
              <w:spacing w:before="0" w:after="0" w:line="252" w:lineRule="auto"/>
            </w:pPr>
            <w:r/>
            <w:r>
              <w:rPr>
                <w:rFonts w:ascii="Calibri" w:hAnsi="Calibri"/>
                <w:b w:val="0"/>
                <w:color w:val="000000"/>
                <w:sz w:val="17"/>
              </w:rPr>
              <w:t>Passed after loading-state changes.</w:t>
            </w:r>
          </w:p>
        </w:tc>
      </w:tr>
      <w:tr>
        <w:tc>
          <w:tcPr>
            <w:tcW w:type="dxa" w:w="1900"/>
            <w:vAlign w:val="center"/>
          </w:tcPr>
          <w:p>
            <w:pPr>
              <w:spacing w:before="0" w:after="0" w:line="252" w:lineRule="auto"/>
            </w:pPr>
            <w:r/>
            <w:r>
              <w:rPr>
                <w:rFonts w:ascii="Calibri" w:hAnsi="Calibri"/>
                <w:b w:val="0"/>
                <w:color w:val="000000"/>
                <w:sz w:val="17"/>
              </w:rPr>
              <w:t>ESLint</w:t>
            </w:r>
          </w:p>
        </w:tc>
        <w:tc>
          <w:tcPr>
            <w:tcW w:type="dxa" w:w="3300"/>
            <w:vAlign w:val="center"/>
          </w:tcPr>
          <w:p>
            <w:pPr>
              <w:spacing w:before="0" w:after="0" w:line="252" w:lineRule="auto"/>
            </w:pPr>
            <w:r/>
            <w:r>
              <w:rPr>
                <w:rFonts w:ascii="Calibri" w:hAnsi="Calibri"/>
                <w:b w:val="0"/>
                <w:color w:val="000000"/>
                <w:sz w:val="17"/>
              </w:rPr>
              <w:t>npx eslint on changed API-backed pages and shared components</w:t>
            </w:r>
          </w:p>
        </w:tc>
        <w:tc>
          <w:tcPr>
            <w:tcW w:type="dxa" w:w="4160"/>
            <w:vAlign w:val="center"/>
          </w:tcPr>
          <w:p>
            <w:pPr>
              <w:spacing w:before="0" w:after="0" w:line="252" w:lineRule="auto"/>
            </w:pPr>
            <w:r/>
            <w:r>
              <w:rPr>
                <w:rFonts w:ascii="Calibri" w:hAnsi="Calibri"/>
                <w:b w:val="0"/>
                <w:color w:val="000000"/>
                <w:sz w:val="17"/>
              </w:rPr>
              <w:t>Passed after wiring updates.</w:t>
            </w:r>
          </w:p>
        </w:tc>
      </w:tr>
      <w:tr>
        <w:tc>
          <w:tcPr>
            <w:tcW w:type="dxa" w:w="1900"/>
            <w:vAlign w:val="center"/>
          </w:tcPr>
          <w:p>
            <w:pPr>
              <w:spacing w:before="0" w:after="0" w:line="252" w:lineRule="auto"/>
            </w:pPr>
            <w:r/>
            <w:r>
              <w:rPr>
                <w:rFonts w:ascii="Calibri" w:hAnsi="Calibri"/>
                <w:b w:val="0"/>
                <w:color w:val="000000"/>
                <w:sz w:val="17"/>
              </w:rPr>
              <w:t>Local API sample</w:t>
            </w:r>
          </w:p>
        </w:tc>
        <w:tc>
          <w:tcPr>
            <w:tcW w:type="dxa" w:w="3300"/>
            <w:vAlign w:val="center"/>
          </w:tcPr>
          <w:p>
            <w:pPr>
              <w:spacing w:before="0" w:after="0" w:line="252" w:lineRule="auto"/>
            </w:pPr>
            <w:r/>
            <w:r>
              <w:rPr>
                <w:rFonts w:ascii="Calibri" w:hAnsi="Calibri"/>
                <w:b w:val="0"/>
                <w:color w:val="000000"/>
                <w:sz w:val="17"/>
              </w:rPr>
              <w:t>GET http://localhost:3001/api/dashboard</w:t>
            </w:r>
          </w:p>
        </w:tc>
        <w:tc>
          <w:tcPr>
            <w:tcW w:type="dxa" w:w="4160"/>
            <w:vAlign w:val="center"/>
          </w:tcPr>
          <w:p>
            <w:pPr>
              <w:spacing w:before="0" w:after="0" w:line="252" w:lineRule="auto"/>
            </w:pPr>
            <w:r/>
            <w:r>
              <w:rPr>
                <w:rFonts w:ascii="Calibri" w:hAnsi="Calibri"/>
                <w:b w:val="0"/>
                <w:color w:val="000000"/>
                <w:sz w:val="17"/>
              </w:rPr>
              <w:t>Returned 10 registry models, 10 model comparison rows, 5 benchmarks, 6 selected curve points, 6 decisions, and 3 submitted orders.</w:t>
            </w:r>
          </w:p>
        </w:tc>
      </w:tr>
      <w:tr>
        <w:tc>
          <w:tcPr>
            <w:tcW w:type="dxa" w:w="1900"/>
            <w:vAlign w:val="center"/>
          </w:tcPr>
          <w:p>
            <w:pPr>
              <w:spacing w:before="0" w:after="0" w:line="252" w:lineRule="auto"/>
            </w:pPr>
            <w:r/>
            <w:r>
              <w:rPr>
                <w:rFonts w:ascii="Calibri" w:hAnsi="Calibri"/>
                <w:b w:val="0"/>
                <w:color w:val="000000"/>
                <w:sz w:val="17"/>
              </w:rPr>
              <w:t>Marketplace API sample</w:t>
            </w:r>
          </w:p>
        </w:tc>
        <w:tc>
          <w:tcPr>
            <w:tcW w:type="dxa" w:w="3300"/>
            <w:vAlign w:val="center"/>
          </w:tcPr>
          <w:p>
            <w:pPr>
              <w:spacing w:before="0" w:after="0" w:line="252" w:lineRule="auto"/>
            </w:pPr>
            <w:r/>
            <w:r>
              <w:rPr>
                <w:rFonts w:ascii="Calibri" w:hAnsi="Calibri"/>
                <w:b w:val="0"/>
                <w:color w:val="000000"/>
                <w:sz w:val="17"/>
              </w:rPr>
              <w:t>GET http://localhost:3001/api/models</w:t>
            </w:r>
          </w:p>
        </w:tc>
        <w:tc>
          <w:tcPr>
            <w:tcW w:type="dxa" w:w="4160"/>
            <w:vAlign w:val="center"/>
          </w:tcPr>
          <w:p>
            <w:pPr>
              <w:spacing w:before="0" w:after="0" w:line="252" w:lineRule="auto"/>
            </w:pPr>
            <w:r/>
            <w:r>
              <w:rPr>
                <w:rFonts w:ascii="Calibri" w:hAnsi="Calibri"/>
                <w:b w:val="0"/>
                <w:color w:val="000000"/>
                <w:sz w:val="17"/>
              </w:rPr>
              <w:t>Returned 10 models, source app-api-dashboard, and slug qsentia-brppo-macro-rotation-alpaca for the first model.</w:t>
            </w:r>
          </w:p>
        </w:tc>
      </w:tr>
      <w:tr>
        <w:tc>
          <w:tcPr>
            <w:tcW w:type="dxa" w:w="1900"/>
            <w:vAlign w:val="center"/>
          </w:tcPr>
          <w:p>
            <w:pPr>
              <w:spacing w:before="0" w:after="0" w:line="252" w:lineRule="auto"/>
            </w:pPr>
            <w:r/>
            <w:r>
              <w:rPr>
                <w:rFonts w:ascii="Calibri" w:hAnsi="Calibri"/>
                <w:b w:val="0"/>
                <w:color w:val="000000"/>
                <w:sz w:val="17"/>
              </w:rPr>
              <w:t>Browser smoke test</w:t>
            </w:r>
          </w:p>
        </w:tc>
        <w:tc>
          <w:tcPr>
            <w:tcW w:type="dxa" w:w="3300"/>
            <w:vAlign w:val="center"/>
          </w:tcPr>
          <w:p>
            <w:pPr>
              <w:spacing w:before="0" w:after="0" w:line="252" w:lineRule="auto"/>
            </w:pPr>
            <w:r/>
            <w:r>
              <w:rPr>
                <w:rFonts w:ascii="Calibri" w:hAnsi="Calibri"/>
                <w:b w:val="0"/>
                <w:color w:val="000000"/>
                <w:sz w:val="17"/>
              </w:rPr>
              <w:t>In-app browser checks for /dashboard, /research, /marketplace, /marketplace/{slug}, /mleq</w:t>
            </w:r>
          </w:p>
        </w:tc>
        <w:tc>
          <w:tcPr>
            <w:tcW w:type="dxa" w:w="4160"/>
            <w:vAlign w:val="center"/>
          </w:tcPr>
          <w:p>
            <w:pPr>
              <w:spacing w:before="0" w:after="0" w:line="252" w:lineRule="auto"/>
            </w:pPr>
            <w:r/>
            <w:r>
              <w:rPr>
                <w:rFonts w:ascii="Calibri" w:hAnsi="Calibri"/>
                <w:b w:val="0"/>
                <w:color w:val="000000"/>
                <w:sz w:val="17"/>
              </w:rPr>
              <w:t>Loading buffers appeared first and cleared into real content once data resolved; no console errors were reported.</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9. Deployment and Environment Notes</w:t>
      </w:r>
    </w:p>
    <w:p>
      <w:pPr>
        <w:pStyle w:val="ListBullet"/>
        <w:spacing w:before="0" w:after="80" w:line="280" w:lineRule="auto"/>
      </w:pPr>
      <w:r>
        <w:rPr>
          <w:rFonts w:ascii="Calibri" w:hAnsi="Calibri"/>
          <w:color w:val="000000"/>
          <w:sz w:val="22"/>
        </w:rPr>
        <w:t>Development runs with next dev on localhost:3001.</w:t>
      </w:r>
    </w:p>
    <w:p>
      <w:pPr>
        <w:pStyle w:val="ListBullet"/>
        <w:spacing w:before="0" w:after="80" w:line="280" w:lineRule="auto"/>
      </w:pPr>
      <w:r>
        <w:rPr>
          <w:rFonts w:ascii="Calibri" w:hAnsi="Calibri"/>
          <w:color w:val="000000"/>
          <w:sz w:val="22"/>
        </w:rPr>
        <w:t>The dashboard API uses environment variables for registry owner, repository, branch, default model, upstream API base URL, account starting capital, and GitHub read tokens.</w:t>
      </w:r>
    </w:p>
    <w:p>
      <w:pPr>
        <w:pStyle w:val="ListBullet"/>
        <w:spacing w:before="0" w:after="80" w:line="280" w:lineRule="auto"/>
      </w:pPr>
      <w:r>
        <w:rPr>
          <w:rFonts w:ascii="Calibri" w:hAnsi="Calibri"/>
          <w:color w:val="000000"/>
          <w:sz w:val="22"/>
        </w:rPr>
        <w:t>When running on localhost or 127.0.0.1, the dashboard route prefers upstream QSentia API data unless disabled by QSENTIA_DISABLE_UPSTREAM_API_PROXY=1.</w:t>
      </w:r>
    </w:p>
    <w:p>
      <w:pPr>
        <w:pStyle w:val="ListBullet"/>
        <w:spacing w:before="0" w:after="80" w:line="280" w:lineRule="auto"/>
      </w:pPr>
      <w:r>
        <w:rPr>
          <w:rFonts w:ascii="Calibri" w:hAnsi="Calibri"/>
          <w:color w:val="000000"/>
          <w:sz w:val="22"/>
        </w:rPr>
        <w:t>Server-side GitHub token candidates include GITHUB_READ_TOKEN, QSENTIA_GITHUB_READ_TOKEN, GITHUB_TOKEN, GH_TOKEN, VERCEL_GITHUB_TOKEN, and NEXT_PUBLIC_GITHUB_READ_TOKEN.</w:t>
      </w:r>
    </w:p>
    <w:p>
      <w:pPr>
        <w:pStyle w:val="ListBullet"/>
        <w:spacing w:before="0" w:after="80" w:line="280" w:lineRule="auto"/>
      </w:pPr>
      <w:r>
        <w:rPr>
          <w:rFonts w:ascii="Calibri" w:hAnsi="Calibri"/>
          <w:color w:val="000000"/>
          <w:sz w:val="22"/>
        </w:rPr>
        <w:t>The local last-good cache is stored in .qsentia-cache/dashboard-last-good.json and should be treated as operational cache, not source of record.</w:t>
      </w:r>
    </w:p>
    <w:p>
      <w:pPr>
        <w:pStyle w:val="Heading1"/>
        <w:spacing w:before="320" w:after="160" w:line="264" w:lineRule="auto"/>
      </w:pPr>
      <w:r>
        <w:rPr>
          <w:rFonts w:ascii="Calibri" w:hAnsi="Calibri"/>
          <w:b/>
          <w:color w:val="2E74B5"/>
          <w:sz w:val="32"/>
        </w:rPr>
        <w:t>10. Recommended Next Steps</w:t>
      </w:r>
    </w:p>
    <w:p>
      <w:pPr>
        <w:pStyle w:val="ListNumber"/>
        <w:spacing w:before="0" w:after="80" w:line="280" w:lineRule="auto"/>
      </w:pPr>
      <w:r>
        <w:rPr>
          <w:rFonts w:ascii="Calibri" w:hAnsi="Calibri"/>
          <w:color w:val="000000"/>
          <w:sz w:val="22"/>
        </w:rPr>
        <w:t>Create formal requirement IDs for every page and API endpoint, then connect them to acceptance tests.</w:t>
      </w:r>
    </w:p>
    <w:p>
      <w:pPr>
        <w:pStyle w:val="ListNumber"/>
        <w:spacing w:before="0" w:after="80" w:line="280" w:lineRule="auto"/>
      </w:pPr>
      <w:r>
        <w:rPr>
          <w:rFonts w:ascii="Calibri" w:hAnsi="Calibri"/>
          <w:color w:val="000000"/>
          <w:sz w:val="22"/>
        </w:rPr>
        <w:t>Add automated API contract tests for /api/dashboard, /api/models, /api/models/{slug}, and /api/models/{slug}/demo.</w:t>
      </w:r>
    </w:p>
    <w:p>
      <w:pPr>
        <w:pStyle w:val="ListNumber"/>
        <w:spacing w:before="0" w:after="80" w:line="280" w:lineRule="auto"/>
      </w:pPr>
      <w:r>
        <w:rPr>
          <w:rFonts w:ascii="Calibri" w:hAnsi="Calibri"/>
          <w:color w:val="000000"/>
          <w:sz w:val="22"/>
        </w:rPr>
        <w:t>Add monitored cache-age and upstream-health status so stale data is visible to operators.</w:t>
      </w:r>
    </w:p>
    <w:p>
      <w:pPr>
        <w:pStyle w:val="ListNumber"/>
        <w:spacing w:before="0" w:after="80" w:line="280" w:lineRule="auto"/>
      </w:pPr>
      <w:r>
        <w:rPr>
          <w:rFonts w:ascii="Calibri" w:hAnsi="Calibri"/>
          <w:color w:val="000000"/>
          <w:sz w:val="22"/>
        </w:rPr>
        <w:t>Replace local-storage-only sign-in with production authentication before treating accounts as secure.</w:t>
      </w:r>
    </w:p>
    <w:p>
      <w:pPr>
        <w:pStyle w:val="ListNumber"/>
        <w:spacing w:before="0" w:after="80" w:line="280" w:lineRule="auto"/>
      </w:pPr>
      <w:r>
        <w:rPr>
          <w:rFonts w:ascii="Calibri" w:hAnsi="Calibri"/>
          <w:color w:val="000000"/>
          <w:sz w:val="22"/>
        </w:rPr>
        <w:t>Archive or remove legacy *-SHLOK files after confirming they are no longer part of the active implementation.</w:t>
      </w:r>
    </w:p>
    <w:p>
      <w:pPr>
        <w:pStyle w:val="ListNumber"/>
        <w:spacing w:before="0" w:after="80" w:line="280" w:lineRule="auto"/>
      </w:pPr>
      <w:r>
        <w:rPr>
          <w:rFonts w:ascii="Calibri" w:hAnsi="Calibri"/>
          <w:color w:val="000000"/>
          <w:sz w:val="22"/>
        </w:rPr>
        <w:t>Create a user-facing glossary for normalized equity index, benchmark, source points, drawdown, Sharpe ratio, and execution audit.</w:t>
      </w:r>
    </w:p>
    <w:p>
      <w:pPr>
        <w:pStyle w:val="Heading1"/>
        <w:spacing w:before="320" w:after="160" w:line="264" w:lineRule="auto"/>
      </w:pPr>
      <w:r>
        <w:rPr>
          <w:rFonts w:ascii="Calibri" w:hAnsi="Calibri"/>
          <w:b/>
          <w:color w:val="2E74B5"/>
          <w:sz w:val="32"/>
        </w:rPr>
        <w:t>Appendix A. Current File Map</w:t>
      </w:r>
    </w:p>
    <w:p>
      <w:pPr>
        <w:spacing w:before="0" w:after="120" w:line="264" w:lineRule="auto"/>
      </w:pPr>
      <w:r>
        <w:rPr>
          <w:rFonts w:ascii="Calibri" w:hAnsi="Calibri"/>
          <w:b w:val="0"/>
          <w:i w:val="0"/>
          <w:color w:val="000000"/>
          <w:sz w:val="22"/>
        </w:rPr>
        <w:t>Active implementation files are concentrated in app/, components/, and lib/. The following inventory summarizes the main wiring files.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3600"/>
        <w:gridCol w:w="5760"/>
      </w:tblGrid>
      <w:tr>
        <w:trPr>
          <w:tblHeader w:val="true"/>
        </w:trPr>
        <w:tc>
          <w:tcPr>
            <w:tcW w:type="dxa" w:w="36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File</w:t>
            </w:r>
          </w:p>
        </w:tc>
        <w:tc>
          <w:tcPr>
            <w:tcW w:type="dxa" w:w="57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Role</w:t>
            </w:r>
          </w:p>
        </w:tc>
      </w:tr>
      <w:tr>
        <w:tc>
          <w:tcPr>
            <w:tcW w:type="dxa" w:w="3600"/>
            <w:vAlign w:val="center"/>
          </w:tcPr>
          <w:p>
            <w:pPr>
              <w:spacing w:before="0" w:after="0" w:line="252" w:lineRule="auto"/>
            </w:pPr>
            <w:r/>
            <w:r>
              <w:rPr>
                <w:rFonts w:ascii="Calibri" w:hAnsi="Calibri"/>
                <w:b w:val="0"/>
                <w:color w:val="000000"/>
                <w:sz w:val="16"/>
              </w:rPr>
              <w:t>app/layout.tsx</w:t>
            </w:r>
          </w:p>
        </w:tc>
        <w:tc>
          <w:tcPr>
            <w:tcW w:type="dxa" w:w="5760"/>
            <w:vAlign w:val="center"/>
          </w:tcPr>
          <w:p>
            <w:pPr>
              <w:spacing w:before="0" w:after="0" w:line="252" w:lineRule="auto"/>
            </w:pPr>
            <w:r/>
            <w:r>
              <w:rPr>
                <w:rFonts w:ascii="Calibri" w:hAnsi="Calibri"/>
                <w:b w:val="0"/>
                <w:color w:val="000000"/>
                <w:sz w:val="16"/>
              </w:rPr>
              <w:t>Global metadata, footer, and Alex assistant injection.</w:t>
            </w:r>
          </w:p>
        </w:tc>
      </w:tr>
      <w:tr>
        <w:tc>
          <w:tcPr>
            <w:tcW w:type="dxa" w:w="3600"/>
            <w:vAlign w:val="center"/>
          </w:tcPr>
          <w:p>
            <w:pPr>
              <w:spacing w:before="0" w:after="0" w:line="252" w:lineRule="auto"/>
            </w:pPr>
            <w:r/>
            <w:r>
              <w:rPr>
                <w:rFonts w:ascii="Calibri" w:hAnsi="Calibri"/>
                <w:b w:val="0"/>
                <w:color w:val="000000"/>
                <w:sz w:val="16"/>
              </w:rPr>
              <w:t>app/page.tsx</w:t>
            </w:r>
          </w:p>
        </w:tc>
        <w:tc>
          <w:tcPr>
            <w:tcW w:type="dxa" w:w="5760"/>
            <w:vAlign w:val="center"/>
          </w:tcPr>
          <w:p>
            <w:pPr>
              <w:spacing w:before="0" w:after="0" w:line="252" w:lineRule="auto"/>
            </w:pPr>
            <w:r/>
            <w:r>
              <w:rPr>
                <w:rFonts w:ascii="Calibri" w:hAnsi="Calibri"/>
                <w:b w:val="0"/>
                <w:color w:val="000000"/>
                <w:sz w:val="16"/>
              </w:rPr>
              <w:t>Home page, selected model equity index, API preview, mission/vision/objective section.</w:t>
            </w:r>
          </w:p>
        </w:tc>
      </w:tr>
      <w:tr>
        <w:tc>
          <w:tcPr>
            <w:tcW w:type="dxa" w:w="3600"/>
            <w:vAlign w:val="center"/>
          </w:tcPr>
          <w:p>
            <w:pPr>
              <w:spacing w:before="0" w:after="0" w:line="252" w:lineRule="auto"/>
            </w:pPr>
            <w:r/>
            <w:r>
              <w:rPr>
                <w:rFonts w:ascii="Calibri" w:hAnsi="Calibri"/>
                <w:b w:val="0"/>
                <w:color w:val="000000"/>
                <w:sz w:val="16"/>
              </w:rPr>
              <w:t>app/dashboard/page.tsx</w:t>
            </w:r>
          </w:p>
        </w:tc>
        <w:tc>
          <w:tcPr>
            <w:tcW w:type="dxa" w:w="5760"/>
            <w:vAlign w:val="center"/>
          </w:tcPr>
          <w:p>
            <w:pPr>
              <w:spacing w:before="0" w:after="0" w:line="252" w:lineRule="auto"/>
            </w:pPr>
            <w:r/>
            <w:r>
              <w:rPr>
                <w:rFonts w:ascii="Calibri" w:hAnsi="Calibri"/>
                <w:b w:val="0"/>
                <w:color w:val="000000"/>
                <w:sz w:val="16"/>
              </w:rPr>
              <w:t>Live dashboard terminal and model selector.</w:t>
            </w:r>
          </w:p>
        </w:tc>
      </w:tr>
      <w:tr>
        <w:tc>
          <w:tcPr>
            <w:tcW w:type="dxa" w:w="3600"/>
            <w:vAlign w:val="center"/>
          </w:tcPr>
          <w:p>
            <w:pPr>
              <w:spacing w:before="0" w:after="0" w:line="252" w:lineRule="auto"/>
            </w:pPr>
            <w:r/>
            <w:r>
              <w:rPr>
                <w:rFonts w:ascii="Calibri" w:hAnsi="Calibri"/>
                <w:b w:val="0"/>
                <w:color w:val="000000"/>
                <w:sz w:val="16"/>
              </w:rPr>
              <w:t>components/ResearchTerminal.tsx</w:t>
            </w:r>
          </w:p>
        </w:tc>
        <w:tc>
          <w:tcPr>
            <w:tcW w:type="dxa" w:w="5760"/>
            <w:vAlign w:val="center"/>
          </w:tcPr>
          <w:p>
            <w:pPr>
              <w:spacing w:before="0" w:after="0" w:line="252" w:lineRule="auto"/>
            </w:pPr>
            <w:r/>
            <w:r>
              <w:rPr>
                <w:rFonts w:ascii="Calibri" w:hAnsi="Calibri"/>
                <w:b w:val="0"/>
                <w:color w:val="000000"/>
                <w:sz w:val="16"/>
              </w:rPr>
              <w:t>Research tabs, tickers, filters, normalized charts, exposure, execution, decision, and health views.</w:t>
            </w:r>
          </w:p>
        </w:tc>
      </w:tr>
      <w:tr>
        <w:tc>
          <w:tcPr>
            <w:tcW w:type="dxa" w:w="3600"/>
            <w:vAlign w:val="center"/>
          </w:tcPr>
          <w:p>
            <w:pPr>
              <w:spacing w:before="0" w:after="0" w:line="252" w:lineRule="auto"/>
            </w:pPr>
            <w:r/>
            <w:r>
              <w:rPr>
                <w:rFonts w:ascii="Calibri" w:hAnsi="Calibri"/>
                <w:b w:val="0"/>
                <w:color w:val="000000"/>
                <w:sz w:val="16"/>
              </w:rPr>
              <w:t>app/mleq/page.tsx</w:t>
            </w:r>
          </w:p>
        </w:tc>
        <w:tc>
          <w:tcPr>
            <w:tcW w:type="dxa" w:w="5760"/>
            <w:vAlign w:val="center"/>
          </w:tcPr>
          <w:p>
            <w:pPr>
              <w:spacing w:before="0" w:after="0" w:line="252" w:lineRule="auto"/>
            </w:pPr>
            <w:r/>
            <w:r>
              <w:rPr>
                <w:rFonts w:ascii="Calibri" w:hAnsi="Calibri"/>
                <w:b w:val="0"/>
                <w:color w:val="000000"/>
                <w:sz w:val="16"/>
              </w:rPr>
              <w:t>Machine Learning Equity Quant narrative and live telemetry page.</w:t>
            </w:r>
          </w:p>
        </w:tc>
      </w:tr>
      <w:tr>
        <w:tc>
          <w:tcPr>
            <w:tcW w:type="dxa" w:w="3600"/>
            <w:vAlign w:val="center"/>
          </w:tcPr>
          <w:p>
            <w:pPr>
              <w:spacing w:before="0" w:after="0" w:line="252" w:lineRule="auto"/>
            </w:pPr>
            <w:r/>
            <w:r>
              <w:rPr>
                <w:rFonts w:ascii="Calibri" w:hAnsi="Calibri"/>
                <w:b w:val="0"/>
                <w:color w:val="000000"/>
                <w:sz w:val="16"/>
              </w:rPr>
              <w:t>app/marketplace/page.tsx</w:t>
            </w:r>
          </w:p>
        </w:tc>
        <w:tc>
          <w:tcPr>
            <w:tcW w:type="dxa" w:w="5760"/>
            <w:vAlign w:val="center"/>
          </w:tcPr>
          <w:p>
            <w:pPr>
              <w:spacing w:before="0" w:after="0" w:line="252" w:lineRule="auto"/>
            </w:pPr>
            <w:r/>
            <w:r>
              <w:rPr>
                <w:rFonts w:ascii="Calibri" w:hAnsi="Calibri"/>
                <w:b w:val="0"/>
                <w:color w:val="000000"/>
                <w:sz w:val="16"/>
              </w:rPr>
              <w:t>API-backed marketplace model list.</w:t>
            </w:r>
          </w:p>
        </w:tc>
      </w:tr>
      <w:tr>
        <w:tc>
          <w:tcPr>
            <w:tcW w:type="dxa" w:w="3600"/>
            <w:vAlign w:val="center"/>
          </w:tcPr>
          <w:p>
            <w:pPr>
              <w:spacing w:before="0" w:after="0" w:line="252" w:lineRule="auto"/>
            </w:pPr>
            <w:r/>
            <w:r>
              <w:rPr>
                <w:rFonts w:ascii="Calibri" w:hAnsi="Calibri"/>
                <w:b w:val="0"/>
                <w:color w:val="000000"/>
                <w:sz w:val="16"/>
              </w:rPr>
              <w:t>app/marketplace/[slug]/page.tsx</w:t>
            </w:r>
          </w:p>
        </w:tc>
        <w:tc>
          <w:tcPr>
            <w:tcW w:type="dxa" w:w="5760"/>
            <w:vAlign w:val="center"/>
          </w:tcPr>
          <w:p>
            <w:pPr>
              <w:spacing w:before="0" w:after="0" w:line="252" w:lineRule="auto"/>
            </w:pPr>
            <w:r/>
            <w:r>
              <w:rPr>
                <w:rFonts w:ascii="Calibri" w:hAnsi="Calibri"/>
                <w:b w:val="0"/>
                <w:color w:val="000000"/>
                <w:sz w:val="16"/>
              </w:rPr>
              <w:t>API-backed model detail page and demo preview button.</w:t>
            </w:r>
          </w:p>
        </w:tc>
      </w:tr>
      <w:tr>
        <w:tc>
          <w:tcPr>
            <w:tcW w:type="dxa" w:w="3600"/>
            <w:vAlign w:val="center"/>
          </w:tcPr>
          <w:p>
            <w:pPr>
              <w:spacing w:before="0" w:after="0" w:line="252" w:lineRule="auto"/>
            </w:pPr>
            <w:r/>
            <w:r>
              <w:rPr>
                <w:rFonts w:ascii="Calibri" w:hAnsi="Calibri"/>
                <w:b w:val="0"/>
                <w:color w:val="000000"/>
                <w:sz w:val="16"/>
              </w:rPr>
              <w:t>app/api/dashboard/route.ts</w:t>
            </w:r>
          </w:p>
        </w:tc>
        <w:tc>
          <w:tcPr>
            <w:tcW w:type="dxa" w:w="5760"/>
            <w:vAlign w:val="center"/>
          </w:tcPr>
          <w:p>
            <w:pPr>
              <w:spacing w:before="0" w:after="0" w:line="252" w:lineRule="auto"/>
            </w:pPr>
            <w:r/>
            <w:r>
              <w:rPr>
                <w:rFonts w:ascii="Calibri" w:hAnsi="Calibri"/>
                <w:b w:val="0"/>
                <w:color w:val="000000"/>
                <w:sz w:val="16"/>
              </w:rPr>
              <w:t>Central dashboard API orchestration, upstream proxy, cache, GitHub/raw log fallback, metrics and benchmark computation.</w:t>
            </w:r>
          </w:p>
        </w:tc>
      </w:tr>
      <w:tr>
        <w:tc>
          <w:tcPr>
            <w:tcW w:type="dxa" w:w="3600"/>
            <w:vAlign w:val="center"/>
          </w:tcPr>
          <w:p>
            <w:pPr>
              <w:spacing w:before="0" w:after="0" w:line="252" w:lineRule="auto"/>
            </w:pPr>
            <w:r/>
            <w:r>
              <w:rPr>
                <w:rFonts w:ascii="Calibri" w:hAnsi="Calibri"/>
                <w:b w:val="0"/>
                <w:color w:val="000000"/>
                <w:sz w:val="16"/>
              </w:rPr>
              <w:t>app/api/models/route.ts</w:t>
            </w:r>
          </w:p>
        </w:tc>
        <w:tc>
          <w:tcPr>
            <w:tcW w:type="dxa" w:w="5760"/>
            <w:vAlign w:val="center"/>
          </w:tcPr>
          <w:p>
            <w:pPr>
              <w:spacing w:before="0" w:after="0" w:line="252" w:lineRule="auto"/>
            </w:pPr>
            <w:r/>
            <w:r>
              <w:rPr>
                <w:rFonts w:ascii="Calibri" w:hAnsi="Calibri"/>
                <w:b w:val="0"/>
                <w:color w:val="000000"/>
                <w:sz w:val="16"/>
              </w:rPr>
              <w:t>Marketplace model list API.</w:t>
            </w:r>
          </w:p>
        </w:tc>
      </w:tr>
      <w:tr>
        <w:tc>
          <w:tcPr>
            <w:tcW w:type="dxa" w:w="3600"/>
            <w:vAlign w:val="center"/>
          </w:tcPr>
          <w:p>
            <w:pPr>
              <w:spacing w:before="0" w:after="0" w:line="252" w:lineRule="auto"/>
            </w:pPr>
            <w:r/>
            <w:r>
              <w:rPr>
                <w:rFonts w:ascii="Calibri" w:hAnsi="Calibri"/>
                <w:b w:val="0"/>
                <w:color w:val="000000"/>
                <w:sz w:val="16"/>
              </w:rPr>
              <w:t>app/api/models/[slug]/route.ts</w:t>
            </w:r>
          </w:p>
        </w:tc>
        <w:tc>
          <w:tcPr>
            <w:tcW w:type="dxa" w:w="5760"/>
            <w:vAlign w:val="center"/>
          </w:tcPr>
          <w:p>
            <w:pPr>
              <w:spacing w:before="0" w:after="0" w:line="252" w:lineRule="auto"/>
            </w:pPr>
            <w:r/>
            <w:r>
              <w:rPr>
                <w:rFonts w:ascii="Calibri" w:hAnsi="Calibri"/>
                <w:b w:val="0"/>
                <w:color w:val="000000"/>
                <w:sz w:val="16"/>
              </w:rPr>
              <w:t>Single model detail API.</w:t>
            </w:r>
          </w:p>
        </w:tc>
      </w:tr>
      <w:tr>
        <w:tc>
          <w:tcPr>
            <w:tcW w:type="dxa" w:w="3600"/>
            <w:vAlign w:val="center"/>
          </w:tcPr>
          <w:p>
            <w:pPr>
              <w:spacing w:before="0" w:after="0" w:line="252" w:lineRule="auto"/>
            </w:pPr>
            <w:r/>
            <w:r>
              <w:rPr>
                <w:rFonts w:ascii="Calibri" w:hAnsi="Calibri"/>
                <w:b w:val="0"/>
                <w:color w:val="000000"/>
                <w:sz w:val="16"/>
              </w:rPr>
              <w:t>app/api/models/[slug]/demo/route.ts</w:t>
            </w:r>
          </w:p>
        </w:tc>
        <w:tc>
          <w:tcPr>
            <w:tcW w:type="dxa" w:w="5760"/>
            <w:vAlign w:val="center"/>
          </w:tcPr>
          <w:p>
            <w:pPr>
              <w:spacing w:before="0" w:after="0" w:line="252" w:lineRule="auto"/>
            </w:pPr>
            <w:r/>
            <w:r>
              <w:rPr>
                <w:rFonts w:ascii="Calibri" w:hAnsi="Calibri"/>
                <w:b w:val="0"/>
                <w:color w:val="000000"/>
                <w:sz w:val="16"/>
              </w:rPr>
              <w:t>Rate-limited latest decision preview API.</w:t>
            </w:r>
          </w:p>
        </w:tc>
      </w:tr>
      <w:tr>
        <w:tc>
          <w:tcPr>
            <w:tcW w:type="dxa" w:w="3600"/>
            <w:vAlign w:val="center"/>
          </w:tcPr>
          <w:p>
            <w:pPr>
              <w:spacing w:before="0" w:after="0" w:line="252" w:lineRule="auto"/>
            </w:pPr>
            <w:r/>
            <w:r>
              <w:rPr>
                <w:rFonts w:ascii="Calibri" w:hAnsi="Calibri"/>
                <w:b w:val="0"/>
                <w:color w:val="000000"/>
                <w:sz w:val="16"/>
              </w:rPr>
              <w:t>components/PageChrome.tsx</w:t>
            </w:r>
          </w:p>
        </w:tc>
        <w:tc>
          <w:tcPr>
            <w:tcW w:type="dxa" w:w="5760"/>
            <w:vAlign w:val="center"/>
          </w:tcPr>
          <w:p>
            <w:pPr>
              <w:spacing w:before="0" w:after="0" w:line="252" w:lineRule="auto"/>
            </w:pPr>
            <w:r/>
            <w:r>
              <w:rPr>
                <w:rFonts w:ascii="Calibri" w:hAnsi="Calibri"/>
                <w:b w:val="0"/>
                <w:color w:val="000000"/>
                <w:sz w:val="16"/>
              </w:rPr>
              <w:t>Site header, page shell, section cards, empty states, technical backdrop, and shared ApiLoadingPanel.</w:t>
            </w:r>
          </w:p>
        </w:tc>
      </w:tr>
      <w:tr>
        <w:tc>
          <w:tcPr>
            <w:tcW w:type="dxa" w:w="3600"/>
            <w:vAlign w:val="center"/>
          </w:tcPr>
          <w:p>
            <w:pPr>
              <w:spacing w:before="0" w:after="0" w:line="252" w:lineRule="auto"/>
            </w:pPr>
            <w:r/>
            <w:r>
              <w:rPr>
                <w:rFonts w:ascii="Calibri" w:hAnsi="Calibri"/>
                <w:b w:val="0"/>
                <w:color w:val="000000"/>
                <w:sz w:val="16"/>
              </w:rPr>
              <w:t>components/AlexAssistant.tsx</w:t>
            </w:r>
          </w:p>
        </w:tc>
        <w:tc>
          <w:tcPr>
            <w:tcW w:type="dxa" w:w="5760"/>
            <w:vAlign w:val="center"/>
          </w:tcPr>
          <w:p>
            <w:pPr>
              <w:spacing w:before="0" w:after="0" w:line="252" w:lineRule="auto"/>
            </w:pPr>
            <w:r/>
            <w:r>
              <w:rPr>
                <w:rFonts w:ascii="Calibri" w:hAnsi="Calibri"/>
                <w:b w:val="0"/>
                <w:color w:val="000000"/>
                <w:sz w:val="16"/>
              </w:rPr>
              <w:t>Global help assistant with session personalization and live API awareness.</w:t>
            </w:r>
          </w:p>
        </w:tc>
      </w:tr>
      <w:tr>
        <w:tc>
          <w:tcPr>
            <w:tcW w:type="dxa" w:w="3600"/>
            <w:vAlign w:val="center"/>
          </w:tcPr>
          <w:p>
            <w:pPr>
              <w:spacing w:before="0" w:after="0" w:line="252" w:lineRule="auto"/>
            </w:pPr>
            <w:r/>
            <w:r>
              <w:rPr>
                <w:rFonts w:ascii="Calibri" w:hAnsi="Calibri"/>
                <w:b w:val="0"/>
                <w:color w:val="000000"/>
                <w:sz w:val="16"/>
              </w:rPr>
              <w:t>lib/metrics.ts</w:t>
            </w:r>
          </w:p>
        </w:tc>
        <w:tc>
          <w:tcPr>
            <w:tcW w:type="dxa" w:w="5760"/>
            <w:vAlign w:val="center"/>
          </w:tcPr>
          <w:p>
            <w:pPr>
              <w:spacing w:before="0" w:after="0" w:line="252" w:lineRule="auto"/>
            </w:pPr>
            <w:r/>
            <w:r>
              <w:rPr>
                <w:rFonts w:ascii="Calibri" w:hAnsi="Calibri"/>
                <w:b w:val="0"/>
                <w:color w:val="000000"/>
                <w:sz w:val="16"/>
              </w:rPr>
              <w:t>Return, normalized index, drawdown, stats, and formatting helpers.</w:t>
            </w:r>
          </w:p>
        </w:tc>
      </w:tr>
      <w:tr>
        <w:tc>
          <w:tcPr>
            <w:tcW w:type="dxa" w:w="3600"/>
            <w:vAlign w:val="center"/>
          </w:tcPr>
          <w:p>
            <w:pPr>
              <w:spacing w:before="0" w:after="0" w:line="252" w:lineRule="auto"/>
            </w:pPr>
            <w:r/>
            <w:r>
              <w:rPr>
                <w:rFonts w:ascii="Calibri" w:hAnsi="Calibri"/>
                <w:b w:val="0"/>
                <w:color w:val="000000"/>
                <w:sz w:val="16"/>
              </w:rPr>
              <w:t>lib/modelCatalog.ts</w:t>
            </w:r>
          </w:p>
        </w:tc>
        <w:tc>
          <w:tcPr>
            <w:tcW w:type="dxa" w:w="5760"/>
            <w:vAlign w:val="center"/>
          </w:tcPr>
          <w:p>
            <w:pPr>
              <w:spacing w:before="0" w:after="0" w:line="252" w:lineRule="auto"/>
            </w:pPr>
            <w:r/>
            <w:r>
              <w:rPr>
                <w:rFonts w:ascii="Calibri" w:hAnsi="Calibri"/>
                <w:b w:val="0"/>
                <w:color w:val="000000"/>
                <w:sz w:val="16"/>
              </w:rPr>
              <w:t>Dashboard-to-marketplace model mapping and model detail/preview helpers.</w:t>
            </w:r>
          </w:p>
        </w:tc>
      </w:tr>
      <w:tr>
        <w:tc>
          <w:tcPr>
            <w:tcW w:type="dxa" w:w="3600"/>
            <w:vAlign w:val="center"/>
          </w:tcPr>
          <w:p>
            <w:pPr>
              <w:spacing w:before="0" w:after="0" w:line="252" w:lineRule="auto"/>
            </w:pPr>
            <w:r/>
            <w:r>
              <w:rPr>
                <w:rFonts w:ascii="Calibri" w:hAnsi="Calibri"/>
                <w:b w:val="0"/>
                <w:color w:val="000000"/>
                <w:sz w:val="16"/>
              </w:rPr>
              <w:t>lib/clientSession.ts</w:t>
            </w:r>
          </w:p>
        </w:tc>
        <w:tc>
          <w:tcPr>
            <w:tcW w:type="dxa" w:w="5760"/>
            <w:vAlign w:val="center"/>
          </w:tcPr>
          <w:p>
            <w:pPr>
              <w:spacing w:before="0" w:after="0" w:line="252" w:lineRule="auto"/>
            </w:pPr>
            <w:r/>
            <w:r>
              <w:rPr>
                <w:rFonts w:ascii="Calibri" w:hAnsi="Calibri"/>
                <w:b w:val="0"/>
                <w:color w:val="000000"/>
                <w:sz w:val="16"/>
              </w:rPr>
              <w:t>Client local storage session utilities.</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Appendix B. Data Dictionary</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300"/>
        <w:gridCol w:w="7060"/>
      </w:tblGrid>
      <w:tr>
        <w:trPr>
          <w:tblHeader w:val="true"/>
        </w:trPr>
        <w:tc>
          <w:tcPr>
            <w:tcW w:type="dxa" w:w="23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Term</w:t>
            </w:r>
          </w:p>
        </w:tc>
        <w:tc>
          <w:tcPr>
            <w:tcW w:type="dxa" w:w="70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Meaning in this site</w:t>
            </w:r>
          </w:p>
        </w:tc>
      </w:tr>
      <w:tr>
        <w:tc>
          <w:tcPr>
            <w:tcW w:type="dxa" w:w="2300"/>
            <w:vAlign w:val="center"/>
          </w:tcPr>
          <w:p>
            <w:pPr>
              <w:spacing w:before="0" w:after="0" w:line="252" w:lineRule="auto"/>
            </w:pPr>
            <w:r/>
            <w:r>
              <w:rPr>
                <w:rFonts w:ascii="Calibri" w:hAnsi="Calibri"/>
                <w:b w:val="0"/>
                <w:color w:val="000000"/>
                <w:sz w:val="17"/>
              </w:rPr>
              <w:t>Model equity index</w:t>
            </w:r>
          </w:p>
        </w:tc>
        <w:tc>
          <w:tcPr>
            <w:tcW w:type="dxa" w:w="7060"/>
            <w:vAlign w:val="center"/>
          </w:tcPr>
          <w:p>
            <w:pPr>
              <w:spacing w:before="0" w:after="0" w:line="252" w:lineRule="auto"/>
            </w:pPr>
            <w:r/>
            <w:r>
              <w:rPr>
                <w:rFonts w:ascii="Calibri" w:hAnsi="Calibri"/>
                <w:b w:val="0"/>
                <w:color w:val="000000"/>
                <w:sz w:val="17"/>
              </w:rPr>
              <w:t>Normalized strategy portfolio track record where the first observation equals 100.</w:t>
            </w:r>
          </w:p>
        </w:tc>
      </w:tr>
      <w:tr>
        <w:tc>
          <w:tcPr>
            <w:tcW w:type="dxa" w:w="2300"/>
            <w:vAlign w:val="center"/>
          </w:tcPr>
          <w:p>
            <w:pPr>
              <w:spacing w:before="0" w:after="0" w:line="252" w:lineRule="auto"/>
            </w:pPr>
            <w:r/>
            <w:r>
              <w:rPr>
                <w:rFonts w:ascii="Calibri" w:hAnsi="Calibri"/>
                <w:b w:val="0"/>
                <w:color w:val="000000"/>
                <w:sz w:val="17"/>
              </w:rPr>
              <w:t>Current index</w:t>
            </w:r>
          </w:p>
        </w:tc>
        <w:tc>
          <w:tcPr>
            <w:tcW w:type="dxa" w:w="7060"/>
            <w:vAlign w:val="center"/>
          </w:tcPr>
          <w:p>
            <w:pPr>
              <w:spacing w:before="0" w:after="0" w:line="252" w:lineRule="auto"/>
            </w:pPr>
            <w:r/>
            <w:r>
              <w:rPr>
                <w:rFonts w:ascii="Calibri" w:hAnsi="Calibri"/>
                <w:b w:val="0"/>
                <w:color w:val="000000"/>
                <w:sz w:val="17"/>
              </w:rPr>
              <w:t>Latest normalized portfolio value. For example, 102.29 indicates a 2.29% gain over the displayed window.</w:t>
            </w:r>
          </w:p>
        </w:tc>
      </w:tr>
      <w:tr>
        <w:tc>
          <w:tcPr>
            <w:tcW w:type="dxa" w:w="2300"/>
            <w:vAlign w:val="center"/>
          </w:tcPr>
          <w:p>
            <w:pPr>
              <w:spacing w:before="0" w:after="0" w:line="252" w:lineRule="auto"/>
            </w:pPr>
            <w:r/>
            <w:r>
              <w:rPr>
                <w:rFonts w:ascii="Calibri" w:hAnsi="Calibri"/>
                <w:b w:val="0"/>
                <w:color w:val="000000"/>
                <w:sz w:val="17"/>
              </w:rPr>
              <w:t>Source points</w:t>
            </w:r>
          </w:p>
        </w:tc>
        <w:tc>
          <w:tcPr>
            <w:tcW w:type="dxa" w:w="7060"/>
            <w:vAlign w:val="center"/>
          </w:tcPr>
          <w:p>
            <w:pPr>
              <w:spacing w:before="0" w:after="0" w:line="252" w:lineRule="auto"/>
            </w:pPr>
            <w:r/>
            <w:r>
              <w:rPr>
                <w:rFonts w:ascii="Calibri" w:hAnsi="Calibri"/>
                <w:b w:val="0"/>
                <w:color w:val="000000"/>
                <w:sz w:val="17"/>
              </w:rPr>
              <w:t>Number of source observations used for the selected chart or metric.</w:t>
            </w:r>
          </w:p>
        </w:tc>
      </w:tr>
      <w:tr>
        <w:tc>
          <w:tcPr>
            <w:tcW w:type="dxa" w:w="2300"/>
            <w:vAlign w:val="center"/>
          </w:tcPr>
          <w:p>
            <w:pPr>
              <w:spacing w:before="0" w:after="0" w:line="252" w:lineRule="auto"/>
            </w:pPr>
            <w:r/>
            <w:r>
              <w:rPr>
                <w:rFonts w:ascii="Calibri" w:hAnsi="Calibri"/>
                <w:b w:val="0"/>
                <w:color w:val="000000"/>
                <w:sz w:val="17"/>
              </w:rPr>
              <w:t>Benchmark series</w:t>
            </w:r>
          </w:p>
        </w:tc>
        <w:tc>
          <w:tcPr>
            <w:tcW w:type="dxa" w:w="7060"/>
            <w:vAlign w:val="center"/>
          </w:tcPr>
          <w:p>
            <w:pPr>
              <w:spacing w:before="0" w:after="0" w:line="252" w:lineRule="auto"/>
            </w:pPr>
            <w:r/>
            <w:r>
              <w:rPr>
                <w:rFonts w:ascii="Calibri" w:hAnsi="Calibri"/>
                <w:b w:val="0"/>
                <w:color w:val="000000"/>
                <w:sz w:val="17"/>
              </w:rPr>
              <w:t>SPY, QQQ, DIA, IWM, and VTI comparison data aligned to model windows.</w:t>
            </w:r>
          </w:p>
        </w:tc>
      </w:tr>
      <w:tr>
        <w:tc>
          <w:tcPr>
            <w:tcW w:type="dxa" w:w="2300"/>
            <w:vAlign w:val="center"/>
          </w:tcPr>
          <w:p>
            <w:pPr>
              <w:spacing w:before="0" w:after="0" w:line="252" w:lineRule="auto"/>
            </w:pPr>
            <w:r/>
            <w:r>
              <w:rPr>
                <w:rFonts w:ascii="Calibri" w:hAnsi="Calibri"/>
                <w:b w:val="0"/>
                <w:color w:val="000000"/>
                <w:sz w:val="17"/>
              </w:rPr>
              <w:t>Execution audit</w:t>
            </w:r>
          </w:p>
        </w:tc>
        <w:tc>
          <w:tcPr>
            <w:tcW w:type="dxa" w:w="7060"/>
            <w:vAlign w:val="center"/>
          </w:tcPr>
          <w:p>
            <w:pPr>
              <w:spacing w:before="0" w:after="0" w:line="252" w:lineRule="auto"/>
            </w:pPr>
            <w:r/>
            <w:r>
              <w:rPr>
                <w:rFonts w:ascii="Calibri" w:hAnsi="Calibri"/>
                <w:b w:val="0"/>
                <w:color w:val="000000"/>
                <w:sz w:val="17"/>
              </w:rPr>
              <w:t>Decision, submitted order, planned order, position, target-weight, and signal-history rows exposed for review.</w:t>
            </w:r>
          </w:p>
        </w:tc>
      </w:tr>
      <w:tr>
        <w:tc>
          <w:tcPr>
            <w:tcW w:type="dxa" w:w="2300"/>
            <w:vAlign w:val="center"/>
          </w:tcPr>
          <w:p>
            <w:pPr>
              <w:spacing w:before="0" w:after="0" w:line="252" w:lineRule="auto"/>
            </w:pPr>
            <w:r/>
            <w:r>
              <w:rPr>
                <w:rFonts w:ascii="Calibri" w:hAnsi="Calibri"/>
                <w:b w:val="0"/>
                <w:color w:val="000000"/>
                <w:sz w:val="17"/>
              </w:rPr>
              <w:t>Live paper active</w:t>
            </w:r>
          </w:p>
        </w:tc>
        <w:tc>
          <w:tcPr>
            <w:tcW w:type="dxa" w:w="7060"/>
            <w:vAlign w:val="center"/>
          </w:tcPr>
          <w:p>
            <w:pPr>
              <w:spacing w:before="0" w:after="0" w:line="252" w:lineRule="auto"/>
            </w:pPr>
            <w:r/>
            <w:r>
              <w:rPr>
                <w:rFonts w:ascii="Calibri" w:hAnsi="Calibri"/>
                <w:b w:val="0"/>
                <w:color w:val="000000"/>
                <w:sz w:val="17"/>
              </w:rPr>
              <w:t>Paper execution state inferred from positions/orders/health data.</w:t>
            </w:r>
          </w:p>
        </w:tc>
      </w:tr>
      <w:tr>
        <w:tc>
          <w:tcPr>
            <w:tcW w:type="dxa" w:w="2300"/>
            <w:vAlign w:val="center"/>
          </w:tcPr>
          <w:p>
            <w:pPr>
              <w:spacing w:before="0" w:after="0" w:line="252" w:lineRule="auto"/>
            </w:pPr>
            <w:r/>
            <w:r>
              <w:rPr>
                <w:rFonts w:ascii="Calibri" w:hAnsi="Calibri"/>
                <w:b w:val="0"/>
                <w:color w:val="000000"/>
                <w:sz w:val="17"/>
              </w:rPr>
              <w:t>Last-good cache</w:t>
            </w:r>
          </w:p>
        </w:tc>
        <w:tc>
          <w:tcPr>
            <w:tcW w:type="dxa" w:w="7060"/>
            <w:vAlign w:val="center"/>
          </w:tcPr>
          <w:p>
            <w:pPr>
              <w:spacing w:before="0" w:after="0" w:line="252" w:lineRule="auto"/>
            </w:pPr>
            <w:r/>
            <w:r>
              <w:rPr>
                <w:rFonts w:ascii="Calibri" w:hAnsi="Calibri"/>
                <w:b w:val="0"/>
                <w:color w:val="000000"/>
                <w:sz w:val="17"/>
              </w:rPr>
              <w:t>Local cached dashboard payload used when upstream data is temporarily unavailable.</w:t>
            </w:r>
          </w:p>
        </w:tc>
      </w:tr>
    </w:tbl>
    <w:p>
      <w:pPr>
        <w:spacing w:before="0" w:after="40" w:line="264" w:lineRule="auto"/>
      </w:pPr>
      <w:r>
        <w:rPr>
          <w:rFonts w:ascii="Calibri" w:hAnsi="Calibri"/>
          <w:b w:val="0"/>
          <w:i w:val="0"/>
          <w:color w:val="000000"/>
          <w:sz w:val="22"/>
        </w:rPr>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5C685F"/>
        <w:sz w:val="17"/>
      </w:rPr>
      <w:t>Prepared for internal review - IEEE-aligned documentation, not a certification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5C685F"/>
        <w:sz w:val="18"/>
      </w:rPr>
      <w:t>QSentia Investor Site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