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AC52E3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Bài 1: Phân rã Epic Hủy chuyến ghép</w:t>
      </w:r>
      <w:r/>
    </w:p>
    <w:p w14:paraId="08D3A1D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Yêu cầu:</w:t>
      </w:r>
      <w:r>
        <w:rPr>
          <w:rFonts w:ascii="Times New Roman" w:hAnsi="Times New Roman" w:eastAsia="Times New Roman" w:cs="Times New Roman"/>
          <w:color w:val="000000"/>
          <w:sz w:val="24"/>
        </w:rPr>
        <w:t xml:space="preserve"> Đề xuất 2 chiến lược phân rã Epic "Hủy chuyến ghép", so sánh theo 3 tiêu chí I-N-V của INVEST, chọn ra 1 chiến lược phù hợp nhất. Sau đó viết User Story và Acceptance Criteria (Gherkin) cho tình huống tranh chấp dữ liệu (edge case).</w:t>
      </w:r>
      <w:r/>
    </w:p>
    <w:p w14:paraId="5E432D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Lời giải:</w:t>
      </w:r>
      <w:r/>
    </w:p>
    <w:p w14:paraId="74363045">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Phần 1: Đề xuất 2 chiến lược phân rã Epic</w:t>
      </w:r>
      <w:r/>
    </w:p>
    <w:p w14:paraId="7B1A8C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Để rã Epic này, chúng ta có 2 hướng tiếp cận phổ biến và thực tế nhất:</w:t>
      </w:r>
      <w:r/>
    </w:p>
    <w:p w14:paraId="1758A230">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Chiến lược 1: Phân rã theo Kịch bản nghiệp vụ (Business Rules / Happy - Unhappy Path)</w:t>
      </w:r>
      <w:r/>
    </w:p>
    <w:p w14:paraId="36EBCA37">
      <w:pPr>
        <w:pStyle w:val="668"/>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Feature 1.1:</w:t>
      </w:r>
      <w:r>
        <w:rPr>
          <w:rFonts w:ascii="Times New Roman" w:hAnsi="Times New Roman" w:eastAsia="Times New Roman" w:cs="Times New Roman"/>
          <w:color w:val="000000"/>
          <w:sz w:val="24"/>
        </w:rPr>
        <w:t xml:space="preserve"> Hủy chuyến ghép </w:t>
      </w:r>
      <w:r>
        <w:rPr>
          <w:rFonts w:ascii="Times New Roman" w:hAnsi="Times New Roman" w:eastAsia="Times New Roman" w:cs="Times New Roman"/>
          <w:i/>
          <w:color w:val="000000"/>
          <w:sz w:val="24"/>
        </w:rPr>
        <w:t xml:space="preserve">trước</w:t>
      </w:r>
      <w:r>
        <w:rPr>
          <w:rFonts w:ascii="Times New Roman" w:hAnsi="Times New Roman" w:eastAsia="Times New Roman" w:cs="Times New Roman"/>
          <w:color w:val="000000"/>
          <w:sz w:val="24"/>
        </w:rPr>
        <w:t xml:space="preserve"> khi tài xế nhận (Miễn phí).</w:t>
      </w:r>
      <w:r/>
    </w:p>
    <w:p w14:paraId="2AFC4C0F">
      <w:pPr>
        <w:pStyle w:val="668"/>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Feature 1.2:</w:t>
      </w:r>
      <w:r>
        <w:rPr>
          <w:rFonts w:ascii="Times New Roman" w:hAnsi="Times New Roman" w:eastAsia="Times New Roman" w:cs="Times New Roman"/>
          <w:color w:val="000000"/>
          <w:sz w:val="24"/>
        </w:rPr>
        <w:t xml:space="preserve"> Hủy chuyến ghép </w:t>
      </w:r>
      <w:r>
        <w:rPr>
          <w:rFonts w:ascii="Times New Roman" w:hAnsi="Times New Roman" w:eastAsia="Times New Roman" w:cs="Times New Roman"/>
          <w:i/>
          <w:color w:val="000000"/>
          <w:sz w:val="24"/>
        </w:rPr>
        <w:t xml:space="preserve">sau</w:t>
      </w:r>
      <w:r>
        <w:rPr>
          <w:rFonts w:ascii="Times New Roman" w:hAnsi="Times New Roman" w:eastAsia="Times New Roman" w:cs="Times New Roman"/>
          <w:color w:val="000000"/>
          <w:sz w:val="24"/>
        </w:rPr>
        <w:t xml:space="preserve"> khi tài xế nhận (Phí 10.000đ).</w:t>
      </w:r>
      <w:r/>
    </w:p>
    <w:p w14:paraId="47F80AED">
      <w:pPr>
        <w:pStyle w:val="668"/>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Feature 1.3:</w:t>
      </w:r>
      <w:r>
        <w:rPr>
          <w:rFonts w:ascii="Times New Roman" w:hAnsi="Times New Roman" w:eastAsia="Times New Roman" w:cs="Times New Roman"/>
          <w:color w:val="000000"/>
          <w:sz w:val="24"/>
        </w:rPr>
        <w:t xml:space="preserve"> Cập nhật chuyến đi (Tính lại giá và thông báo cho các khách còn lại).</w:t>
      </w:r>
      <w:r/>
    </w:p>
    <w:p w14:paraId="29C7A389">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Chiến lược 2: Phân rã theo Luồng hệ thống (System Workflow)</w:t>
      </w:r>
      <w:r/>
    </w:p>
    <w:p w14:paraId="1C2E23E4">
      <w:pPr>
        <w:pStyle w:val="668"/>
        <w:numPr>
          <w:ilvl w:val="1"/>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Feature 2.1:</w:t>
      </w:r>
      <w:r>
        <w:rPr>
          <w:rFonts w:ascii="Times New Roman" w:hAnsi="Times New Roman" w:eastAsia="Times New Roman" w:cs="Times New Roman"/>
          <w:color w:val="000000"/>
          <w:sz w:val="24"/>
        </w:rPr>
        <w:t xml:space="preserve"> Ghi nhận yêu cầu hủy và kiểm tra mốc thời gian (Xác định ai hủy trước/sau).</w:t>
      </w:r>
      <w:r/>
    </w:p>
    <w:p w14:paraId="3B1D501A">
      <w:pPr>
        <w:pStyle w:val="668"/>
        <w:numPr>
          <w:ilvl w:val="1"/>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Feature 2.2:</w:t>
      </w:r>
      <w:r>
        <w:rPr>
          <w:rFonts w:ascii="Times New Roman" w:hAnsi="Times New Roman" w:eastAsia="Times New Roman" w:cs="Times New Roman"/>
          <w:color w:val="000000"/>
          <w:sz w:val="24"/>
        </w:rPr>
        <w:t xml:space="preserve"> Xử lý tài chính (Trừ tiền 10.000đ hoặc không trừ).</w:t>
      </w:r>
      <w:r/>
    </w:p>
    <w:p w14:paraId="1E26B21E">
      <w:pPr>
        <w:pStyle w:val="668"/>
        <w:numPr>
          <w:ilvl w:val="1"/>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Feature 2.3:</w:t>
      </w:r>
      <w:r>
        <w:rPr>
          <w:rFonts w:ascii="Times New Roman" w:hAnsi="Times New Roman" w:eastAsia="Times New Roman" w:cs="Times New Roman"/>
          <w:color w:val="000000"/>
          <w:sz w:val="24"/>
        </w:rPr>
        <w:t xml:space="preserve"> Xử lý hậu quả chuyến đi (Thông báo tài xế, tính lại tiền khách đi cùng).</w:t>
      </w:r>
      <w:r/>
    </w:p>
    <w:p w14:paraId="3444032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Phần 2: So sánh theo tiêu chí INVEST (Independent, Small, Valuable)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19"/>
        <w:gridCol w:w="4383"/>
        <w:gridCol w:w="4053"/>
      </w:tblGrid>
      <w:tr>
        <w:trPr/>
        <w:tc>
          <w:tcPr>
            <w:tcBorders/>
            <w:tcMar>
              <w:left w:w="15" w:type="dxa"/>
              <w:top w:w="15" w:type="dxa"/>
              <w:right w:w="15" w:type="dxa"/>
              <w:bottom w:w="15" w:type="dxa"/>
            </w:tcMar>
            <w:tcW w:w="919" w:type="dxa"/>
            <w:vAlign w:val="center"/>
          </w:tcPr>
          <w:p w14:paraId="13903E62">
            <w:pPr>
              <w:pBdr/>
              <w:spacing w:after="0" w:before="0" w:line="240"/>
              <w:ind/>
              <w:jc w:val="center"/>
              <w:rPr/>
            </w:pPr>
            <w:r>
              <w:rPr>
                <w:rFonts w:ascii="Times New Roman" w:hAnsi="Times New Roman" w:eastAsia="Times New Roman" w:cs="Times New Roman"/>
                <w:b/>
                <w:color w:val="000000"/>
                <w:sz w:val="24"/>
              </w:rPr>
              <w:t xml:space="preserve">Tiêu chí</w:t>
            </w:r>
            <w:r/>
          </w:p>
        </w:tc>
        <w:tc>
          <w:tcPr>
            <w:tcBorders/>
            <w:tcMar>
              <w:left w:w="15" w:type="dxa"/>
              <w:top w:w="15" w:type="dxa"/>
              <w:right w:w="15" w:type="dxa"/>
              <w:bottom w:w="15" w:type="dxa"/>
            </w:tcMar>
            <w:tcW w:w="4383" w:type="dxa"/>
            <w:vAlign w:val="center"/>
          </w:tcPr>
          <w:p w14:paraId="1389216F">
            <w:pPr>
              <w:pBdr/>
              <w:spacing w:after="0" w:before="0" w:line="240"/>
              <w:ind/>
              <w:jc w:val="center"/>
              <w:rPr/>
            </w:pPr>
            <w:r>
              <w:rPr>
                <w:rFonts w:ascii="Times New Roman" w:hAnsi="Times New Roman" w:eastAsia="Times New Roman" w:cs="Times New Roman"/>
                <w:b/>
                <w:color w:val="000000"/>
                <w:sz w:val="24"/>
              </w:rPr>
              <w:t xml:space="preserve">Chiến lược 1 (Theo Kịch bản)</w:t>
            </w:r>
            <w:r/>
          </w:p>
        </w:tc>
        <w:tc>
          <w:tcPr>
            <w:tcBorders/>
            <w:tcMar>
              <w:left w:w="15" w:type="dxa"/>
              <w:top w:w="15" w:type="dxa"/>
              <w:right w:w="15" w:type="dxa"/>
              <w:bottom w:w="15" w:type="dxa"/>
            </w:tcMar>
            <w:tcW w:w="4053" w:type="dxa"/>
            <w:vAlign w:val="center"/>
          </w:tcPr>
          <w:p w14:paraId="7ECB7647">
            <w:pPr>
              <w:pBdr/>
              <w:spacing w:after="0" w:before="0" w:line="240"/>
              <w:ind/>
              <w:jc w:val="center"/>
              <w:rPr/>
            </w:pPr>
            <w:r>
              <w:rPr>
                <w:rFonts w:ascii="Times New Roman" w:hAnsi="Times New Roman" w:eastAsia="Times New Roman" w:cs="Times New Roman"/>
                <w:b/>
                <w:color w:val="000000"/>
                <w:sz w:val="24"/>
              </w:rPr>
              <w:t xml:space="preserve">Chiến lược 2 (Theo Luồng hệ thống)</w:t>
            </w:r>
            <w:r/>
          </w:p>
        </w:tc>
      </w:tr>
      <w:tr>
        <w:trPr/>
        <w:tc>
          <w:tcPr>
            <w:tcBorders/>
            <w:tcMar>
              <w:left w:w="15" w:type="dxa"/>
              <w:top w:w="15" w:type="dxa"/>
              <w:right w:w="15" w:type="dxa"/>
              <w:bottom w:w="15" w:type="dxa"/>
            </w:tcMar>
            <w:tcW w:w="919" w:type="dxa"/>
            <w:vAlign w:val="center"/>
          </w:tcPr>
          <w:p w14:paraId="6E35373E">
            <w:pPr>
              <w:pBdr/>
              <w:spacing w:after="0" w:before="0" w:line="240"/>
              <w:ind/>
              <w:rPr/>
            </w:pPr>
            <w:r>
              <w:rPr>
                <w:rFonts w:ascii="Times New Roman" w:hAnsi="Times New Roman" w:eastAsia="Times New Roman" w:cs="Times New Roman"/>
                <w:b/>
                <w:color w:val="000000"/>
                <w:sz w:val="24"/>
              </w:rPr>
              <w:t xml:space="preserve">Independent (Độc lập)</w:t>
            </w:r>
            <w:r/>
          </w:p>
        </w:tc>
        <w:tc>
          <w:tcPr>
            <w:tcBorders/>
            <w:tcMar>
              <w:left w:w="15" w:type="dxa"/>
              <w:top w:w="15" w:type="dxa"/>
              <w:right w:w="15" w:type="dxa"/>
              <w:bottom w:w="15" w:type="dxa"/>
            </w:tcMar>
            <w:tcW w:w="4383" w:type="dxa"/>
            <w:vAlign w:val="center"/>
          </w:tcPr>
          <w:p w14:paraId="5BD618CC">
            <w:pPr>
              <w:pBdr/>
              <w:spacing w:after="0" w:before="0" w:line="240"/>
              <w:ind/>
              <w:rPr/>
            </w:pP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Các kịch bản ít phụ thuộc nhau. Dev có thể làm tính năng hủy miễn phí trước để release, phần trừ phí làm sau.</w:t>
            </w:r>
            <w:r/>
          </w:p>
        </w:tc>
        <w:tc>
          <w:tcPr>
            <w:tcBorders/>
            <w:tcMar>
              <w:left w:w="15" w:type="dxa"/>
              <w:top w:w="15" w:type="dxa"/>
              <w:right w:w="15" w:type="dxa"/>
              <w:bottom w:w="15" w:type="dxa"/>
            </w:tcMar>
            <w:tcW w:w="4053" w:type="dxa"/>
            <w:vAlign w:val="center"/>
          </w:tcPr>
          <w:p w14:paraId="5C7ADED3">
            <w:pPr>
              <w:pBdr/>
              <w:spacing w:after="0" w:before="0" w:line="240"/>
              <w:ind/>
              <w:rPr/>
            </w:pP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Phụ thuộc chặt chẽ. Phải xong Feature ghi nhận thời gian (2.1) thì mới test được Feature trừ tiền (2.2).</w:t>
            </w:r>
            <w:r/>
          </w:p>
        </w:tc>
      </w:tr>
      <w:tr>
        <w:trPr/>
        <w:tc>
          <w:tcPr>
            <w:tcBorders/>
            <w:tcMar>
              <w:left w:w="15" w:type="dxa"/>
              <w:top w:w="15" w:type="dxa"/>
              <w:right w:w="15" w:type="dxa"/>
              <w:bottom w:w="15" w:type="dxa"/>
            </w:tcMar>
            <w:tcW w:w="919" w:type="dxa"/>
            <w:vAlign w:val="center"/>
          </w:tcPr>
          <w:p w14:paraId="0A8EAEB3">
            <w:pPr>
              <w:pBdr/>
              <w:spacing w:after="0" w:before="0" w:line="240"/>
              <w:ind/>
              <w:rPr/>
            </w:pPr>
            <w:r>
              <w:rPr>
                <w:rFonts w:ascii="Times New Roman" w:hAnsi="Times New Roman" w:eastAsia="Times New Roman" w:cs="Times New Roman"/>
                <w:b/>
                <w:color w:val="000000"/>
                <w:sz w:val="24"/>
              </w:rPr>
              <w:t xml:space="preserve">Small (Nhỏ gọn)</w:t>
            </w:r>
            <w:r/>
          </w:p>
        </w:tc>
        <w:tc>
          <w:tcPr>
            <w:tcBorders/>
            <w:tcMar>
              <w:left w:w="15" w:type="dxa"/>
              <w:top w:w="15" w:type="dxa"/>
              <w:right w:w="15" w:type="dxa"/>
              <w:bottom w:w="15" w:type="dxa"/>
            </w:tcMar>
            <w:tcW w:w="4383" w:type="dxa"/>
            <w:vAlign w:val="center"/>
          </w:tcPr>
          <w:p w14:paraId="68358DC3">
            <w:pPr>
              <w:pBdr/>
              <w:spacing w:after="0" w:before="0" w:line="240"/>
              <w:ind/>
              <w:rPr/>
            </w:pP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Chia nhỏ theo rule tính phí giúp story rất rõ ràng, dễ test từng luồng riêng biệt.</w:t>
            </w:r>
            <w:r/>
          </w:p>
        </w:tc>
        <w:tc>
          <w:tcPr>
            <w:tcBorders/>
            <w:tcMar>
              <w:left w:w="15" w:type="dxa"/>
              <w:top w:w="15" w:type="dxa"/>
              <w:right w:w="15" w:type="dxa"/>
              <w:bottom w:w="15" w:type="dxa"/>
            </w:tcMar>
            <w:tcW w:w="4053" w:type="dxa"/>
            <w:vAlign w:val="center"/>
          </w:tcPr>
          <w:p w14:paraId="63F89945">
            <w:pPr>
              <w:pBdr/>
              <w:spacing w:after="0" w:before="0" w:line="240"/>
              <w:ind/>
              <w:rPr/>
            </w:pP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Feature 2.1 dễ bị "to" vì ôm toàn bộ logic xử lý thời gian và race-condition của cả hệ thống.</w:t>
            </w:r>
            <w:r/>
          </w:p>
        </w:tc>
      </w:tr>
      <w:tr>
        <w:trPr/>
        <w:tc>
          <w:tcPr>
            <w:tcBorders/>
            <w:tcMar>
              <w:left w:w="15" w:type="dxa"/>
              <w:top w:w="15" w:type="dxa"/>
              <w:right w:w="15" w:type="dxa"/>
              <w:bottom w:w="15" w:type="dxa"/>
            </w:tcMar>
            <w:tcW w:w="919" w:type="dxa"/>
            <w:vAlign w:val="center"/>
          </w:tcPr>
          <w:p w14:paraId="338761CE">
            <w:pPr>
              <w:pBdr/>
              <w:spacing w:after="0" w:before="0" w:line="240"/>
              <w:ind/>
              <w:rPr/>
            </w:pPr>
            <w:r>
              <w:rPr>
                <w:rFonts w:ascii="Times New Roman" w:hAnsi="Times New Roman" w:eastAsia="Times New Roman" w:cs="Times New Roman"/>
                <w:b/>
                <w:color w:val="000000"/>
                <w:sz w:val="24"/>
              </w:rPr>
              <w:t xml:space="preserve">Valuable (Giá trị)</w:t>
            </w:r>
            <w:r/>
          </w:p>
        </w:tc>
        <w:tc>
          <w:tcPr>
            <w:tcBorders/>
            <w:tcMar>
              <w:left w:w="15" w:type="dxa"/>
              <w:top w:w="15" w:type="dxa"/>
              <w:right w:w="15" w:type="dxa"/>
              <w:bottom w:w="15" w:type="dxa"/>
            </w:tcMar>
            <w:tcW w:w="4383" w:type="dxa"/>
            <w:vAlign w:val="center"/>
          </w:tcPr>
          <w:p w14:paraId="2E93493C">
            <w:pPr>
              <w:pBdr/>
              <w:spacing w:after="0" w:before="0" w:line="240"/>
              <w:ind/>
              <w:rPr/>
            </w:pP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Mỗi Feature release đều mang lại một giá trị trọn vẹn cho user (VD: được phép hủy không mất tiền).</w:t>
            </w:r>
            <w:r/>
          </w:p>
        </w:tc>
        <w:tc>
          <w:tcPr>
            <w:tcBorders/>
            <w:tcMar>
              <w:left w:w="15" w:type="dxa"/>
              <w:top w:w="15" w:type="dxa"/>
              <w:right w:w="15" w:type="dxa"/>
              <w:bottom w:w="15" w:type="dxa"/>
            </w:tcMar>
            <w:tcW w:w="4053" w:type="dxa"/>
            <w:vAlign w:val="center"/>
          </w:tcPr>
          <w:p w14:paraId="5BB2372F">
            <w:pPr>
              <w:pBdr/>
              <w:spacing w:after="0" w:before="0" w:line="240"/>
              <w:ind/>
              <w:rPr/>
            </w:pP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Đảm bảo hệ thống chặt chẽ về mặt kỹ thuật, xử lý mượt mà luồng dữ liệu ngầm.</w:t>
            </w:r>
            <w:r/>
          </w:p>
        </w:tc>
      </w:tr>
    </w:tbl>
    <w:p w14:paraId="4DAB579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Phần 3: Lựa chọn và Đặc tả</w:t>
      </w:r>
      <w:r/>
    </w:p>
    <w:p w14:paraId="57913C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Lựa chọn:</w:t>
      </w:r>
      <w:r>
        <w:rPr>
          <w:rFonts w:ascii="Times New Roman" w:hAnsi="Times New Roman" w:eastAsia="Times New Roman" w:cs="Times New Roman"/>
          <w:color w:val="000000"/>
          <w:sz w:val="24"/>
        </w:rPr>
        <w:t xml:space="preserve"> Mình chọn </w:t>
      </w:r>
      <w:r>
        <w:rPr>
          <w:rFonts w:ascii="Times New Roman" w:hAnsi="Times New Roman" w:eastAsia="Times New Roman" w:cs="Times New Roman"/>
          <w:b/>
          <w:color w:val="000000"/>
          <w:sz w:val="24"/>
        </w:rPr>
        <w:t xml:space="preserve">Chiến lược 1 (Theo Kịch bản nghiệp vụ)</w:t>
      </w:r>
      <w:r>
        <w:rPr>
          <w:rFonts w:ascii="Times New Roman" w:hAnsi="Times New Roman" w:eastAsia="Times New Roman" w:cs="Times New Roman"/>
          <w:color w:val="000000"/>
          <w:sz w:val="24"/>
        </w:rPr>
        <w:t xml:space="preserve">.</w:t>
      </w:r>
      <w:r/>
    </w:p>
    <w:p w14:paraId="09A002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Lý do:</w:t>
      </w:r>
      <w:r>
        <w:rPr>
          <w:rFonts w:ascii="Times New Roman" w:hAnsi="Times New Roman" w:eastAsia="Times New Roman" w:cs="Times New Roman"/>
          <w:color w:val="000000"/>
          <w:sz w:val="24"/>
        </w:rPr>
        <w:t xml:space="preserve"> Theo tinh thần Agile, phân rã theo kịch bản giúp team có thể bàn giao tính năng theo từng phần nhỏ có giá trị sử dụng ngay (ví dụ: làm xong luồng hủy miễn phí là khách đã dùng được rồi), đồng thời dễ viết test case cho từng rule tính tiền hơn.</w:t>
      </w:r>
      <w:r/>
    </w:p>
    <w:p w14:paraId="4954C4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1. Viết User Story (Cho Feature 1.2)</w:t>
      </w:r>
      <w:r/>
    </w:p>
    <w:p w14:paraId="5FB95F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As a</w:t>
      </w:r>
      <w:r>
        <w:rPr>
          <w:rFonts w:ascii="Times New Roman" w:hAnsi="Times New Roman" w:eastAsia="Times New Roman" w:cs="Times New Roman"/>
          <w:color w:val="000000"/>
          <w:sz w:val="24"/>
        </w:rPr>
        <w:t xml:space="preserve"> (Là một) Hành khách đặt xe ghép,</w:t>
      </w:r>
      <w:r/>
    </w:p>
    <w:p w14:paraId="211DC3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 want to</w:t>
      </w:r>
      <w:r>
        <w:rPr>
          <w:rFonts w:ascii="Times New Roman" w:hAnsi="Times New Roman" w:eastAsia="Times New Roman" w:cs="Times New Roman"/>
          <w:color w:val="000000"/>
          <w:sz w:val="24"/>
        </w:rPr>
        <w:t xml:space="preserve"> (Tôi muốn) có thể hủy chuyến đi kể cả sau khi tài xế đã bấm nhận chuyến,</w:t>
      </w:r>
      <w:r/>
    </w:p>
    <w:p w14:paraId="10A07B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So that</w:t>
      </w:r>
      <w:r>
        <w:rPr>
          <w:rFonts w:ascii="Times New Roman" w:hAnsi="Times New Roman" w:eastAsia="Times New Roman" w:cs="Times New Roman"/>
          <w:color w:val="000000"/>
          <w:sz w:val="24"/>
        </w:rPr>
        <w:t xml:space="preserve"> (Để) tôi có thể thay đổi kế hoạch đột xuất của mình dù phải chấp nhận nộp phí hủy 10.000đ.</w:t>
      </w:r>
      <w:r/>
    </w:p>
    <w:p w14:paraId="6E2936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2. Acceptance Criteria (Kịch bản Given - When - Then cho Edge Case)</w:t>
      </w:r>
      <w:r/>
    </w:p>
    <w:p w14:paraId="0DB5D5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Tình huống (Scenario):</w:t>
      </w:r>
      <w:r>
        <w:rPr>
          <w:rFonts w:ascii="Times New Roman" w:hAnsi="Times New Roman" w:eastAsia="Times New Roman" w:cs="Times New Roman"/>
          <w:color w:val="000000"/>
          <w:sz w:val="24"/>
        </w:rPr>
        <w:t xml:space="preserve"> Xử lý tranh chấp khi khách bấm hủy đúng lúc tài xế bấm nhận chuyến. (Hệ thống sẽ lấy thời gian server làm chuẩn).</w:t>
      </w:r>
      <w:r/>
    </w:p>
    <w:p w14:paraId="6B73BC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Gherkin</w:t>
      </w:r>
      <w:r/>
    </w:p>
    <w:p w14:paraId="05C787C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Scenario: Khách hàng và tài xế thao tác "Hủy" và "Nhận" cùng một lúc</w:t>
      </w:r>
      <w:r/>
    </w:p>
    <w:p w14:paraId="3324A4B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Given hành khách A đang trong chuyến ghép chưa có tài xế nhận</w:t>
      </w:r>
      <w:r/>
    </w:p>
    <w:p w14:paraId="4C7FD1F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And hành khách A bấm nút "Hủy chuyến"</w:t>
      </w:r>
      <w:r/>
    </w:p>
    <w:p w14:paraId="7D78850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And tài xế B bấm nút "Nhận chuyến" cùng thời điểm trên giao diện</w:t>
      </w:r>
      <w:r/>
    </w:p>
    <w:p w14:paraId="779CA98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When yêu cầu "Nhận chuyến" của tài xế B được server ghi nhận TRƯỚC HOẶC CÙNG LÚC (&lt;=) với yêu cầu "Hủy chuyến" của hành khách A</w:t>
      </w:r>
      <w:r/>
    </w:p>
    <w:p w14:paraId="2B2F674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Then hệ thống đánh dấu chuyến đi đã bị hủy bởi hành khách A</w:t>
      </w:r>
      <w:r/>
    </w:p>
    <w:p w14:paraId="67CF887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And hệ thống tính phí hủy chuyến 10.000đ đối với hành khách A</w:t>
      </w:r>
      <w:r/>
    </w:p>
    <w:p w14:paraId="59F8092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And hiển thị thông báo: "Chuyến đi đã được tài xế nhận. Bạn bị trừ 10.000đ phí hủy chuyến."</w:t>
      </w:r>
      <w:r/>
    </w:p>
    <w:p w14:paraId="75F2A39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891F4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i/>
          <w:color w:val="000000"/>
          <w:sz w:val="24"/>
        </w:rPr>
        <w:t xml:space="preserve">(Lưu ý thêm: Nếu log server ghi nhận lệnh Hủy của khách đến trước lệnh Nhận của tài xế dù chỉ 1 mili-giây, hệ thống sẽ chạy kịch bản không thu phí).</w:t>
      </w:r>
      <w:r/>
    </w:p>
    <w:p w14:paraId="0E4E32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Đáp án:</w:t>
      </w:r>
      <w:r/>
    </w:p>
    <w:p w14:paraId="1CE760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Chiến lược tối ưu là Phân rã theo Kịch bản nghiệp vụ.</w:t>
      </w:r>
      <w:r>
        <w:rPr>
          <w:rFonts w:ascii="Times New Roman" w:hAnsi="Times New Roman" w:eastAsia="Times New Roman" w:cs="Times New Roman"/>
          <w:color w:val="000000"/>
          <w:sz w:val="24"/>
        </w:rPr>
        <w:t xml:space="preserve"> Trọng tâm để xử lý bẫy dữ liệu (Edge Case) là sử dụng mốc thời gian (timestamp) được ghi nhận tại server backend làm nguồn sự thật duy nhất (Single Source of Truth), không dựa vào thời gian trên thiết bị (app) của user để tránh sai lệch do độ trễ mạng.</w:t>
      </w:r>
      <w:r/>
    </w:p>
    <w:p w14:paraId="0BA723E6">
      <w:pPr>
        <w:pBdr/>
        <w:tabs>
          <w:tab w:val="left" w:leader="none" w:pos="2942"/>
        </w:tabs>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0BC389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5EF915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45DDCF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A3BBC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1B96502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2A65973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2026-10-07T17:53:13Z</dcterms:modified>
</cp:coreProperties>
</file>