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2"/>
        </w:rPr>
        <w:t>MẪU 04: KẾ HOẠCH KIỂM THỬ (TEST PLAN)</w:t>
      </w:r>
    </w:p>
    <w:p>
      <w:pPr>
        <w:jc w:val="center"/>
      </w:pPr>
      <w:r>
        <w:rPr>
          <w:rFonts w:ascii="Calibri" w:hAnsi="Calibri"/>
          <w:i/>
          <w:color w:val="595959"/>
          <w:sz w:val="22"/>
        </w:rPr>
        <w:t>Chuẩn IEEE 829 - SmartCalc Pro</w:t>
      </w:r>
    </w:p>
    <w:p>
      <w:r>
        <w:rPr>
          <w:b/>
        </w:rPr>
        <w:t xml:space="preserve">Môn học: </w:t>
      </w:r>
      <w:r>
        <w:t>Đánh giá hiệu năng CSE3066</w:t>
        <w:br/>
      </w:r>
      <w:r>
        <w:rPr>
          <w:b/>
        </w:rPr>
        <w:t xml:space="preserve">Sinh viên thực hiện: </w:t>
      </w:r>
      <w:r>
        <w:t>Phạm Văn Quang - MSSV: 23110342</w:t>
        <w:br/>
      </w:r>
      <w:r>
        <w:rPr>
          <w:b/>
        </w:rPr>
        <w:t xml:space="preserve">Hệ thống: </w:t>
      </w:r>
      <w:r>
        <w:t>SmartCalc Pro (Web Application &amp; Testing)</w:t>
        <w:br/>
      </w:r>
      <w:r>
        <w:rPr>
          <w:b/>
        </w:rPr>
        <w:t xml:space="preserve">GitHub Repo: </w:t>
      </w:r>
      <w:r>
        <w:t>https://github.com/QUANGPV021/calculator-qa-testing</w:t>
        <w:br/>
      </w:r>
      <w:r>
        <w:rPr>
          <w:b/>
        </w:rPr>
        <w:t xml:space="preserve">Website Live: </w:t>
      </w:r>
      <w:r>
        <w:t>https://quangpv021.github.io/calculator-qa-testing/</w:t>
        <w:br/>
      </w:r>
    </w:p>
    <w:p>
      <w:r>
        <w:t>----------------------------------------------------------------------</w:t>
      </w:r>
    </w:p>
    <w:p>
      <w:pPr>
        <w:pStyle w:val="Heading1"/>
      </w:pPr>
      <w:r>
        <w:t>1. Mục tiêu và Phạm vi</w:t>
      </w:r>
    </w:p>
    <w:p>
      <w:r>
        <w:t>Kiểm tra toàn diện 12+ yêu cầu chức năng (FR) và 8+ yêu cầu phi chức năng (NFR), bao gồm độ chính xác tính toán, xử lý ranh giới dữ liệu, hiệu năng phản hồi và khả năng chịu lỗi (Fault tolerance).</w:t>
      </w:r>
    </w:p>
    <w:p>
      <w:pPr>
        <w:pStyle w:val="Heading1"/>
      </w:pPr>
      <w:r>
        <w:t>2. Chiến lược và Kỹ thuật kiểm thử</w:t>
      </w:r>
    </w:p>
    <w:p>
      <w:r>
        <w:t>Áp dụng 4 kỹ thuật kiểm thử cốt lõi:</w:t>
        <w:br/>
        <w:t>1. Phân vùng tương đương (Equivalence Partitioning): Số dương, âm, số 0, số thực thập phân.</w:t>
        <w:br/>
        <w:t>2. Phân tích giá trị biên (Boundary Value Analysis): Giới hạn 16 ký tự màn hình, chia cho 0.</w:t>
        <w:br/>
        <w:t>3. Kiểm thử chuyển trạng thái (State Transition): Trạng thái bộ nhớ MS -&gt; C -&gt; MR.</w:t>
        <w:br/>
        <w:t>4. Kỹ thuật đoán lỗi (Error Guessing): Chuỗi toán tử liên tiếp, xóa rỗng xâu, vòng lặp nặng CPU.</w:t>
      </w:r>
    </w:p>
    <w:p>
      <w:pPr>
        <w:pStyle w:val="Heading1"/>
      </w:pPr>
      <w:r>
        <w:t>3. Tiêu chí dừng kiểm thử</w:t>
      </w:r>
    </w:p>
    <w:p>
      <w:r>
        <w:t>Toàn bộ 20 test cases được thực thi; 100% các lỗi nghiêm trọng (Critical/Major) được lập Bug Report và Bug Manifest đối chiếu.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