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44018C">
      <w:pPr>
        <w:numPr>
          <w:ilvl w:val="0"/>
          <w:numId w:val="1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调研范围</w:t>
      </w:r>
    </w:p>
    <w:p w14:paraId="75A75ACE">
      <w:pPr>
        <w:numPr>
          <w:numId w:val="0"/>
        </w:numPr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覆盖蛋白 AI 设计完整工作流：</w:t>
      </w:r>
      <w:r>
        <w:rPr>
          <w:rStyle w:val="5"/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骨架生成、序列设计、结构预测复核、筛选打分、结构查看处理</w:t>
      </w:r>
      <w:r>
        <w:rPr>
          <w:rFonts w:hint="eastAsia" w:ascii="宋体" w:hAnsi="宋体" w:eastAsia="宋体" w:cs="宋体"/>
          <w:sz w:val="21"/>
          <w:szCs w:val="21"/>
        </w:rPr>
        <w:t>。 工具清单：RFdiffusion、ProteinMPNN、AlphaFold2、ColabFold、Rosetta、PyMOL</w:t>
      </w:r>
      <w:r>
        <w:rPr>
          <w:rFonts w:hint="eastAsia" w:ascii="宋体" w:hAnsi="宋体" w:eastAsia="宋体" w:cs="宋体"/>
          <w:sz w:val="21"/>
          <w:szCs w:val="21"/>
        </w:rPr>
        <w:noBreakHyphen/>
      </w:r>
      <w:r>
        <w:rPr>
          <w:rFonts w:hint="eastAsia" w:ascii="宋体" w:hAnsi="宋体" w:eastAsia="宋体" w:cs="宋体"/>
          <w:sz w:val="21"/>
          <w:szCs w:val="21"/>
        </w:rPr>
        <w:t>open</w:t>
      </w:r>
      <w:r>
        <w:rPr>
          <w:rFonts w:hint="eastAsia" w:ascii="宋体" w:hAnsi="宋体" w:eastAsia="宋体" w:cs="宋体"/>
          <w:sz w:val="21"/>
          <w:szCs w:val="21"/>
        </w:rPr>
        <w:noBreakHyphen/>
      </w:r>
      <w:r>
        <w:rPr>
          <w:rFonts w:hint="eastAsia" w:ascii="宋体" w:hAnsi="宋体" w:eastAsia="宋体" w:cs="宋体"/>
          <w:sz w:val="21"/>
          <w:szCs w:val="21"/>
        </w:rPr>
        <w:t>source、ChimeraX；拓展：GROMACS 分子动力学。</w:t>
      </w:r>
    </w:p>
    <w:p w14:paraId="4ED34A00">
      <w:pPr>
        <w:numPr>
          <w:numId w:val="0"/>
        </w:numPr>
        <w:ind w:firstLine="420" w:firstLineChars="0"/>
        <w:rPr>
          <w:rFonts w:hint="eastAsia" w:ascii="宋体" w:hAnsi="宋体" w:eastAsia="宋体" w:cs="宋体"/>
          <w:sz w:val="21"/>
          <w:szCs w:val="21"/>
        </w:rPr>
      </w:pPr>
    </w:p>
    <w:p w14:paraId="66A68A96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环节-工具矩阵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76"/>
        <w:gridCol w:w="2340"/>
        <w:gridCol w:w="2017"/>
        <w:gridCol w:w="1742"/>
        <w:gridCol w:w="1671"/>
      </w:tblGrid>
      <w:tr w14:paraId="4CB0E4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1ABDF" w:themeFill="accent1" w:themeFillTint="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D1162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highlight w:val="none"/>
                <w:bdr w:val="none" w:color="auto" w:sz="0" w:space="0"/>
                <w:lang w:val="en-US" w:eastAsia="zh-CN" w:bidi="ar"/>
              </w:rPr>
              <w:t>业务环节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1ABDF" w:themeFill="accent1" w:themeFillTint="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9877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highlight w:val="none"/>
                <w:bdr w:val="none" w:color="auto" w:sz="0" w:space="0"/>
                <w:lang w:val="en-US" w:eastAsia="zh-CN" w:bidi="ar"/>
              </w:rPr>
              <w:t>候选工具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1ABDF" w:themeFill="accent1" w:themeFillTint="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EEC2A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highlight w:val="none"/>
                <w:bdr w:val="none" w:color="auto" w:sz="0" w:space="0"/>
                <w:lang w:val="en-US" w:eastAsia="zh-CN" w:bidi="ar"/>
              </w:rPr>
              <w:t>核心用途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1ABDF" w:themeFill="accent1" w:themeFillTint="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0716D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highlight w:val="none"/>
                <w:bdr w:val="none" w:color="auto" w:sz="0" w:space="0"/>
                <w:lang w:val="en-US" w:eastAsia="zh-CN" w:bidi="ar"/>
              </w:rPr>
              <w:t>典型输入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1ABDF" w:themeFill="accent1" w:themeFillTint="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B9B96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highlight w:val="none"/>
                <w:bdr w:val="none" w:color="auto" w:sz="0" w:space="0"/>
                <w:lang w:val="en-US" w:eastAsia="zh-CN" w:bidi="ar"/>
              </w:rPr>
              <w:t>典型输出</w:t>
            </w:r>
          </w:p>
        </w:tc>
      </w:tr>
      <w:tr w14:paraId="3BD4AA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B5C7EA" w:themeFill="accent1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7E184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结构查看与处理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5C7EA" w:themeFill="accent1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0C480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  <w:highlight w:val="yellow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highlight w:val="yellow"/>
                <w:bdr w:val="none" w:color="auto" w:sz="0" w:space="0"/>
                <w:lang w:val="en-US" w:eastAsia="zh-CN" w:bidi="ar"/>
              </w:rPr>
              <w:t>PyMOL(open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highlight w:val="yellow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highlight w:val="yellow"/>
                <w:bdr w:val="none" w:color="auto" w:sz="0" w:space="0"/>
                <w:lang w:val="en-US" w:eastAsia="zh-CN" w:bidi="ar"/>
              </w:rPr>
              <w:t>source)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5C7EA" w:themeFill="accent1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E63E3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三维可视化、结构裁剪、对齐、渲染出图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5C7EA" w:themeFill="accent1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265D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PDB/CIF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5C7EA" w:themeFill="accent1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9006B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处理后 PDB、渲染图片、会话文件</w:t>
            </w:r>
          </w:p>
        </w:tc>
      </w:tr>
      <w:tr w14:paraId="5C313D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5C7EA" w:themeFill="accent1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18F453">
            <w:pPr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5C7EA" w:themeFill="accent1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92BB8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  <w:highlight w:val="yellow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highlight w:val="yellow"/>
                <w:bdr w:val="none" w:color="auto" w:sz="0" w:space="0"/>
                <w:lang w:val="en-US" w:eastAsia="zh-CN" w:bidi="ar"/>
              </w:rPr>
              <w:t>ChimeraX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5C7EA" w:themeFill="accent1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B7E7C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可视化、冷冻电镜密度、复合物分析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5C7EA" w:themeFill="accent1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52AE7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PDB/CIF/MTZ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5C7EA" w:themeFill="accent1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4A8B8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结构文件、高质量动画图像</w:t>
            </w:r>
          </w:p>
        </w:tc>
      </w:tr>
      <w:tr w14:paraId="644B85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DB9CA" w:themeFill="text2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C336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骨架生成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DB9CA" w:themeFill="text2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7B466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  <w:highlight w:val="yellow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highlight w:val="yellow"/>
                <w:bdr w:val="none" w:color="auto" w:sz="0" w:space="0"/>
                <w:lang w:val="en-US" w:eastAsia="zh-CN" w:bidi="ar"/>
              </w:rPr>
              <w:t>RFdiffusion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DB9CA" w:themeFill="text2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A64E6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从头生成蛋白 Cα 骨架，支持结合位点、对称约束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DB9CA" w:themeFill="text2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4676C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长度 / 约束 JSON、参考 PDB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DB9CA" w:themeFill="text2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DCF5C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Cα 骨架 PDB、trb 元数据文件</w:t>
            </w:r>
          </w:p>
        </w:tc>
      </w:tr>
      <w:tr w14:paraId="3DE592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5C7EA" w:themeFill="accent1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5A0FF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序列设计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5C7EA" w:themeFill="accent1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466A6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  <w:highlight w:val="yellow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highlight w:val="yellow"/>
                <w:bdr w:val="none" w:color="auto" w:sz="0" w:space="0"/>
                <w:lang w:val="en-US" w:eastAsia="zh-CN" w:bidi="ar"/>
              </w:rPr>
              <w:t>ProteinMPNN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5C7EA" w:themeFill="accent1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7B79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给定骨架反向设计氨基酸序列，支持残基固定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5C7EA" w:themeFill="accent1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EB64B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骨架 PDB、链 / 位点约束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5C7EA" w:themeFill="accent1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9746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FASTA 序列、打分 csv、PDB</w:t>
            </w:r>
          </w:p>
        </w:tc>
      </w:tr>
      <w:tr w14:paraId="06F7A1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DB9CA" w:themeFill="text2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A6DC5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结构预测复核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DB9CA" w:themeFill="text2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C0D6F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  <w:highlight w:val="yellow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highlight w:val="yellow"/>
                <w:bdr w:val="none" w:color="auto" w:sz="0" w:space="0"/>
                <w:lang w:val="en-US" w:eastAsia="zh-CN" w:bidi="ar"/>
              </w:rPr>
              <w:t>AlphaFold2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DB9CA" w:themeFill="text2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F5A3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从序列预测三维结构，校验设计序列折叠能力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DB9CA" w:themeFill="text2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A3977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FASTA、MSA 比对文件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DB9CA" w:themeFill="text2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544FB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PDB、pLDDT、PAE 矩阵</w:t>
            </w:r>
          </w:p>
        </w:tc>
      </w:tr>
      <w:tr w14:paraId="2DCE0E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DB9CA" w:themeFill="text2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E80661">
            <w:pPr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DB9CA" w:themeFill="text2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0D662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  <w:highlight w:val="yellow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highlight w:val="yellow"/>
                <w:bdr w:val="none" w:color="auto" w:sz="0" w:space="0"/>
                <w:lang w:val="en-US" w:eastAsia="zh-CN" w:bidi="ar"/>
              </w:rPr>
              <w:t>ColabFold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DB9CA" w:themeFill="text2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D513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AlphaFold 工程封装，适合高通量批量预测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DB9CA" w:themeFill="text2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B4FB5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FASTA（或离线 a3m）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DB9CA" w:themeFill="text2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CA85A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PDB、置信度 JSON</w:t>
            </w:r>
          </w:p>
        </w:tc>
      </w:tr>
      <w:tr w14:paraId="7EA40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5C7EA" w:themeFill="accent1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FB627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筛选评分构象优化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5C7EA" w:themeFill="accent1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D695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  <w:highlight w:val="yellow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highlight w:val="yellow"/>
                <w:bdr w:val="none" w:color="auto" w:sz="0" w:space="0"/>
                <w:lang w:val="en-US" w:eastAsia="zh-CN" w:bidi="ar"/>
              </w:rPr>
              <w:t>Rosetta(Relax/Score)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5C7EA" w:themeFill="accent1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53A42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能量打分、结构松弛、去除原子冲突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5C7EA" w:themeFill="accent1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F249A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PDB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5C7EA" w:themeFill="accent1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8196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优化后 PDB、REU 能量值</w:t>
            </w:r>
          </w:p>
        </w:tc>
      </w:tr>
      <w:tr w14:paraId="1AD775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DB9CA" w:themeFill="text2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43ACF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高阶稳定性验证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DB9CA" w:themeFill="text2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939F8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  <w:highlight w:val="yellow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highlight w:val="yellow"/>
                <w:bdr w:val="none" w:color="auto" w:sz="0" w:space="0"/>
                <w:lang w:val="en-US" w:eastAsia="zh-CN" w:bidi="ar"/>
              </w:rPr>
              <w:t>GROMACS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DB9CA" w:themeFill="text2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95F25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分子动力学模拟，评估蛋白动态稳定性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DB9CA" w:themeFill="text2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85E92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PDB + 力场参数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DB9CA" w:themeFill="text2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830FE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模拟轨迹、RMSD/RMSF 统计</w:t>
            </w:r>
          </w:p>
        </w:tc>
      </w:tr>
    </w:tbl>
    <w:p w14:paraId="2B97CC1B">
      <w:pPr>
        <w:numPr>
          <w:numId w:val="0"/>
        </w:numPr>
        <w:ind w:left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2EFA5CB4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逐工具评估维度</w:t>
      </w:r>
    </w:p>
    <w:p w14:paraId="16651E4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  <w:bdr w:val="none" w:color="auto" w:sz="0" w:space="0"/>
          <w:lang w:val="en-US" w:eastAsia="zh-CN"/>
        </w:rPr>
        <w:t>1.</w:t>
      </w:r>
      <w:r>
        <w:rPr>
          <w:color w:val="000000"/>
          <w:sz w:val="21"/>
          <w:szCs w:val="21"/>
          <w:bdr w:val="none" w:color="auto" w:sz="0" w:space="0"/>
        </w:rPr>
        <w:t>PyMOL</w:t>
      </w:r>
      <w:r>
        <w:rPr>
          <w:rFonts w:hint="eastAsia"/>
          <w:color w:val="000000"/>
          <w:sz w:val="21"/>
          <w:szCs w:val="21"/>
          <w:bdr w:val="none" w:color="auto" w:sz="0" w:space="0"/>
          <w:lang w:val="en-US" w:eastAsia="zh-CN"/>
        </w:rPr>
        <w:t>-</w:t>
      </w:r>
      <w:r>
        <w:rPr>
          <w:color w:val="000000"/>
          <w:sz w:val="21"/>
          <w:szCs w:val="21"/>
          <w:bdr w:val="none" w:color="auto" w:sz="0" w:space="0"/>
        </w:rPr>
        <w:t>open</w:t>
      </w:r>
      <w:r>
        <w:rPr>
          <w:rFonts w:hint="eastAsia"/>
          <w:color w:val="000000"/>
          <w:sz w:val="21"/>
          <w:szCs w:val="21"/>
          <w:bdr w:val="none" w:color="auto" w:sz="0" w:space="0"/>
          <w:lang w:val="en-US" w:eastAsia="zh-CN"/>
        </w:rPr>
        <w:t>-</w:t>
      </w:r>
      <w:r>
        <w:rPr>
          <w:color w:val="000000"/>
          <w:sz w:val="21"/>
          <w:szCs w:val="21"/>
          <w:bdr w:val="none" w:color="auto" w:sz="0" w:space="0"/>
        </w:rPr>
        <w:t>source</w:t>
      </w:r>
    </w:p>
    <w:p w14:paraId="25DE614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许可证：BSD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-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like开源协议，可容器打包、非商用自由使用；商业Schrödinger版本不可用于本项目容器部署</w:t>
      </w:r>
    </w:p>
    <w:p w14:paraId="5B1BA5C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部署方式：本地conda、Docker容器（web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noBreakHyphen/>
      </w:r>
      <w:r>
        <w:rPr>
          <w:rFonts w:hint="eastAsia" w:ascii="宋体" w:hAnsi="宋体" w:eastAsia="宋体" w:cs="宋体"/>
          <w:color w:val="000000"/>
          <w:sz w:val="21"/>
          <w:szCs w:val="21"/>
        </w:rPr>
        <w:t>noVNC）；无官方API</w:t>
      </w:r>
    </w:p>
    <w:p w14:paraId="265C36A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输入输出：PDB、CIF；输出PDB、PNG图像、pse会话</w:t>
      </w:r>
    </w:p>
    <w:p w14:paraId="3B5DFA8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GPU</w:t>
      </w:r>
      <w:r>
        <w:rPr>
          <w:rFonts w:hint="eastAsia" w:ascii="宋体" w:hAnsi="宋体" w:eastAsia="宋体" w:cs="宋体"/>
          <w:color w:val="000000"/>
          <w:sz w:val="21"/>
          <w:szCs w:val="21"/>
          <w:lang w:val="en-US" w:eastAsia="zh-CN"/>
        </w:rPr>
        <w:t>/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内存：可视化可不使用GPU；大复合物建议2GB以上内存</w:t>
      </w:r>
    </w:p>
    <w:p w14:paraId="10A36DB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耗时：加载结构毫秒级，渲染图片1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noBreakHyphen/>
      </w:r>
      <w:r>
        <w:rPr>
          <w:rFonts w:hint="eastAsia" w:ascii="宋体" w:hAnsi="宋体" w:eastAsia="宋体" w:cs="宋体"/>
          <w:color w:val="000000"/>
          <w:sz w:val="21"/>
          <w:szCs w:val="21"/>
        </w:rPr>
        <w:t>10s</w:t>
      </w:r>
    </w:p>
    <w:p w14:paraId="06C96F1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维护活跃度：稳定维护，核心功能冻结，bug持续修复</w:t>
      </w:r>
    </w:p>
    <w:p w14:paraId="413B501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</w:rPr>
        <w:t>上下游兼容性：全部上游PDB输出均可读取，流水线通用可视化终点</w:t>
      </w:r>
    </w:p>
    <w:p w14:paraId="3319418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</w:p>
    <w:p w14:paraId="5E32B06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cs="宋体"/>
          <w:color w:val="000000"/>
          <w:sz w:val="21"/>
          <w:szCs w:val="21"/>
          <w:bdr w:val="none" w:color="auto" w:sz="0" w:space="0"/>
          <w:lang w:val="en-US" w:eastAsia="zh-CN"/>
        </w:rPr>
        <w:t>2.</w:t>
      </w: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UCSF ChimeraX</w:t>
      </w:r>
    </w:p>
    <w:p w14:paraId="467BF1B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许可证：源码开放，学术免费；商用需要申请授权</w:t>
      </w:r>
    </w:p>
    <w:p w14:paraId="7B0E774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部署方式：本地安装包、Python API；缺少成熟标准容器镜像</w:t>
      </w:r>
    </w:p>
    <w:p w14:paraId="0728E2E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输入输出：PDB/CIF、冷冻电镜密度图 MTZ/EMD；输出图像、处理后结构</w:t>
      </w:r>
    </w:p>
    <w:p w14:paraId="58D55F3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GPU</w:t>
      </w: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  <w:lang w:val="en-US" w:eastAsia="zh-CN"/>
        </w:rPr>
        <w:t>/</w:t>
      </w: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内存：渲染表面、密度图建议独显8GB+显存</w:t>
      </w:r>
    </w:p>
    <w:p w14:paraId="3B1D92A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耗时：结构加载快，密度渲染数秒</w:t>
      </w:r>
    </w:p>
    <w:p w14:paraId="69A260E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维护活跃度：高，UCSF持续迭代，适配AI设计蛋白</w:t>
      </w:r>
    </w:p>
    <w:p w14:paraId="3C2C133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上下游兼容性：支持AF置信度数据，脚本自动化弱于PyMOL</w:t>
      </w:r>
    </w:p>
    <w:p w14:paraId="17AF45D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</w:p>
    <w:p w14:paraId="7F2AB4C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cs="宋体"/>
          <w:color w:val="000000"/>
          <w:sz w:val="21"/>
          <w:szCs w:val="21"/>
          <w:bdr w:val="none" w:color="auto" w:sz="0" w:space="0"/>
          <w:lang w:val="en-US" w:eastAsia="zh-CN"/>
        </w:rPr>
        <w:t>3.</w:t>
      </w: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RFdiffusion</w:t>
      </w:r>
    </w:p>
    <w:p w14:paraId="7FF4F15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许可证：MIT完全开源</w:t>
      </w:r>
    </w:p>
    <w:p w14:paraId="6E7FDB0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部署方式：本地Python、自建Docker；无官方API</w:t>
      </w:r>
    </w:p>
    <w:p w14:paraId="454F3DF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输入输出：约束配置、参考PDB；输出Cα骨架PDB、trb元数据</w:t>
      </w:r>
    </w:p>
    <w:p w14:paraId="289C3CC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GPU</w:t>
      </w: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  <w:lang w:val="en-US" w:eastAsia="zh-CN"/>
        </w:rPr>
        <w:t>/</w:t>
      </w: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内存：必须GPU；推荐 RTX3090/4090/A100；单骨架4</w:t>
      </w: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  <w:lang w:val="en-US" w:eastAsia="zh-CN"/>
        </w:rPr>
        <w:t>-</w:t>
      </w: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10GB显存</w:t>
      </w:r>
    </w:p>
    <w:p w14:paraId="7848183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耗时：单骨架 30s</w:t>
      </w: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  <w:lang w:val="en-US" w:eastAsia="zh-CN"/>
        </w:rPr>
        <w:t>-</w:t>
      </w: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5min，复杂约束可达十几分钟</w:t>
      </w:r>
    </w:p>
    <w:p w14:paraId="7CCC7B5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维护活跃度：中高，社区活跃</w:t>
      </w:r>
    </w:p>
    <w:p w14:paraId="434B481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上下游兼容性：输出Cα骨架直接送入ProteinMPNN；产物可被PyMOL/ChimeraX读取</w:t>
      </w:r>
    </w:p>
    <w:p w14:paraId="7B2D452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</w:p>
    <w:p w14:paraId="341489A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cs="宋体"/>
          <w:color w:val="000000"/>
          <w:sz w:val="21"/>
          <w:szCs w:val="21"/>
          <w:bdr w:val="none" w:color="auto" w:sz="0" w:space="0"/>
          <w:lang w:val="en-US" w:eastAsia="zh-CN"/>
        </w:rPr>
        <w:t>4.</w:t>
      </w: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ProteinMPNN</w:t>
      </w:r>
    </w:p>
    <w:p w14:paraId="44104BC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许可证：MIT开源</w:t>
      </w:r>
    </w:p>
    <w:p w14:paraId="4295B39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部署方式：本地Python、自建Docker、Colab网页</w:t>
      </w:r>
    </w:p>
    <w:p w14:paraId="75C18B5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输入输出：Cα骨架PDB、链与残基固定约束；输出FASTA、打分csv</w:t>
      </w:r>
    </w:p>
    <w:p w14:paraId="43EE523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GPU</w:t>
      </w: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  <w:lang w:val="en-US" w:eastAsia="zh-CN"/>
        </w:rPr>
        <w:t>/</w:t>
      </w: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内存：GPU加速，CPU可运行（速度慢）；常规蛋白2</w:t>
      </w: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  <w:lang w:val="en-US" w:eastAsia="zh-CN"/>
        </w:rPr>
        <w:t>-</w:t>
      </w: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6GB显存</w:t>
      </w:r>
    </w:p>
    <w:p w14:paraId="0CAF9C9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耗时：GPU下单骨架多条序列几秒～几十秒</w:t>
      </w:r>
    </w:p>
    <w:p w14:paraId="7C0D6CB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维护活跃度：模型冻结，周边工具社区维护</w:t>
      </w:r>
    </w:p>
    <w:p w14:paraId="72C00F3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上下游兼容性：RFdiffusion标准下游；输出序列送入ColabFold/AlphaFold2</w:t>
      </w:r>
    </w:p>
    <w:p w14:paraId="6A40F51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</w:p>
    <w:p w14:paraId="7CA05F6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cs="宋体"/>
          <w:color w:val="000000"/>
          <w:sz w:val="21"/>
          <w:szCs w:val="21"/>
          <w:bdr w:val="none" w:color="auto" w:sz="0" w:space="0"/>
          <w:lang w:val="en-US" w:eastAsia="zh-CN"/>
        </w:rPr>
        <w:t>5.</w:t>
      </w: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AlphaFold2</w:t>
      </w:r>
    </w:p>
    <w:p w14:paraId="2FCD446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许可证：Apache2.0代码许可；权重CC</w:t>
      </w: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  <w:lang w:val="en-US" w:eastAsia="zh-CN"/>
        </w:rPr>
        <w:t>-</w:t>
      </w: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BY</w:t>
      </w: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  <w:lang w:val="en-US" w:eastAsia="zh-CN"/>
        </w:rPr>
        <w:t>-</w:t>
      </w: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4.0</w:t>
      </w:r>
    </w:p>
    <w:p w14:paraId="0C1FC8E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部署方式：本地、HPC、自建Docker，无公开API</w:t>
      </w:r>
    </w:p>
    <w:p w14:paraId="44F2D0B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输入输出：FASTA序列、MSA；输出PDB、pLDDT、PAE</w:t>
      </w:r>
    </w:p>
    <w:p w14:paraId="442AF5D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GPU</w:t>
      </w: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  <w:lang w:val="en-US" w:eastAsia="zh-CN"/>
        </w:rPr>
        <w:t>/</w:t>
      </w: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内存：多聚体消耗显存高，100aa单链约4GB</w:t>
      </w:r>
    </w:p>
    <w:p w14:paraId="29BEFEB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耗时：含MSA搜索几十分钟至数小时</w:t>
      </w:r>
    </w:p>
    <w:p w14:paraId="1678338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维护活跃度：原版模型冻结，AF3为独立新版本</w:t>
      </w:r>
    </w:p>
    <w:p w14:paraId="31C748A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上下游兼容性：接收MPNN输出序列；输出结构送入Rosetta、可视化工具</w:t>
      </w:r>
    </w:p>
    <w:p w14:paraId="22465CF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</w:p>
    <w:p w14:paraId="4FB4339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cs="宋体"/>
          <w:color w:val="000000"/>
          <w:sz w:val="21"/>
          <w:szCs w:val="21"/>
          <w:bdr w:val="none" w:color="auto" w:sz="0" w:space="0"/>
          <w:lang w:val="en-US" w:eastAsia="zh-CN"/>
        </w:rPr>
        <w:t>6.</w:t>
      </w: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ColabFold 1.5.5</w:t>
      </w:r>
    </w:p>
    <w:p w14:paraId="362EF63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许可证：MIT开源，封装AlphaFold2</w:t>
      </w: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  <w:lang w:val="en-US" w:eastAsia="zh-CN"/>
        </w:rPr>
        <w:t>-</w:t>
      </w: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multimer v2.3.1</w:t>
      </w:r>
    </w:p>
    <w:p w14:paraId="382572D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部署方式：Colab网页、pip本地、Docker镜像</w:t>
      </w:r>
    </w:p>
    <w:p w14:paraId="2D70DBC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输入输出：FASTA或离线a3m比对文件；输出PDB、置信度</w:t>
      </w:r>
    </w:p>
    <w:p w14:paraId="360BCFF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GPU</w:t>
      </w: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  <w:lang w:val="en-US" w:eastAsia="zh-CN"/>
        </w:rPr>
        <w:t>/</w:t>
      </w: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内存：依赖底层AF2，建议≥10GB显存</w:t>
      </w:r>
    </w:p>
    <w:p w14:paraId="484374A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耗时：优化MSA，远快原版 AF2；单条几十秒</w:t>
      </w: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  <w:lang w:val="en-US" w:eastAsia="zh-CN"/>
        </w:rPr>
        <w:t>-</w:t>
      </w: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数分钟</w:t>
      </w:r>
    </w:p>
    <w:p w14:paraId="248EEE8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维护活跃度：很高，持续跟进新版本</w:t>
      </w:r>
    </w:p>
    <w:p w14:paraId="296D357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上下游兼容性：和AF2完全兼容，适合高通量初筛</w:t>
      </w:r>
    </w:p>
    <w:p w14:paraId="387D349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</w:p>
    <w:p w14:paraId="21FAB4D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cs="宋体"/>
          <w:color w:val="000000"/>
          <w:sz w:val="21"/>
          <w:szCs w:val="21"/>
          <w:bdr w:val="none" w:color="auto" w:sz="0" w:space="0"/>
          <w:lang w:val="en-US" w:eastAsia="zh-CN"/>
        </w:rPr>
        <w:t>7.</w:t>
      </w: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Rosetta 3.14</w:t>
      </w:r>
    </w:p>
    <w:p w14:paraId="60D35B4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许可证：学术免费RosettaCommons协议，商用需授权</w:t>
      </w:r>
    </w:p>
    <w:p w14:paraId="0B6D3CE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部署方式：本地编译、HPC、社区Docker镜像</w:t>
      </w:r>
    </w:p>
    <w:p w14:paraId="34D89B3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输入输出：清理后的PDB；输出松弛后PDB、REU能量打分</w:t>
      </w:r>
    </w:p>
    <w:p w14:paraId="4AC9C62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GPU</w:t>
      </w: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  <w:lang w:val="en-US" w:eastAsia="zh-CN"/>
        </w:rPr>
        <w:t>/</w:t>
      </w: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内存：Relax/Score 主流程以CPU为主；内存1</w:t>
      </w: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noBreakHyphen/>
      </w: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4GB</w:t>
      </w:r>
    </w:p>
    <w:p w14:paraId="066D702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耗时：单结构relax数分钟</w:t>
      </w: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  <w:lang w:val="en-US" w:eastAsia="zh-CN"/>
        </w:rPr>
        <w:t>-</w:t>
      </w: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几十分钟</w:t>
      </w:r>
    </w:p>
    <w:p w14:paraId="5B84A57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维护活跃度：长期稳定迭代</w:t>
      </w:r>
    </w:p>
    <w:p w14:paraId="7FEB0FC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上下游兼容性：接收AI生成全部PDB结构；输出供MD、可视化使用</w:t>
      </w:r>
    </w:p>
    <w:p w14:paraId="394F8F4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</w:p>
    <w:p w14:paraId="1A079DD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cs="宋体"/>
          <w:color w:val="000000"/>
          <w:sz w:val="21"/>
          <w:szCs w:val="21"/>
          <w:bdr w:val="none" w:color="auto" w:sz="0" w:space="0"/>
          <w:lang w:val="en-US" w:eastAsia="zh-CN"/>
        </w:rPr>
        <w:t>8.</w:t>
      </w: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GROMACS（拓展）</w:t>
      </w:r>
    </w:p>
    <w:p w14:paraId="5AF6510A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许可证：GPLv2完全开源</w:t>
      </w:r>
    </w:p>
    <w:p w14:paraId="69D76EDC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部署方式：本地、HPC、容器</w:t>
      </w:r>
    </w:p>
    <w:p w14:paraId="20A373FC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输入输出：PDB+拓扑力场文件；输出模拟轨迹、统计指标</w:t>
      </w:r>
    </w:p>
    <w:p w14:paraId="1E80AE7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GPU</w:t>
      </w: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  <w:lang w:val="en-US" w:eastAsia="zh-CN"/>
        </w:rPr>
        <w:t>/</w:t>
      </w: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内存：GPU刚需；大体系8GB起步</w:t>
      </w:r>
    </w:p>
    <w:p w14:paraId="0A5A0CA7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耗时：ns级别模拟需要小时</w:t>
      </w: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  <w:lang w:val="en-US" w:eastAsia="zh-CN"/>
        </w:rPr>
        <w:t>-</w:t>
      </w: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天级别</w:t>
      </w:r>
    </w:p>
    <w:p w14:paraId="5789D9A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维护活跃度：版本迭代活跃</w:t>
      </w:r>
    </w:p>
    <w:p w14:paraId="6D7D5A9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bdr w:val="none" w:color="auto" w:sz="0" w:space="0"/>
        </w:rPr>
        <w:t>上下游兼容性：上游为Rosetta松弛后的结构，轨迹可被可视化软件读取</w:t>
      </w:r>
    </w:p>
    <w:p w14:paraId="193DF72C">
      <w:pPr>
        <w:numPr>
          <w:numId w:val="0"/>
        </w:numPr>
        <w:ind w:left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7BCF4B03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分环节选型</w:t>
      </w:r>
    </w:p>
    <w:tbl>
      <w:tblPr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8"/>
        <w:gridCol w:w="2235"/>
        <w:gridCol w:w="1488"/>
        <w:gridCol w:w="3975"/>
      </w:tblGrid>
      <w:tr w14:paraId="7EEE2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91ABDF" w:themeFill="accent1" w:themeFillTint="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B721B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环节</w:t>
            </w:r>
          </w:p>
        </w:tc>
        <w:tc>
          <w:tcPr>
            <w:tcW w:w="0" w:type="auto"/>
            <w:shd w:val="clear" w:color="auto" w:fill="91ABDF" w:themeFill="accent1" w:themeFillTint="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B32D1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主选</w:t>
            </w:r>
          </w:p>
        </w:tc>
        <w:tc>
          <w:tcPr>
            <w:tcW w:w="0" w:type="auto"/>
            <w:shd w:val="clear" w:color="auto" w:fill="91ABDF" w:themeFill="accent1" w:themeFillTint="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D6CAD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备选</w:t>
            </w:r>
          </w:p>
        </w:tc>
        <w:tc>
          <w:tcPr>
            <w:tcW w:w="0" w:type="auto"/>
            <w:shd w:val="clear" w:color="auto" w:fill="91ABDF" w:themeFill="accent1" w:themeFillTint="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CC741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选型说明</w:t>
            </w:r>
          </w:p>
        </w:tc>
      </w:tr>
      <w:tr w14:paraId="51C36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91ABDF" w:themeFill="accent1" w:themeFillTint="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7F795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结构查看处理</w:t>
            </w:r>
          </w:p>
        </w:tc>
        <w:tc>
          <w:tcPr>
            <w:tcW w:w="0" w:type="auto"/>
            <w:shd w:val="clear" w:color="auto" w:fill="DBE3F4" w:themeFill="accent1" w:themeFillTint="3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74FE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  <w:highlight w:val="yellow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highlight w:val="yellow"/>
                <w:bdr w:val="none" w:color="auto" w:sz="0" w:space="0"/>
                <w:lang w:val="en-US" w:eastAsia="zh-CN" w:bidi="ar"/>
              </w:rPr>
              <w:t>PyMOL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highlight w:val="yellow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highlight w:val="yellow"/>
                <w:bdr w:val="none" w:color="auto" w:sz="0" w:space="0"/>
                <w:lang w:val="en-US" w:eastAsia="zh-CN" w:bidi="ar"/>
              </w:rPr>
              <w:t>open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highlight w:val="yellow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highlight w:val="yellow"/>
                <w:bdr w:val="none" w:color="auto" w:sz="0" w:space="0"/>
                <w:lang w:val="en-US" w:eastAsia="zh-CN" w:bidi="ar"/>
              </w:rPr>
              <w:t>source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7AB9A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ChimeraX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0B5C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主选可容器化，适配平台常用工具界面；ChimeraX 仅作为备选，不接入自动化流水线</w:t>
            </w:r>
          </w:p>
        </w:tc>
      </w:tr>
      <w:tr w14:paraId="45259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91ABDF" w:themeFill="accent1" w:themeFillTint="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AF55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骨架生成</w:t>
            </w:r>
          </w:p>
        </w:tc>
        <w:tc>
          <w:tcPr>
            <w:tcW w:w="0" w:type="auto"/>
            <w:shd w:val="clear" w:color="auto" w:fill="DBE3F4" w:themeFill="accent1" w:themeFillTint="3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84186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  <w:highlight w:val="yellow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highlight w:val="yellow"/>
                <w:bdr w:val="none" w:color="auto" w:sz="0" w:space="0"/>
                <w:lang w:val="en-US" w:eastAsia="zh-CN" w:bidi="ar"/>
              </w:rPr>
              <w:t>RFdiffusion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326EB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CC3A3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SOTA，MIT 开源，输出标准 Cα 骨架，原生对接 MPNN；初期不引入其他骨架生成工具</w:t>
            </w:r>
          </w:p>
        </w:tc>
      </w:tr>
      <w:tr w14:paraId="1AD6E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91ABDF" w:themeFill="accent1" w:themeFillTint="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DF080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序列设计</w:t>
            </w:r>
          </w:p>
        </w:tc>
        <w:tc>
          <w:tcPr>
            <w:tcW w:w="0" w:type="auto"/>
            <w:shd w:val="clear" w:color="auto" w:fill="DBE3F4" w:themeFill="accent1" w:themeFillTint="3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0B844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  <w:highlight w:val="yellow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highlight w:val="yellow"/>
                <w:bdr w:val="none" w:color="auto" w:sz="0" w:space="0"/>
                <w:lang w:val="en-US" w:eastAsia="zh-CN" w:bidi="ar"/>
              </w:rPr>
              <w:t>ProteinMPNN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51026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DAF29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与 RFdiffusion 为标准搭档，支持链、残基约束，部署简单</w:t>
            </w:r>
          </w:p>
        </w:tc>
      </w:tr>
      <w:tr w14:paraId="57483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91ABDF" w:themeFill="accent1" w:themeFillTint="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C90C7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结构预测复核</w:t>
            </w:r>
          </w:p>
        </w:tc>
        <w:tc>
          <w:tcPr>
            <w:tcW w:w="0" w:type="auto"/>
            <w:shd w:val="clear" w:color="auto" w:fill="DBE3F4" w:themeFill="accent1" w:themeFillTint="3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A3F46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  <w:highlight w:val="yellow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highlight w:val="yellow"/>
                <w:bdr w:val="none" w:color="auto" w:sz="0" w:space="0"/>
                <w:lang w:val="en-US" w:eastAsia="zh-CN" w:bidi="ar"/>
              </w:rPr>
              <w:t>ColabFold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C61E8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AlphaFold2 原版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BD47E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ColabFold 用于高通量批量复核；原版 AF2 仅用于 top 候选二次校验，部署成本高</w:t>
            </w:r>
          </w:p>
        </w:tc>
      </w:tr>
      <w:tr w14:paraId="2D505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91ABDF" w:themeFill="accent1" w:themeFillTint="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87BC4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筛选构象松弛</w:t>
            </w:r>
          </w:p>
        </w:tc>
        <w:tc>
          <w:tcPr>
            <w:tcW w:w="0" w:type="auto"/>
            <w:shd w:val="clear" w:color="auto" w:fill="DBE3F4" w:themeFill="accent1" w:themeFillTint="3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43F82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  <w:highlight w:val="yellow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highlight w:val="yellow"/>
                <w:bdr w:val="none" w:color="auto" w:sz="0" w:space="0"/>
                <w:lang w:val="en-US" w:eastAsia="zh-CN" w:bidi="ar"/>
              </w:rPr>
              <w:t>Rosetta Relax+Score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DF1A1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2EE90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蛋白设计经典能量优化；GROMACS 不作为主线，仅作为后期拓展验证</w:t>
            </w:r>
          </w:p>
        </w:tc>
      </w:tr>
    </w:tbl>
    <w:p w14:paraId="1057DAB1">
      <w:pPr>
        <w:numPr>
          <w:numId w:val="0"/>
        </w:numPr>
        <w:ind w:left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185611CB">
      <w:pPr>
        <w:numPr>
          <w:numId w:val="0"/>
        </w:numPr>
        <w:ind w:leftChars="0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流水线：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RFdiffusion(骨架生成) → Prot</w:t>
      </w:r>
      <w:bookmarkStart w:id="0" w:name="_GoBack"/>
      <w:bookmarkEnd w:id="0"/>
      <w:r>
        <w:rPr>
          <w:rFonts w:hint="eastAsia" w:ascii="宋体" w:hAnsi="宋体" w:eastAsia="宋体" w:cs="宋体"/>
          <w:b/>
          <w:bCs/>
          <w:sz w:val="21"/>
          <w:szCs w:val="21"/>
        </w:rPr>
        <w:t>einMPNN(序列设计) → ColabFold(折叠复核) → Rosetta(能量筛选) → PyMOL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-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open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-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source(可视化)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D263D8"/>
    <w:multiLevelType w:val="singleLevel"/>
    <w:tmpl w:val="8AD263D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93276F97"/>
    <w:multiLevelType w:val="multilevel"/>
    <w:tmpl w:val="93276F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7487ED6"/>
    <w:multiLevelType w:val="multilevel"/>
    <w:tmpl w:val="B7487E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1B036F1"/>
    <w:multiLevelType w:val="multilevel"/>
    <w:tmpl w:val="F1B036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076EEBC"/>
    <w:multiLevelType w:val="multilevel"/>
    <w:tmpl w:val="2076EE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4A630CA9"/>
    <w:multiLevelType w:val="multilevel"/>
    <w:tmpl w:val="4A630C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5C894B0D"/>
    <w:multiLevelType w:val="multilevel"/>
    <w:tmpl w:val="5C894B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67A753E2"/>
    <w:multiLevelType w:val="multilevel"/>
    <w:tmpl w:val="67A753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716962C0"/>
    <w:multiLevelType w:val="multilevel"/>
    <w:tmpl w:val="716962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7"/>
  </w:num>
  <w:num w:numId="3">
    <w:abstractNumId w:val="6"/>
  </w:num>
  <w:num w:numId="4">
    <w:abstractNumId w:val="2"/>
  </w:num>
  <w:num w:numId="5">
    <w:abstractNumId w:val="5"/>
  </w:num>
  <w:num w:numId="6">
    <w:abstractNumId w:val="3"/>
  </w:num>
  <w:num w:numId="7">
    <w:abstractNumId w:val="1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8424A1"/>
    <w:rsid w:val="4DAF1F1B"/>
    <w:rsid w:val="5CC20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2026-10-22T13:11:14Z</dcterms:created>
  <dc:creator>吴昱慧</dc:creator>
  <cp:lastModifiedBy>吴昱慧</cp:lastModifiedBy>
  <dcterms:modified xsi:type="dcterms:W3CDTF">2026-10-22T13:31:34Z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eyJoZGlkIjoiOWUxMjMxYWI4ZTk0ODYwOTFmYzUwNzQ1OGQyMWQyYjAiLCJ1c2VySWQiOiIxNzU3NTg0MTg4In0=</vt:lpwstr>
  </property>
  <property fmtid="{D5CDD505-2E9C-101B-9397-08002B2CF9AE}" pid="4" name="ICV">
    <vt:lpwstr>F82FEC7A0D044A438C10F1F6DC583AB9_13</vt:lpwstr>
  </property>
</Properties>
</file>