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F361" w14:textId="65B1968F" w:rsidR="00592875" w:rsidRDefault="004E3DC0" w:rsidP="00F02704">
      <w:pPr>
        <w:pStyle w:val="Heading1"/>
      </w:pPr>
      <w:r>
        <w:t>Adaptive Capacity</w:t>
      </w:r>
      <w:r w:rsidR="00A3678F">
        <w:t xml:space="preserve"> (Vulnerability Sub-Indices)</w:t>
      </w:r>
    </w:p>
    <w:p w14:paraId="556D7027" w14:textId="7DDA7252" w:rsidR="004E3DC0" w:rsidRDefault="004E3DC0" w:rsidP="00F02704">
      <w:pPr>
        <w:pStyle w:val="Subtitle"/>
      </w:pPr>
      <w:r>
        <w:t>Data Dictionary</w:t>
      </w:r>
    </w:p>
    <w:p w14:paraId="26DF75DF" w14:textId="4C6848DD" w:rsidR="00F02704" w:rsidRDefault="00F02704" w:rsidP="002751B8">
      <w:pPr>
        <w:jc w:val="both"/>
      </w:pPr>
      <w:r>
        <w:t xml:space="preserve">Adaptive capacity is a component of vulnerability index framework developed </w:t>
      </w:r>
      <w:r w:rsidR="00137F63">
        <w:t xml:space="preserve">in 2007 </w:t>
      </w:r>
      <w:r>
        <w:t>by the</w:t>
      </w:r>
      <w:r w:rsidRPr="00F02704">
        <w:t xml:space="preserve"> Intergovernmental Panel on Climate Change</w:t>
      </w:r>
      <w:r>
        <w:t xml:space="preserve"> (IPCC). </w:t>
      </w:r>
      <w:r w:rsidR="004E3DC0">
        <w:t xml:space="preserve">Adaptive capacity </w:t>
      </w:r>
      <w:r w:rsidR="002751B8">
        <w:t xml:space="preserve">is designed to </w:t>
      </w:r>
      <w:r w:rsidR="004E3DC0">
        <w:t>capture the capabilities of a household, community, or population to cope with or recover from the impact of various exposures.</w:t>
      </w:r>
      <w:r>
        <w:t xml:space="preserve"> </w:t>
      </w:r>
      <w:r w:rsidR="004E3DC0">
        <w:t xml:space="preserve">In phase 1 of AusEnHealth, adaptive capacity </w:t>
      </w:r>
      <w:r>
        <w:t>has</w:t>
      </w:r>
      <w:r w:rsidR="00286135">
        <w:t xml:space="preserve"> been</w:t>
      </w:r>
      <w:r w:rsidR="004E3DC0">
        <w:t xml:space="preserve"> considered against three separate exposures: extreme heat, extreme cold, and air pollution.</w:t>
      </w:r>
    </w:p>
    <w:p w14:paraId="4060AF32" w14:textId="48D99979" w:rsidR="004E3DC0" w:rsidRDefault="004E3DC0" w:rsidP="002751B8">
      <w:pPr>
        <w:jc w:val="both"/>
      </w:pPr>
      <w:r>
        <w:t xml:space="preserve">This document defines the </w:t>
      </w:r>
      <w:r w:rsidR="00DC71A3">
        <w:t>variable</w:t>
      </w:r>
      <w:r>
        <w:t>s used in adaptive capacity sub-indices</w:t>
      </w:r>
      <w:r w:rsidR="00F02704">
        <w:t>, a crucial component in the creation of</w:t>
      </w:r>
      <w:r>
        <w:t xml:space="preserve"> </w:t>
      </w:r>
      <w:proofErr w:type="spellStart"/>
      <w:r>
        <w:t>AusEnHealth’s</w:t>
      </w:r>
      <w:proofErr w:type="spellEnd"/>
      <w:r>
        <w:t xml:space="preserve"> vulnerability indices.</w:t>
      </w:r>
      <w:r w:rsidR="00F02704">
        <w:t xml:space="preserve"> For more information, please see the AusEnHealth Methods Report, hosted at </w:t>
      </w:r>
      <w:hyperlink r:id="rId5" w:history="1">
        <w:r w:rsidR="00F02704" w:rsidRPr="00A17BFF">
          <w:rPr>
            <w:rStyle w:val="Hyperlink"/>
          </w:rPr>
          <w:t>https://frontiersi.com.au/ausenhealth-digital-twin/</w:t>
        </w:r>
      </w:hyperlink>
      <w:r w:rsidR="00F02704">
        <w:t>.</w:t>
      </w:r>
    </w:p>
    <w:p w14:paraId="02362126" w14:textId="2AA8CCA8" w:rsidR="00F02704" w:rsidRDefault="00F02704" w:rsidP="00F02704">
      <w:pPr>
        <w:pStyle w:val="Heading2"/>
      </w:pPr>
      <w:r>
        <w:t>Climate</w:t>
      </w:r>
      <w:r w:rsidR="00A3678F">
        <w:t xml:space="preserve"> </w:t>
      </w:r>
      <w:r>
        <w:t>(Extreme Heat, Extreme Cold)</w:t>
      </w:r>
    </w:p>
    <w:p w14:paraId="2F01566B" w14:textId="0C352E0A" w:rsidR="00F02704" w:rsidRDefault="00DC71A3" w:rsidP="00F02704">
      <w:pPr>
        <w:pStyle w:val="Subtitle"/>
      </w:pPr>
      <w:r>
        <w:t>Variable</w:t>
      </w:r>
      <w:r w:rsidR="00F02704">
        <w:t>s Specific to Climate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4"/>
        <w:gridCol w:w="7842"/>
      </w:tblGrid>
      <w:tr w:rsidR="00AB3ECD" w14:paraId="0557EF81" w14:textId="77777777" w:rsidTr="00434BA5">
        <w:trPr>
          <w:tblHeader/>
        </w:trPr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377D27B8" w14:textId="3454D66D" w:rsidR="00AB3ECD" w:rsidRPr="009E5C1F" w:rsidRDefault="00DC71A3" w:rsidP="008F7908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7842" w:type="dxa"/>
            <w:tcBorders>
              <w:top w:val="single" w:sz="4" w:space="0" w:color="auto"/>
              <w:bottom w:val="single" w:sz="4" w:space="0" w:color="auto"/>
            </w:tcBorders>
          </w:tcPr>
          <w:p w14:paraId="57697FC8" w14:textId="23A639F1" w:rsidR="00AB3ECD" w:rsidRPr="009E5C1F" w:rsidRDefault="00AB3ECD" w:rsidP="008F7908">
            <w:pPr>
              <w:rPr>
                <w:b/>
                <w:bCs/>
              </w:rPr>
            </w:pPr>
            <w:r w:rsidRPr="009E5C1F">
              <w:rPr>
                <w:b/>
                <w:bCs/>
              </w:rPr>
              <w:t>Description and Derivation</w:t>
            </w:r>
          </w:p>
        </w:tc>
      </w:tr>
      <w:tr w:rsidR="00AB3ECD" w14:paraId="6C842EDB" w14:textId="77777777" w:rsidTr="00434BA5">
        <w:trPr>
          <w:tblHeader/>
        </w:trPr>
        <w:tc>
          <w:tcPr>
            <w:tcW w:w="1184" w:type="dxa"/>
            <w:tcBorders>
              <w:top w:val="single" w:sz="4" w:space="0" w:color="auto"/>
            </w:tcBorders>
          </w:tcPr>
          <w:p w14:paraId="198BE528" w14:textId="0A966F7E" w:rsidR="00AB3ECD" w:rsidRDefault="00AB3ECD" w:rsidP="006E2FC7">
            <w:pPr>
              <w:spacing w:after="120"/>
            </w:pPr>
            <w:r>
              <w:t>WB</w:t>
            </w: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26E2F956" w14:textId="715D60B3" w:rsidR="00AB3ECD" w:rsidRPr="009E5C1F" w:rsidRDefault="00AB3ECD" w:rsidP="006E2FC7">
            <w:pPr>
              <w:spacing w:after="120"/>
            </w:pPr>
            <w:r w:rsidRPr="009E5C1F">
              <w:t>Percentage of region comprised of water, otherwise briefly described as waterbody (WB) percentage.</w:t>
            </w:r>
          </w:p>
        </w:tc>
      </w:tr>
      <w:tr w:rsidR="00AB3ECD" w14:paraId="00520060" w14:textId="77777777" w:rsidTr="00434BA5">
        <w:trPr>
          <w:tblHeader/>
        </w:trPr>
        <w:tc>
          <w:tcPr>
            <w:tcW w:w="1184" w:type="dxa"/>
          </w:tcPr>
          <w:p w14:paraId="1979366B" w14:textId="77777777" w:rsidR="00AB3ECD" w:rsidRDefault="00AB3ECD" w:rsidP="006E2FC7">
            <w:pPr>
              <w:spacing w:after="120"/>
              <w:jc w:val="both"/>
            </w:pPr>
          </w:p>
        </w:tc>
        <w:tc>
          <w:tcPr>
            <w:tcW w:w="7842" w:type="dxa"/>
          </w:tcPr>
          <w:p w14:paraId="5A295FED" w14:textId="1F3C5551" w:rsidR="00AB3ECD" w:rsidRPr="009E5C1F" w:rsidRDefault="00AB3ECD" w:rsidP="006E2FC7">
            <w:pPr>
              <w:spacing w:after="120"/>
            </w:pPr>
            <w:r w:rsidRPr="009E5C1F">
              <w:t xml:space="preserve">This </w:t>
            </w:r>
            <w:r w:rsidR="00DC71A3">
              <w:t>variable</w:t>
            </w:r>
            <w:r w:rsidRPr="009E5C1F">
              <w:t xml:space="preserve"> is derived from the Digital Earth Australia (DEA) Waterbodies data product, publicly available from Geoscience Australia’s Landsat Collection 2.</w:t>
            </w:r>
            <w:r w:rsidR="003A390F" w:rsidRPr="009E5C1F">
              <w:t xml:space="preserve"> Satellite data and polygons of Australian Statistical Geography Standard (ASGS) regions have been input into GIS software to determine the percentage of each geographical region </w:t>
            </w:r>
            <w:r w:rsidR="00F94071" w:rsidRPr="009E5C1F">
              <w:t>that contains water.</w:t>
            </w:r>
          </w:p>
        </w:tc>
      </w:tr>
      <w:tr w:rsidR="00F26D2A" w14:paraId="7EF043EE" w14:textId="77777777" w:rsidTr="00434BA5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7C1A14C9" w14:textId="66DCB4B2" w:rsidR="00F26D2A" w:rsidRDefault="00F26D2A" w:rsidP="006E2FC7">
            <w:pPr>
              <w:spacing w:after="120"/>
            </w:pPr>
            <w:proofErr w:type="spellStart"/>
            <w:r>
              <w:t>rsWB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0F9C6C37" w14:textId="4DFE32F4" w:rsidR="00F26D2A" w:rsidRPr="009E5C1F" w:rsidRDefault="00F26D2A" w:rsidP="006E2FC7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 WB </w:t>
            </w:r>
            <w:r w:rsidR="00DC71A3">
              <w:t>variable</w:t>
            </w:r>
            <w:r>
              <w:t>, in ascending order from lowest to highest.</w:t>
            </w:r>
          </w:p>
        </w:tc>
      </w:tr>
      <w:tr w:rsidR="00F26D2A" w14:paraId="11D44795" w14:textId="77777777" w:rsidTr="00434BA5">
        <w:trPr>
          <w:tblHeader/>
        </w:trPr>
        <w:tc>
          <w:tcPr>
            <w:tcW w:w="118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F44CF45" w14:textId="77777777" w:rsidR="00F26D2A" w:rsidRDefault="00F26D2A" w:rsidP="006E2FC7">
            <w:pPr>
              <w:spacing w:after="120"/>
              <w:jc w:val="both"/>
            </w:pPr>
          </w:p>
        </w:tc>
        <w:tc>
          <w:tcPr>
            <w:tcW w:w="784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DD07990" w14:textId="6349E7E8" w:rsidR="00F26D2A" w:rsidRPr="009E5C1F" w:rsidRDefault="00F26D2A" w:rsidP="006E2FC7">
            <w:pPr>
              <w:spacing w:after="120"/>
            </w:pPr>
            <w:r>
              <w:t>For derivation, see the Spatial Ranking section at the bottom of the document.</w:t>
            </w:r>
          </w:p>
        </w:tc>
      </w:tr>
    </w:tbl>
    <w:p w14:paraId="28F8EA1C" w14:textId="1743D609" w:rsidR="00F02704" w:rsidRDefault="00F02704" w:rsidP="002751B8">
      <w:pPr>
        <w:pStyle w:val="Heading2"/>
        <w:spacing w:before="120"/>
      </w:pPr>
      <w:r>
        <w:t>Air Quality</w:t>
      </w:r>
    </w:p>
    <w:p w14:paraId="7E10CCFA" w14:textId="071A46B0" w:rsidR="00F02704" w:rsidRDefault="00DC71A3" w:rsidP="00A3678F">
      <w:pPr>
        <w:pStyle w:val="Subtitle"/>
      </w:pPr>
      <w:r>
        <w:t>Variable</w:t>
      </w:r>
      <w:r w:rsidR="00F02704">
        <w:t>s Specific to Air Pollution</w:t>
      </w:r>
    </w:p>
    <w:p w14:paraId="44906B9C" w14:textId="77FC9659" w:rsidR="00F02704" w:rsidRPr="00520315" w:rsidRDefault="00520315" w:rsidP="00F02704">
      <w:pPr>
        <w:rPr>
          <w:i/>
          <w:iCs/>
        </w:rPr>
      </w:pPr>
      <w:r w:rsidRPr="00520315">
        <w:rPr>
          <w:i/>
          <w:iCs/>
        </w:rPr>
        <w:t xml:space="preserve">There are no </w:t>
      </w:r>
      <w:r w:rsidR="00DC71A3">
        <w:rPr>
          <w:i/>
          <w:iCs/>
        </w:rPr>
        <w:t>variable</w:t>
      </w:r>
      <w:r w:rsidRPr="00520315">
        <w:rPr>
          <w:i/>
          <w:iCs/>
        </w:rPr>
        <w:t>s utilised only in the air quality adaptive capacity sub-index.</w:t>
      </w:r>
    </w:p>
    <w:p w14:paraId="22007FFD" w14:textId="662C4B2E" w:rsidR="00F02704" w:rsidRDefault="00F02704" w:rsidP="00A3678F">
      <w:pPr>
        <w:pStyle w:val="Heading2"/>
      </w:pPr>
      <w:r>
        <w:t>Common</w:t>
      </w:r>
    </w:p>
    <w:p w14:paraId="4C4D09FD" w14:textId="782A0AA2" w:rsidR="00F02704" w:rsidRPr="00F02704" w:rsidRDefault="00DC71A3" w:rsidP="00A3678F">
      <w:pPr>
        <w:pStyle w:val="Subtitle"/>
      </w:pPr>
      <w:r>
        <w:t>Variable</w:t>
      </w:r>
      <w:r w:rsidR="00F02704">
        <w:t xml:space="preserve">s Utilised in Both Climate and Air Quality </w:t>
      </w:r>
      <w:r w:rsidR="00A3678F">
        <w:t>Adaptive Capacity Sub-Indices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4"/>
        <w:gridCol w:w="7842"/>
      </w:tblGrid>
      <w:tr w:rsidR="00260486" w14:paraId="4F7FA138" w14:textId="77777777" w:rsidTr="005121AA">
        <w:trPr>
          <w:tblHeader/>
        </w:trPr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7C8D0BAA" w14:textId="559391C5" w:rsidR="00260486" w:rsidRPr="008F7908" w:rsidRDefault="00DC71A3" w:rsidP="008F790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Variable</w:t>
            </w:r>
          </w:p>
        </w:tc>
        <w:tc>
          <w:tcPr>
            <w:tcW w:w="7842" w:type="dxa"/>
            <w:tcBorders>
              <w:top w:val="single" w:sz="4" w:space="0" w:color="auto"/>
              <w:bottom w:val="single" w:sz="4" w:space="0" w:color="auto"/>
            </w:tcBorders>
          </w:tcPr>
          <w:p w14:paraId="4A057C55" w14:textId="77777777" w:rsidR="00260486" w:rsidRPr="008F7908" w:rsidRDefault="00260486" w:rsidP="008F7908">
            <w:pPr>
              <w:rPr>
                <w:b/>
                <w:bCs/>
              </w:rPr>
            </w:pPr>
            <w:r w:rsidRPr="008F7908">
              <w:rPr>
                <w:b/>
                <w:bCs/>
              </w:rPr>
              <w:t>Description and Derivation</w:t>
            </w:r>
          </w:p>
        </w:tc>
      </w:tr>
      <w:tr w:rsidR="00F26D2A" w14:paraId="167CE537" w14:textId="77777777" w:rsidTr="005121AA">
        <w:trPr>
          <w:tblHeader/>
        </w:trPr>
        <w:tc>
          <w:tcPr>
            <w:tcW w:w="1184" w:type="dxa"/>
            <w:tcBorders>
              <w:top w:val="single" w:sz="4" w:space="0" w:color="auto"/>
            </w:tcBorders>
          </w:tcPr>
          <w:p w14:paraId="6E58C119" w14:textId="01A67B6E" w:rsidR="00F26D2A" w:rsidRDefault="00F26D2A" w:rsidP="006E2FC7">
            <w:pPr>
              <w:spacing w:after="120"/>
            </w:pPr>
            <w:r>
              <w:t>NV</w:t>
            </w: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5DF4E187" w14:textId="4023A3CC" w:rsidR="00F26D2A" w:rsidRDefault="00F26D2A" w:rsidP="006E2FC7">
            <w:pPr>
              <w:spacing w:after="120"/>
            </w:pPr>
            <w:r>
              <w:t>Percentage of households which own no motor vehicles.</w:t>
            </w:r>
          </w:p>
        </w:tc>
      </w:tr>
      <w:tr w:rsidR="00F26D2A" w14:paraId="32C4B954" w14:textId="77777777" w:rsidTr="005121AA">
        <w:trPr>
          <w:tblHeader/>
        </w:trPr>
        <w:tc>
          <w:tcPr>
            <w:tcW w:w="1184" w:type="dxa"/>
          </w:tcPr>
          <w:p w14:paraId="50723B68" w14:textId="77777777" w:rsidR="00F26D2A" w:rsidRDefault="00F26D2A" w:rsidP="006E2FC7">
            <w:pPr>
              <w:spacing w:after="120"/>
              <w:jc w:val="both"/>
            </w:pPr>
          </w:p>
        </w:tc>
        <w:tc>
          <w:tcPr>
            <w:tcW w:w="7842" w:type="dxa"/>
          </w:tcPr>
          <w:p w14:paraId="495DE91C" w14:textId="16E9336B" w:rsidR="00F26D2A" w:rsidRDefault="00F26D2A" w:rsidP="006E2FC7">
            <w:pPr>
              <w:spacing w:after="120"/>
            </w:pPr>
            <w:r>
              <w:t xml:space="preserve">This </w:t>
            </w:r>
            <w:r w:rsidR="00DC71A3">
              <w:t>variable</w:t>
            </w:r>
            <w:r>
              <w:t xml:space="preserve"> is shared directly from the Australian Bureau of Statistics (ABS) 2016 Census, from the Number of Motor Vehicles by Dwelling Records.</w:t>
            </w:r>
          </w:p>
        </w:tc>
      </w:tr>
      <w:tr w:rsidR="00F26D2A" w14:paraId="75DECF2A" w14:textId="77777777" w:rsidTr="005121AA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4006A368" w14:textId="66FDC58D" w:rsidR="00F26D2A" w:rsidRDefault="00F26D2A" w:rsidP="006E2FC7">
            <w:pPr>
              <w:spacing w:after="120"/>
            </w:pPr>
            <w:proofErr w:type="spellStart"/>
            <w:r>
              <w:t>rsNV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59B7A917" w14:textId="710992C6" w:rsidR="00F26D2A" w:rsidRDefault="00F26D2A" w:rsidP="006E2FC7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NV</w:t>
            </w:r>
            <w:r w:rsidRPr="009E5C1F">
              <w:t xml:space="preserve"> </w:t>
            </w:r>
            <w:r w:rsidR="00DC71A3">
              <w:t>variable</w:t>
            </w:r>
            <w:r>
              <w:t>, in ascending order from lowest to highest.</w:t>
            </w:r>
          </w:p>
        </w:tc>
      </w:tr>
      <w:tr w:rsidR="00F26D2A" w14:paraId="296ED280" w14:textId="77777777" w:rsidTr="005121AA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7FBE691A" w14:textId="77777777" w:rsidR="00F26D2A" w:rsidRDefault="00F26D2A" w:rsidP="006E2FC7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46D30B8C" w14:textId="4F8F9D42" w:rsidR="00F26D2A" w:rsidRDefault="00F26D2A" w:rsidP="006E2FC7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F26D2A" w14:paraId="4C8B23D5" w14:textId="77777777" w:rsidTr="005121AA">
        <w:trPr>
          <w:tblHeader/>
        </w:trPr>
        <w:tc>
          <w:tcPr>
            <w:tcW w:w="1184" w:type="dxa"/>
            <w:shd w:val="clear" w:color="auto" w:fill="auto"/>
          </w:tcPr>
          <w:p w14:paraId="65662A03" w14:textId="7586C1D1" w:rsidR="00F26D2A" w:rsidRDefault="00F26D2A" w:rsidP="006E2FC7">
            <w:pPr>
              <w:spacing w:after="120"/>
              <w:jc w:val="both"/>
            </w:pPr>
            <w:r>
              <w:t>INT</w:t>
            </w:r>
          </w:p>
        </w:tc>
        <w:tc>
          <w:tcPr>
            <w:tcW w:w="7842" w:type="dxa"/>
            <w:shd w:val="clear" w:color="auto" w:fill="auto"/>
          </w:tcPr>
          <w:p w14:paraId="1B66A9C1" w14:textId="4FF59E7E" w:rsidR="00F26D2A" w:rsidRPr="007C29D9" w:rsidRDefault="00F26D2A" w:rsidP="006E2FC7">
            <w:pPr>
              <w:spacing w:after="120"/>
            </w:pPr>
            <w:r w:rsidRPr="007C29D9">
              <w:t>Percentage of households with access to internet.</w:t>
            </w:r>
          </w:p>
        </w:tc>
      </w:tr>
      <w:tr w:rsidR="00F26D2A" w14:paraId="1BEED7F6" w14:textId="77777777" w:rsidTr="005121AA">
        <w:trPr>
          <w:tblHeader/>
        </w:trPr>
        <w:tc>
          <w:tcPr>
            <w:tcW w:w="1184" w:type="dxa"/>
            <w:shd w:val="clear" w:color="auto" w:fill="auto"/>
          </w:tcPr>
          <w:p w14:paraId="3145B2AB" w14:textId="77777777" w:rsidR="00F26D2A" w:rsidRDefault="00F26D2A" w:rsidP="006E2FC7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59E40709" w14:textId="0ADF764C" w:rsidR="00F26D2A" w:rsidRPr="007C29D9" w:rsidRDefault="00F26D2A" w:rsidP="006E2FC7">
            <w:pPr>
              <w:spacing w:after="120"/>
            </w:pPr>
            <w:r w:rsidRPr="007C29D9">
              <w:t xml:space="preserve">This </w:t>
            </w:r>
            <w:r w:rsidR="00DC71A3">
              <w:t>variable</w:t>
            </w:r>
            <w:r w:rsidRPr="007C29D9">
              <w:t xml:space="preserve"> is shared directly from the Australian Bureau of Statistics (ABS) Data by Region Catalogue. Specifically, this </w:t>
            </w:r>
            <w:r w:rsidR="00DC71A3">
              <w:t>variable</w:t>
            </w:r>
            <w:r w:rsidRPr="007C29D9">
              <w:t xml:space="preserve"> has been accessed from the Family and Community dataset.</w:t>
            </w:r>
          </w:p>
        </w:tc>
      </w:tr>
      <w:tr w:rsidR="00F26D2A" w14:paraId="7BB9FC92" w14:textId="77777777" w:rsidTr="005121AA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508AD759" w14:textId="0FC43B8B" w:rsidR="00F26D2A" w:rsidRDefault="00F26D2A" w:rsidP="006E2FC7">
            <w:pPr>
              <w:spacing w:after="120"/>
              <w:jc w:val="both"/>
            </w:pPr>
            <w:proofErr w:type="spellStart"/>
            <w:r>
              <w:t>rsINT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79743FA1" w14:textId="132E05C8" w:rsidR="00F26D2A" w:rsidRDefault="00F26D2A" w:rsidP="006E2FC7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 </w:t>
            </w:r>
            <w:r>
              <w:t xml:space="preserve">INT </w:t>
            </w:r>
            <w:r w:rsidR="00DC71A3">
              <w:t>variable</w:t>
            </w:r>
            <w:r>
              <w:t>, in ascending order from lowest to highest.</w:t>
            </w:r>
          </w:p>
        </w:tc>
      </w:tr>
      <w:tr w:rsidR="00F26D2A" w14:paraId="33766923" w14:textId="77777777" w:rsidTr="005121AA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55238D19" w14:textId="606B4CC7" w:rsidR="00F26D2A" w:rsidRDefault="00F26D2A" w:rsidP="006E2FC7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4FE8DD16" w14:textId="26543902" w:rsidR="00F26D2A" w:rsidRDefault="00F26D2A" w:rsidP="006E2FC7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F26D2A" w14:paraId="5D5CC8BB" w14:textId="77777777" w:rsidTr="005121AA">
        <w:trPr>
          <w:tblHeader/>
        </w:trPr>
        <w:tc>
          <w:tcPr>
            <w:tcW w:w="1184" w:type="dxa"/>
            <w:shd w:val="clear" w:color="auto" w:fill="auto"/>
          </w:tcPr>
          <w:p w14:paraId="4B322F10" w14:textId="2DAC7367" w:rsidR="00F26D2A" w:rsidRDefault="00F26D2A" w:rsidP="006E2FC7">
            <w:pPr>
              <w:spacing w:after="120"/>
              <w:jc w:val="both"/>
            </w:pPr>
            <w:r>
              <w:t>HOSP</w:t>
            </w:r>
          </w:p>
        </w:tc>
        <w:tc>
          <w:tcPr>
            <w:tcW w:w="7842" w:type="dxa"/>
            <w:shd w:val="clear" w:color="auto" w:fill="auto"/>
          </w:tcPr>
          <w:p w14:paraId="5F44617C" w14:textId="7CECB192" w:rsidR="00F26D2A" w:rsidRPr="00024A4B" w:rsidRDefault="00FD1096" w:rsidP="006E2FC7">
            <w:pPr>
              <w:spacing w:after="120"/>
            </w:pPr>
            <w:r w:rsidRPr="00024A4B">
              <w:t>Number of hospitals, per 1000 population.</w:t>
            </w:r>
          </w:p>
        </w:tc>
      </w:tr>
      <w:tr w:rsidR="00F26D2A" w14:paraId="1960E2DD" w14:textId="77777777" w:rsidTr="005121AA">
        <w:trPr>
          <w:tblHeader/>
        </w:trPr>
        <w:tc>
          <w:tcPr>
            <w:tcW w:w="1184" w:type="dxa"/>
            <w:shd w:val="clear" w:color="auto" w:fill="auto"/>
          </w:tcPr>
          <w:p w14:paraId="2BBE339A" w14:textId="77777777" w:rsidR="00F26D2A" w:rsidRDefault="00F26D2A" w:rsidP="006E2FC7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3ACE5A09" w14:textId="24E4A8B7" w:rsidR="00F26D2A" w:rsidRPr="00024A4B" w:rsidRDefault="00FD1096" w:rsidP="006E2FC7">
            <w:pPr>
              <w:spacing w:after="120"/>
            </w:pPr>
            <w:r w:rsidRPr="00024A4B">
              <w:t xml:space="preserve">This </w:t>
            </w:r>
            <w:r w:rsidR="00DC71A3" w:rsidRPr="00024A4B">
              <w:t>variable</w:t>
            </w:r>
            <w:r w:rsidRPr="00024A4B">
              <w:t xml:space="preserve"> is derived from the Commonwealth Declared Hospitals dataset, provided by health.gov. Hospital counts by postcode were taken from this dataset and</w:t>
            </w:r>
            <w:r w:rsidR="00DC71A3" w:rsidRPr="00024A4B">
              <w:t xml:space="preserve"> used in conjunction with </w:t>
            </w:r>
            <w:r w:rsidRPr="00024A4B">
              <w:t>Census of Population and Housing Mesh Block Counts</w:t>
            </w:r>
            <w:r w:rsidR="00DC71A3" w:rsidRPr="00024A4B">
              <w:t xml:space="preserve"> in the calculation of this variable.</w:t>
            </w:r>
          </w:p>
        </w:tc>
      </w:tr>
      <w:tr w:rsidR="00F26D2A" w14:paraId="58C2E28A" w14:textId="77777777" w:rsidTr="005121AA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1F461E94" w14:textId="15174B9B" w:rsidR="00F26D2A" w:rsidRDefault="00F26D2A" w:rsidP="006E2FC7">
            <w:pPr>
              <w:spacing w:after="120"/>
              <w:jc w:val="both"/>
            </w:pPr>
            <w:proofErr w:type="spellStart"/>
            <w:r>
              <w:t>rsHOSP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600FC9F0" w14:textId="11F0BA00" w:rsidR="00F26D2A" w:rsidRPr="00024A4B" w:rsidRDefault="00F26D2A" w:rsidP="006E2FC7">
            <w:pPr>
              <w:spacing w:after="120"/>
            </w:pPr>
            <w:r w:rsidRPr="00024A4B">
              <w:t xml:space="preserve">A spatial percentile ranking of the HOSP </w:t>
            </w:r>
            <w:r w:rsidR="00DC71A3" w:rsidRPr="00024A4B">
              <w:t>variable</w:t>
            </w:r>
            <w:r w:rsidRPr="00024A4B">
              <w:t>, in ascending order from lowest to highest.</w:t>
            </w:r>
          </w:p>
        </w:tc>
      </w:tr>
      <w:tr w:rsidR="00F26D2A" w14:paraId="644A2B7E" w14:textId="77777777" w:rsidTr="005121AA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1CA38E80" w14:textId="77777777" w:rsidR="00F26D2A" w:rsidRDefault="00F26D2A" w:rsidP="006E2FC7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499E986B" w14:textId="76EAAD4B" w:rsidR="00F26D2A" w:rsidRPr="00024A4B" w:rsidRDefault="00F26D2A" w:rsidP="006E2FC7">
            <w:pPr>
              <w:spacing w:after="120"/>
            </w:pPr>
            <w:r w:rsidRPr="00024A4B">
              <w:t>For derivation, see the Spatial Ranking section at the bottom of the document.</w:t>
            </w:r>
          </w:p>
        </w:tc>
      </w:tr>
      <w:tr w:rsidR="00F26D2A" w14:paraId="7086E255" w14:textId="77777777" w:rsidTr="005121AA">
        <w:trPr>
          <w:tblHeader/>
        </w:trPr>
        <w:tc>
          <w:tcPr>
            <w:tcW w:w="1184" w:type="dxa"/>
            <w:shd w:val="clear" w:color="auto" w:fill="auto"/>
          </w:tcPr>
          <w:p w14:paraId="40570E27" w14:textId="3D5CDDE4" w:rsidR="00F26D2A" w:rsidRDefault="00F26D2A" w:rsidP="006E2FC7">
            <w:pPr>
              <w:spacing w:after="120"/>
              <w:jc w:val="both"/>
            </w:pPr>
            <w:r>
              <w:t>GS</w:t>
            </w:r>
          </w:p>
        </w:tc>
        <w:tc>
          <w:tcPr>
            <w:tcW w:w="7842" w:type="dxa"/>
            <w:shd w:val="clear" w:color="auto" w:fill="auto"/>
          </w:tcPr>
          <w:p w14:paraId="66C6B7D2" w14:textId="11949C4B" w:rsidR="00F26D2A" w:rsidRPr="00024A4B" w:rsidRDefault="00DC71A3" w:rsidP="006E2FC7">
            <w:pPr>
              <w:spacing w:after="120"/>
            </w:pPr>
            <w:r w:rsidRPr="00024A4B">
              <w:t>Percentage of land use declared as parkland. Otherwise referred to as green space (GS).</w:t>
            </w:r>
          </w:p>
        </w:tc>
      </w:tr>
      <w:tr w:rsidR="00F26D2A" w14:paraId="6472F625" w14:textId="77777777" w:rsidTr="005121AA">
        <w:trPr>
          <w:tblHeader/>
        </w:trPr>
        <w:tc>
          <w:tcPr>
            <w:tcW w:w="1184" w:type="dxa"/>
            <w:shd w:val="clear" w:color="auto" w:fill="auto"/>
          </w:tcPr>
          <w:p w14:paraId="24EC0774" w14:textId="77777777" w:rsidR="00F26D2A" w:rsidRDefault="00F26D2A" w:rsidP="006E2FC7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0DE6A5CA" w14:textId="49B61A0C" w:rsidR="00F26D2A" w:rsidRPr="00024A4B" w:rsidRDefault="00DC71A3" w:rsidP="006E2FC7">
            <w:pPr>
              <w:spacing w:after="120"/>
            </w:pPr>
            <w:r w:rsidRPr="00024A4B">
              <w:t xml:space="preserve">This variable is derived from the </w:t>
            </w:r>
            <w:r w:rsidRPr="00024A4B">
              <w:t>Australian Statistical Geography Standard (ASGS)</w:t>
            </w:r>
            <w:r w:rsidRPr="00024A4B">
              <w:t xml:space="preserve"> mesh block data provided by the Australian Bureau of Statistics (ABS). The total count of land use declared as parkland </w:t>
            </w:r>
            <w:r w:rsidR="00024A4B" w:rsidRPr="00024A4B">
              <w:t>in each</w:t>
            </w:r>
            <w:r w:rsidRPr="00024A4B">
              <w:t xml:space="preserve"> aggregated region are divided by the total number of mesh blocks </w:t>
            </w:r>
            <w:r w:rsidR="00024A4B">
              <w:t>per</w:t>
            </w:r>
            <w:r w:rsidRPr="00024A4B">
              <w:t xml:space="preserve"> region to calculate this variable.</w:t>
            </w:r>
          </w:p>
        </w:tc>
      </w:tr>
      <w:tr w:rsidR="00F26D2A" w14:paraId="4D03640E" w14:textId="77777777" w:rsidTr="005121AA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263C596F" w14:textId="7B5556E9" w:rsidR="00F26D2A" w:rsidRDefault="00F26D2A" w:rsidP="006E2FC7">
            <w:pPr>
              <w:spacing w:after="120"/>
              <w:jc w:val="both"/>
            </w:pPr>
            <w:proofErr w:type="spellStart"/>
            <w:r>
              <w:t>rsGS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743FC206" w14:textId="337C6F18" w:rsidR="00F26D2A" w:rsidRDefault="00F26D2A" w:rsidP="006E2FC7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 </w:t>
            </w:r>
            <w:r>
              <w:t>GS</w:t>
            </w:r>
            <w:r w:rsidRPr="009E5C1F">
              <w:t xml:space="preserve"> </w:t>
            </w:r>
            <w:r w:rsidR="00DC71A3">
              <w:t>variable</w:t>
            </w:r>
            <w:r>
              <w:t>, in ascending order from lowest to highest.</w:t>
            </w:r>
          </w:p>
        </w:tc>
      </w:tr>
      <w:tr w:rsidR="00F26D2A" w14:paraId="6B012B2F" w14:textId="77777777" w:rsidTr="005121AA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417EB1E1" w14:textId="77777777" w:rsidR="00F26D2A" w:rsidRDefault="00F26D2A" w:rsidP="006E2FC7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347AEDCA" w14:textId="3893FCB5" w:rsidR="00F26D2A" w:rsidRDefault="00F26D2A" w:rsidP="006E2FC7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F26D2A" w14:paraId="31854CA6" w14:textId="77777777" w:rsidTr="005121AA">
        <w:trPr>
          <w:tblHeader/>
        </w:trPr>
        <w:tc>
          <w:tcPr>
            <w:tcW w:w="1184" w:type="dxa"/>
            <w:shd w:val="clear" w:color="auto" w:fill="auto"/>
          </w:tcPr>
          <w:p w14:paraId="3C470D11" w14:textId="19014836" w:rsidR="00F26D2A" w:rsidRPr="00993037" w:rsidRDefault="00F26D2A" w:rsidP="006E2FC7">
            <w:pPr>
              <w:spacing w:after="120"/>
              <w:jc w:val="both"/>
            </w:pPr>
            <w:r w:rsidRPr="00993037">
              <w:t>VI</w:t>
            </w:r>
          </w:p>
        </w:tc>
        <w:tc>
          <w:tcPr>
            <w:tcW w:w="7842" w:type="dxa"/>
            <w:shd w:val="clear" w:color="auto" w:fill="auto"/>
          </w:tcPr>
          <w:p w14:paraId="0CCD0D56" w14:textId="59B7B378" w:rsidR="00F26D2A" w:rsidRPr="00993037" w:rsidRDefault="00024A4B" w:rsidP="006E2FC7">
            <w:pPr>
              <w:spacing w:after="120"/>
            </w:pPr>
            <w:r w:rsidRPr="00993037">
              <w:t>N</w:t>
            </w:r>
            <w:r w:rsidRPr="00993037">
              <w:t>ormalized difference vegetation index (NDVI)</w:t>
            </w:r>
            <w:r w:rsidRPr="00993037">
              <w:t>. Otherwise referred to as vegetation index (VI).</w:t>
            </w:r>
          </w:p>
        </w:tc>
      </w:tr>
      <w:tr w:rsidR="00F26D2A" w14:paraId="5F454C1E" w14:textId="77777777" w:rsidTr="005121AA">
        <w:trPr>
          <w:tblHeader/>
        </w:trPr>
        <w:tc>
          <w:tcPr>
            <w:tcW w:w="1184" w:type="dxa"/>
            <w:shd w:val="clear" w:color="auto" w:fill="auto"/>
          </w:tcPr>
          <w:p w14:paraId="69C5D821" w14:textId="77777777" w:rsidR="00F26D2A" w:rsidRPr="00993037" w:rsidRDefault="00F26D2A" w:rsidP="006E2FC7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660169D0" w14:textId="371812F1" w:rsidR="00F26D2A" w:rsidRPr="00993037" w:rsidRDefault="00024A4B" w:rsidP="006E2FC7">
            <w:pPr>
              <w:spacing w:after="120"/>
            </w:pPr>
            <w:r w:rsidRPr="00993037">
              <w:t xml:space="preserve">This parameter was publicly accessed from NASA’s </w:t>
            </w:r>
            <w:r w:rsidRPr="00993037">
              <w:t>MODIS Vegetation Index Products (NDVI and EVI)</w:t>
            </w:r>
            <w:r w:rsidRPr="00993037">
              <w:t xml:space="preserve"> datasets. </w:t>
            </w:r>
            <w:r w:rsidR="00993037" w:rsidRPr="00993037">
              <w:t xml:space="preserve">These indices are created using </w:t>
            </w:r>
            <w:r w:rsidR="00993037" w:rsidRPr="00993037">
              <w:t>daily, atmosphere-corrected, bidirectional surface reflectance</w:t>
            </w:r>
            <w:r w:rsidR="00993037" w:rsidRPr="00993037">
              <w:t xml:space="preserve"> from satellite data.</w:t>
            </w:r>
          </w:p>
        </w:tc>
      </w:tr>
      <w:tr w:rsidR="00F26D2A" w14:paraId="2CCEFABF" w14:textId="77777777" w:rsidTr="005121AA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1B3EBCD9" w14:textId="6BBAD306" w:rsidR="00F26D2A" w:rsidRDefault="00F26D2A" w:rsidP="006E2FC7">
            <w:pPr>
              <w:spacing w:after="120"/>
              <w:jc w:val="both"/>
            </w:pPr>
            <w:proofErr w:type="spellStart"/>
            <w:r>
              <w:t>rsVI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50DF97CA" w14:textId="7C745334" w:rsidR="00F26D2A" w:rsidRDefault="00F26D2A" w:rsidP="006E2FC7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 </w:t>
            </w:r>
            <w:r>
              <w:t>VI</w:t>
            </w:r>
            <w:r w:rsidRPr="009E5C1F">
              <w:t xml:space="preserve"> </w:t>
            </w:r>
            <w:r w:rsidR="00DC71A3">
              <w:t>variable</w:t>
            </w:r>
            <w:r>
              <w:t>, in ascending order from lowest to highest.</w:t>
            </w:r>
          </w:p>
        </w:tc>
      </w:tr>
      <w:tr w:rsidR="00F26D2A" w14:paraId="2F6F82DA" w14:textId="77777777" w:rsidTr="005121AA">
        <w:trPr>
          <w:tblHeader/>
        </w:trPr>
        <w:tc>
          <w:tcPr>
            <w:tcW w:w="118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08B6407" w14:textId="77777777" w:rsidR="00F26D2A" w:rsidRDefault="00F26D2A" w:rsidP="006E2FC7">
            <w:pPr>
              <w:spacing w:after="120"/>
              <w:jc w:val="both"/>
            </w:pPr>
          </w:p>
        </w:tc>
        <w:tc>
          <w:tcPr>
            <w:tcW w:w="784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E892C26" w14:textId="37BAADE9" w:rsidR="00F26D2A" w:rsidRDefault="00F26D2A" w:rsidP="006E2FC7">
            <w:pPr>
              <w:spacing w:after="120"/>
            </w:pPr>
            <w:r>
              <w:t>For derivation, see the Spatial Ranking section at the bottom of the document.</w:t>
            </w:r>
          </w:p>
        </w:tc>
      </w:tr>
    </w:tbl>
    <w:p w14:paraId="36AD876C" w14:textId="77777777" w:rsidR="009C6E87" w:rsidRDefault="009C6E87" w:rsidP="009C6E87">
      <w:pPr>
        <w:pStyle w:val="Heading2"/>
        <w:spacing w:before="120"/>
      </w:pPr>
      <w:r>
        <w:t>Spatial Ranking</w:t>
      </w:r>
    </w:p>
    <w:p w14:paraId="3A3113B3" w14:textId="0E258B6B" w:rsidR="009C6E87" w:rsidRDefault="009C6E87" w:rsidP="009C6E87">
      <w:pPr>
        <w:pStyle w:val="Subtitle"/>
      </w:pPr>
      <w:r>
        <w:t xml:space="preserve">Methodology Applied to all Spatially Ranked </w:t>
      </w:r>
      <w:r w:rsidR="00DC71A3">
        <w:t>Variable</w:t>
      </w:r>
      <w:r>
        <w:t>s</w:t>
      </w:r>
    </w:p>
    <w:p w14:paraId="07CD8F39" w14:textId="3E890E27" w:rsidR="009C6E87" w:rsidRDefault="009C6E87" w:rsidP="009C6E87">
      <w:pPr>
        <w:jc w:val="both"/>
      </w:pPr>
      <w:proofErr w:type="gramStart"/>
      <w:r>
        <w:lastRenderedPageBreak/>
        <w:t>A number of</w:t>
      </w:r>
      <w:proofErr w:type="gramEnd"/>
      <w:r>
        <w:t xml:space="preserve"> </w:t>
      </w:r>
      <w:r w:rsidR="00DC71A3">
        <w:t>variable</w:t>
      </w:r>
      <w:r>
        <w:t>s are converted to spatially ranked percentiles for use in the creation of overall vulnerability indices. As this method is frequently applied, a small summary of the method is given below.</w:t>
      </w:r>
    </w:p>
    <w:p w14:paraId="73FC4556" w14:textId="7374D80A" w:rsidR="009C6E87" w:rsidRDefault="009C6E87" w:rsidP="009C6E87">
      <w:pPr>
        <w:jc w:val="both"/>
      </w:pPr>
      <w:r>
        <w:t xml:space="preserve">Spatially ranked percentiles are created in AusEnHealth by taking national data for a </w:t>
      </w:r>
      <w:r w:rsidR="00DC71A3">
        <w:t>variable</w:t>
      </w:r>
      <w:r>
        <w:t xml:space="preserve"> at a specific time, and using </w:t>
      </w:r>
      <w:proofErr w:type="spellStart"/>
      <w:r>
        <w:t>Rstudio’s</w:t>
      </w:r>
      <w:proofErr w:type="spellEnd"/>
      <w:r>
        <w:t xml:space="preserve"> </w:t>
      </w:r>
      <w:r w:rsidRPr="00BE4E3C">
        <w:rPr>
          <w:rFonts w:ascii="Consolas" w:hAnsi="Consolas"/>
        </w:rPr>
        <w:t>frank</w:t>
      </w:r>
      <w:r>
        <w:t xml:space="preserve"> function to produce, in ascending order, indexed spatial ranks. Arguments are selected in the </w:t>
      </w:r>
      <w:r w:rsidRPr="001300DA">
        <w:rPr>
          <w:rFonts w:ascii="Consolas" w:hAnsi="Consolas"/>
        </w:rPr>
        <w:t>frank</w:t>
      </w:r>
      <w:r>
        <w:t xml:space="preserve"> function to continue recording missing values (</w:t>
      </w:r>
      <w:proofErr w:type="spellStart"/>
      <w:r w:rsidRPr="00BE4E3C">
        <w:rPr>
          <w:rFonts w:ascii="Consolas" w:hAnsi="Consolas"/>
        </w:rPr>
        <w:t>na.last</w:t>
      </w:r>
      <w:proofErr w:type="spellEnd"/>
      <w:r w:rsidRPr="00BE4E3C">
        <w:rPr>
          <w:rFonts w:ascii="Consolas" w:hAnsi="Consolas"/>
        </w:rPr>
        <w:t xml:space="preserve"> = "keep"</w:t>
      </w:r>
      <w:r>
        <w:t>), and to set ties as the minimum rank of the set of tied values (</w:t>
      </w:r>
      <w:proofErr w:type="spellStart"/>
      <w:r w:rsidRPr="00BE4E3C">
        <w:rPr>
          <w:rFonts w:ascii="Consolas" w:hAnsi="Consolas"/>
        </w:rPr>
        <w:t>ties.method</w:t>
      </w:r>
      <w:proofErr w:type="spellEnd"/>
      <w:r w:rsidRPr="00BE4E3C">
        <w:rPr>
          <w:rFonts w:ascii="Consolas" w:hAnsi="Consolas"/>
        </w:rPr>
        <w:t xml:space="preserve"> = c("min")</w:t>
      </w:r>
      <w:r>
        <w:t>). The result is then divided by the number of regions to produce a percentile ranking, which provides a consistent scale from 0 to 1 for index creation.</w:t>
      </w:r>
    </w:p>
    <w:p w14:paraId="189F1D1E" w14:textId="28DF7A26" w:rsidR="004C767E" w:rsidRPr="004C767E" w:rsidRDefault="009C6E87" w:rsidP="009C6E87">
      <w:pPr>
        <w:jc w:val="both"/>
      </w:pPr>
      <w:r>
        <w:t xml:space="preserve">A spatial percentile represents how high or low that </w:t>
      </w:r>
      <w:r w:rsidR="00DC71A3">
        <w:t>variable</w:t>
      </w:r>
      <w:r>
        <w:t xml:space="preserve"> is compared to the rest of Australia at that time. For example, if a region’s temperature spatial percentile is 1 in January 2011, that means that region is the hottest in Australia for the month of January 2011.</w:t>
      </w:r>
    </w:p>
    <w:sectPr w:rsidR="004C767E" w:rsidRPr="004C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41F3A"/>
    <w:multiLevelType w:val="hybridMultilevel"/>
    <w:tmpl w:val="AF829E5E"/>
    <w:lvl w:ilvl="0" w:tplc="01C8D81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C0"/>
    <w:rsid w:val="00024A4B"/>
    <w:rsid w:val="00040973"/>
    <w:rsid w:val="00061F4E"/>
    <w:rsid w:val="000A7F6E"/>
    <w:rsid w:val="001300DA"/>
    <w:rsid w:val="00137F63"/>
    <w:rsid w:val="002436D3"/>
    <w:rsid w:val="00260486"/>
    <w:rsid w:val="002751B8"/>
    <w:rsid w:val="00286135"/>
    <w:rsid w:val="003A390F"/>
    <w:rsid w:val="00434BA5"/>
    <w:rsid w:val="004C767E"/>
    <w:rsid w:val="004E3DC0"/>
    <w:rsid w:val="005121AA"/>
    <w:rsid w:val="00520315"/>
    <w:rsid w:val="005F2FF9"/>
    <w:rsid w:val="006129BB"/>
    <w:rsid w:val="006E2FC7"/>
    <w:rsid w:val="007C29D9"/>
    <w:rsid w:val="007F2C27"/>
    <w:rsid w:val="008F7908"/>
    <w:rsid w:val="00916E73"/>
    <w:rsid w:val="00942AB9"/>
    <w:rsid w:val="00993037"/>
    <w:rsid w:val="009C6E87"/>
    <w:rsid w:val="009E5C1F"/>
    <w:rsid w:val="00A3678F"/>
    <w:rsid w:val="00AB3ECD"/>
    <w:rsid w:val="00BE4E3C"/>
    <w:rsid w:val="00C60DD5"/>
    <w:rsid w:val="00DC71A3"/>
    <w:rsid w:val="00DE36FE"/>
    <w:rsid w:val="00EF7C06"/>
    <w:rsid w:val="00F02704"/>
    <w:rsid w:val="00F26D2A"/>
    <w:rsid w:val="00F94071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E0A6"/>
  <w15:chartTrackingRefBased/>
  <w15:docId w15:val="{FC49923B-1308-4ECC-851E-30701AAD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7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7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270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02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315"/>
    <w:pPr>
      <w:ind w:left="720"/>
      <w:contextualSpacing/>
    </w:pPr>
  </w:style>
  <w:style w:type="table" w:styleId="TableGrid">
    <w:name w:val="Table Grid"/>
    <w:basedOn w:val="TableNormal"/>
    <w:uiPriority w:val="39"/>
    <w:rsid w:val="00AB3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ontiersi.com.au/ausenhealth-digital-tw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Price</dc:creator>
  <cp:keywords/>
  <dc:description/>
  <cp:lastModifiedBy>Aiden Price</cp:lastModifiedBy>
  <cp:revision>20</cp:revision>
  <dcterms:created xsi:type="dcterms:W3CDTF">2021-10-27T04:32:00Z</dcterms:created>
  <dcterms:modified xsi:type="dcterms:W3CDTF">2021-11-03T14:03:00Z</dcterms:modified>
</cp:coreProperties>
</file>