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9F361" w14:textId="0ACA92AC" w:rsidR="00592875" w:rsidRDefault="006015C4" w:rsidP="00F02704">
      <w:pPr>
        <w:pStyle w:val="Heading1"/>
      </w:pPr>
      <w:r>
        <w:t>Health Outcomes</w:t>
      </w:r>
    </w:p>
    <w:p w14:paraId="556D7027" w14:textId="7DDA7252" w:rsidR="004E3DC0" w:rsidRDefault="004E3DC0" w:rsidP="00F02704">
      <w:pPr>
        <w:pStyle w:val="Subtitle"/>
      </w:pPr>
      <w:r>
        <w:t>Data Dictionary</w:t>
      </w:r>
    </w:p>
    <w:p w14:paraId="2F01566B" w14:textId="7690C296" w:rsidR="00F02704" w:rsidRDefault="006015C4" w:rsidP="00F97C4F">
      <w:pPr>
        <w:jc w:val="both"/>
      </w:pPr>
      <w:r>
        <w:t>It is important to capture both the state of the environment, as well as the state of human health when piecing together an environmental health platform.</w:t>
      </w:r>
      <w:r w:rsidR="00276F2A">
        <w:t xml:space="preserve"> While health outcome data isn’t specifically used as a parameter in the creation of vulnerability indices, they are used in the creation methodology. See the Methods Report (hosted at </w:t>
      </w:r>
      <w:hyperlink r:id="rId5" w:history="1">
        <w:r w:rsidR="00276F2A" w:rsidRPr="00A17BFF">
          <w:rPr>
            <w:rStyle w:val="Hyperlink"/>
          </w:rPr>
          <w:t>https://frontiersi.com.au/ausenhealth-digital-twin/</w:t>
        </w:r>
      </w:hyperlink>
      <w:r w:rsidR="00276F2A">
        <w:t>) for more information.</w:t>
      </w:r>
      <w:r w:rsidR="004E6650">
        <w:t xml:space="preserve"> </w:t>
      </w:r>
      <w:r w:rsidR="00276F2A">
        <w:t>In addition to their use in vulnerability index methodology, a number of health outcome parameters are displayed in the platform. This document defines the parameters used in index methods and shown in the platform.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4"/>
        <w:gridCol w:w="7842"/>
      </w:tblGrid>
      <w:tr w:rsidR="00AB3ECD" w14:paraId="0557EF81" w14:textId="77777777" w:rsidTr="00447BBE"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</w:tcPr>
          <w:p w14:paraId="377D27B8" w14:textId="5B1FBCFB" w:rsidR="00AB3ECD" w:rsidRPr="009E5C1F" w:rsidRDefault="00AB3ECD" w:rsidP="008F7908">
            <w:pPr>
              <w:rPr>
                <w:b/>
                <w:bCs/>
              </w:rPr>
            </w:pPr>
            <w:r w:rsidRPr="009E5C1F">
              <w:rPr>
                <w:b/>
                <w:bCs/>
              </w:rPr>
              <w:t>Parameter</w:t>
            </w:r>
          </w:p>
        </w:tc>
        <w:tc>
          <w:tcPr>
            <w:tcW w:w="7842" w:type="dxa"/>
            <w:tcBorders>
              <w:top w:val="single" w:sz="4" w:space="0" w:color="auto"/>
              <w:bottom w:val="single" w:sz="4" w:space="0" w:color="auto"/>
            </w:tcBorders>
          </w:tcPr>
          <w:p w14:paraId="57697FC8" w14:textId="23A639F1" w:rsidR="00AB3ECD" w:rsidRPr="009E5C1F" w:rsidRDefault="00AB3ECD" w:rsidP="008F7908">
            <w:pPr>
              <w:rPr>
                <w:b/>
                <w:bCs/>
              </w:rPr>
            </w:pPr>
            <w:r w:rsidRPr="009E5C1F">
              <w:rPr>
                <w:b/>
                <w:bCs/>
              </w:rPr>
              <w:t>Description and Derivation</w:t>
            </w:r>
          </w:p>
        </w:tc>
      </w:tr>
      <w:tr w:rsidR="00AB3ECD" w14:paraId="6C842EDB" w14:textId="77777777" w:rsidTr="00447BBE">
        <w:tc>
          <w:tcPr>
            <w:tcW w:w="1184" w:type="dxa"/>
            <w:tcBorders>
              <w:top w:val="single" w:sz="4" w:space="0" w:color="auto"/>
            </w:tcBorders>
          </w:tcPr>
          <w:p w14:paraId="198BE528" w14:textId="2C86D0DE" w:rsidR="00AB3ECD" w:rsidRDefault="00F97C4F" w:rsidP="001C2CEF">
            <w:pPr>
              <w:spacing w:after="120"/>
            </w:pPr>
            <w:r>
              <w:t>CHD</w:t>
            </w:r>
          </w:p>
        </w:tc>
        <w:tc>
          <w:tcPr>
            <w:tcW w:w="7842" w:type="dxa"/>
            <w:tcBorders>
              <w:top w:val="single" w:sz="4" w:space="0" w:color="auto"/>
            </w:tcBorders>
          </w:tcPr>
          <w:p w14:paraId="26E2F956" w14:textId="6FFA9D86" w:rsidR="00AB3ECD" w:rsidRPr="009E5C1F" w:rsidRDefault="00761918" w:rsidP="001C2CEF">
            <w:pPr>
              <w:spacing w:after="120"/>
            </w:pPr>
            <w:r>
              <w:t>Coronary heart disease mortality (age-standardised rate per 100,000).</w:t>
            </w:r>
          </w:p>
        </w:tc>
      </w:tr>
      <w:tr w:rsidR="00AB3ECD" w14:paraId="00520060" w14:textId="77777777" w:rsidTr="00447BBE">
        <w:tc>
          <w:tcPr>
            <w:tcW w:w="1184" w:type="dxa"/>
          </w:tcPr>
          <w:p w14:paraId="1979366B" w14:textId="77777777" w:rsidR="00AB3ECD" w:rsidRDefault="00AB3ECD" w:rsidP="001C2CEF">
            <w:pPr>
              <w:spacing w:after="120"/>
              <w:jc w:val="both"/>
            </w:pPr>
          </w:p>
        </w:tc>
        <w:tc>
          <w:tcPr>
            <w:tcW w:w="7842" w:type="dxa"/>
          </w:tcPr>
          <w:p w14:paraId="5A295FED" w14:textId="558C907B" w:rsidR="00AB3ECD" w:rsidRPr="009E5C1F" w:rsidRDefault="00447BBE" w:rsidP="001C2CEF">
            <w:pPr>
              <w:spacing w:after="120"/>
            </w:pPr>
            <w:r>
              <w:t>This parameter is shared directly from the Mortality Over Regions and Time (MORT) Books dataset, released by the Australian Institute of Health and Welfare</w:t>
            </w:r>
            <w:r w:rsidR="0074278D">
              <w:t xml:space="preserve"> (AIHW)</w:t>
            </w:r>
            <w:r>
              <w:t>.</w:t>
            </w:r>
          </w:p>
        </w:tc>
      </w:tr>
      <w:tr w:rsidR="00F94071" w14:paraId="7EF043EE" w14:textId="77777777" w:rsidTr="00447BBE">
        <w:tc>
          <w:tcPr>
            <w:tcW w:w="1184" w:type="dxa"/>
            <w:shd w:val="clear" w:color="auto" w:fill="E7E6E6" w:themeFill="background2"/>
          </w:tcPr>
          <w:p w14:paraId="7C1A14C9" w14:textId="5EC754F7" w:rsidR="00F94071" w:rsidRDefault="00F97C4F" w:rsidP="001C2CEF">
            <w:pPr>
              <w:spacing w:after="120"/>
            </w:pPr>
            <w:proofErr w:type="spellStart"/>
            <w:r>
              <w:t>Cereb</w:t>
            </w:r>
            <w:proofErr w:type="spellEnd"/>
          </w:p>
        </w:tc>
        <w:tc>
          <w:tcPr>
            <w:tcW w:w="7842" w:type="dxa"/>
            <w:shd w:val="clear" w:color="auto" w:fill="E7E6E6" w:themeFill="background2"/>
          </w:tcPr>
          <w:p w14:paraId="0F9C6C37" w14:textId="36DE5C3F" w:rsidR="00F94071" w:rsidRPr="009E5C1F" w:rsidRDefault="00761918" w:rsidP="001C2CEF">
            <w:pPr>
              <w:spacing w:after="120"/>
            </w:pPr>
            <w:r>
              <w:t>Cerebrovascular disease mortality (age-standardised rate per 100,000).</w:t>
            </w:r>
          </w:p>
        </w:tc>
      </w:tr>
      <w:tr w:rsidR="00447BBE" w14:paraId="11D44795" w14:textId="77777777" w:rsidTr="00447BBE">
        <w:tc>
          <w:tcPr>
            <w:tcW w:w="1184" w:type="dxa"/>
            <w:shd w:val="clear" w:color="auto" w:fill="E7E6E6" w:themeFill="background2"/>
          </w:tcPr>
          <w:p w14:paraId="7F44CF45" w14:textId="77777777" w:rsidR="00447BBE" w:rsidRDefault="00447BBE" w:rsidP="001C2CEF">
            <w:pPr>
              <w:spacing w:after="120"/>
              <w:jc w:val="both"/>
            </w:pPr>
          </w:p>
        </w:tc>
        <w:tc>
          <w:tcPr>
            <w:tcW w:w="7842" w:type="dxa"/>
            <w:shd w:val="clear" w:color="auto" w:fill="E7E6E6" w:themeFill="background2"/>
          </w:tcPr>
          <w:p w14:paraId="0DD07990" w14:textId="7A7C00FF" w:rsidR="00447BBE" w:rsidRPr="009E5C1F" w:rsidRDefault="00447BBE" w:rsidP="001C2CEF">
            <w:pPr>
              <w:spacing w:after="120"/>
            </w:pPr>
            <w:r>
              <w:t>This parameter is shared directly from the Mortality Over Regions and Time (MORT) Books dataset, released by the Australian Institute of Health and Welfare</w:t>
            </w:r>
            <w:r w:rsidR="0074278D">
              <w:t xml:space="preserve"> (AIHW).</w:t>
            </w:r>
          </w:p>
        </w:tc>
      </w:tr>
      <w:tr w:rsidR="00447BBE" w14:paraId="3C2BB068" w14:textId="77777777" w:rsidTr="00447BBE">
        <w:tc>
          <w:tcPr>
            <w:tcW w:w="1184" w:type="dxa"/>
            <w:shd w:val="clear" w:color="auto" w:fill="auto"/>
          </w:tcPr>
          <w:p w14:paraId="5240A942" w14:textId="521CBDDC" w:rsidR="00447BBE" w:rsidRDefault="00447BBE" w:rsidP="001C2CEF">
            <w:pPr>
              <w:spacing w:after="120"/>
              <w:jc w:val="both"/>
            </w:pPr>
            <w:r>
              <w:t>COPD</w:t>
            </w:r>
          </w:p>
        </w:tc>
        <w:tc>
          <w:tcPr>
            <w:tcW w:w="7842" w:type="dxa"/>
            <w:shd w:val="clear" w:color="auto" w:fill="auto"/>
          </w:tcPr>
          <w:p w14:paraId="15AA2A76" w14:textId="20199946" w:rsidR="00447BBE" w:rsidRDefault="00761918" w:rsidP="001C2CEF">
            <w:pPr>
              <w:spacing w:after="120"/>
            </w:pPr>
            <w:r>
              <w:t>Chronic obstructive pulmonary disease (COPD) mortality (age-standardised rate per 100,000).</w:t>
            </w:r>
          </w:p>
        </w:tc>
      </w:tr>
      <w:tr w:rsidR="00447BBE" w14:paraId="1AECB001" w14:textId="77777777" w:rsidTr="00447BBE">
        <w:tc>
          <w:tcPr>
            <w:tcW w:w="1184" w:type="dxa"/>
            <w:shd w:val="clear" w:color="auto" w:fill="auto"/>
          </w:tcPr>
          <w:p w14:paraId="427B9228" w14:textId="77777777" w:rsidR="00447BBE" w:rsidRDefault="00447BBE" w:rsidP="001C2CEF">
            <w:pPr>
              <w:spacing w:after="120"/>
              <w:jc w:val="both"/>
            </w:pPr>
          </w:p>
        </w:tc>
        <w:tc>
          <w:tcPr>
            <w:tcW w:w="7842" w:type="dxa"/>
            <w:shd w:val="clear" w:color="auto" w:fill="auto"/>
          </w:tcPr>
          <w:p w14:paraId="19A2F062" w14:textId="0983EDAB" w:rsidR="00447BBE" w:rsidRDefault="00447BBE" w:rsidP="001C2CEF">
            <w:pPr>
              <w:spacing w:after="120"/>
            </w:pPr>
            <w:r>
              <w:t>This parameter is shared directly from the Mortality Over Regions and Time (MORT) Books dataset, released by the Australian Institute of Health and Welfare</w:t>
            </w:r>
            <w:r w:rsidR="0074278D">
              <w:t xml:space="preserve"> (AIHW).</w:t>
            </w:r>
          </w:p>
        </w:tc>
      </w:tr>
      <w:tr w:rsidR="00447BBE" w14:paraId="2EE0335A" w14:textId="77777777" w:rsidTr="00447BBE">
        <w:tc>
          <w:tcPr>
            <w:tcW w:w="1184" w:type="dxa"/>
            <w:shd w:val="clear" w:color="auto" w:fill="E7E6E6" w:themeFill="background2"/>
          </w:tcPr>
          <w:p w14:paraId="196C048D" w14:textId="585D20F7" w:rsidR="00447BBE" w:rsidRDefault="00447BBE" w:rsidP="001C2CEF">
            <w:pPr>
              <w:spacing w:after="120"/>
              <w:jc w:val="both"/>
            </w:pPr>
            <w:r>
              <w:t>Heart</w:t>
            </w:r>
          </w:p>
        </w:tc>
        <w:tc>
          <w:tcPr>
            <w:tcW w:w="7842" w:type="dxa"/>
            <w:shd w:val="clear" w:color="auto" w:fill="E7E6E6" w:themeFill="background2"/>
          </w:tcPr>
          <w:p w14:paraId="5FF75762" w14:textId="1119E873" w:rsidR="00447BBE" w:rsidRDefault="00761918" w:rsidP="001C2CEF">
            <w:pPr>
              <w:spacing w:after="120"/>
            </w:pPr>
            <w:r>
              <w:t>Heart failure and complications and ill-defined heart disease mortality (age-standardised rate per 100,000).</w:t>
            </w:r>
          </w:p>
        </w:tc>
      </w:tr>
      <w:tr w:rsidR="00447BBE" w14:paraId="72729062" w14:textId="77777777" w:rsidTr="00447BBE">
        <w:tc>
          <w:tcPr>
            <w:tcW w:w="1184" w:type="dxa"/>
            <w:shd w:val="clear" w:color="auto" w:fill="E7E6E6" w:themeFill="background2"/>
          </w:tcPr>
          <w:p w14:paraId="62E4D7B6" w14:textId="77777777" w:rsidR="00447BBE" w:rsidRDefault="00447BBE" w:rsidP="001C2CEF">
            <w:pPr>
              <w:spacing w:after="120"/>
              <w:jc w:val="both"/>
            </w:pPr>
          </w:p>
        </w:tc>
        <w:tc>
          <w:tcPr>
            <w:tcW w:w="7842" w:type="dxa"/>
            <w:shd w:val="clear" w:color="auto" w:fill="E7E6E6" w:themeFill="background2"/>
          </w:tcPr>
          <w:p w14:paraId="00345376" w14:textId="34E99197" w:rsidR="00447BBE" w:rsidRDefault="00447BBE" w:rsidP="001C2CEF">
            <w:pPr>
              <w:spacing w:after="120"/>
            </w:pPr>
            <w:r>
              <w:t>This parameter is shared directly from the Mortality Over Regions and Time (MORT) Books dataset, released by the Australian Institute of Health and Welfare</w:t>
            </w:r>
            <w:r w:rsidR="0074278D">
              <w:t xml:space="preserve"> (AIHW).</w:t>
            </w:r>
          </w:p>
        </w:tc>
      </w:tr>
      <w:tr w:rsidR="00447BBE" w14:paraId="4BB599E0" w14:textId="77777777" w:rsidTr="00447BBE">
        <w:tc>
          <w:tcPr>
            <w:tcW w:w="1184" w:type="dxa"/>
            <w:shd w:val="clear" w:color="auto" w:fill="auto"/>
          </w:tcPr>
          <w:p w14:paraId="1AE8ED5B" w14:textId="1709849E" w:rsidR="00447BBE" w:rsidRDefault="00447BBE" w:rsidP="001C2CEF">
            <w:pPr>
              <w:spacing w:after="120"/>
              <w:jc w:val="both"/>
            </w:pPr>
            <w:r>
              <w:t>CA</w:t>
            </w:r>
          </w:p>
        </w:tc>
        <w:tc>
          <w:tcPr>
            <w:tcW w:w="7842" w:type="dxa"/>
            <w:shd w:val="clear" w:color="auto" w:fill="auto"/>
          </w:tcPr>
          <w:p w14:paraId="74E68CD4" w14:textId="271A4BE5" w:rsidR="00447BBE" w:rsidRDefault="00761918" w:rsidP="001C2CEF">
            <w:pPr>
              <w:spacing w:after="120"/>
            </w:pPr>
            <w:r>
              <w:t>Cardiac arrhythmia mortality (age-standardised rate per 100,000).</w:t>
            </w:r>
          </w:p>
        </w:tc>
      </w:tr>
      <w:tr w:rsidR="00447BBE" w14:paraId="19552958" w14:textId="77777777" w:rsidTr="00447BBE">
        <w:tc>
          <w:tcPr>
            <w:tcW w:w="1184" w:type="dxa"/>
            <w:shd w:val="clear" w:color="auto" w:fill="auto"/>
          </w:tcPr>
          <w:p w14:paraId="0471F4FA" w14:textId="77777777" w:rsidR="00447BBE" w:rsidRDefault="00447BBE" w:rsidP="001C2CEF">
            <w:pPr>
              <w:spacing w:after="120"/>
              <w:jc w:val="both"/>
            </w:pPr>
          </w:p>
        </w:tc>
        <w:tc>
          <w:tcPr>
            <w:tcW w:w="7842" w:type="dxa"/>
            <w:shd w:val="clear" w:color="auto" w:fill="auto"/>
          </w:tcPr>
          <w:p w14:paraId="22CFCF6C" w14:textId="098F6E79" w:rsidR="00447BBE" w:rsidRDefault="00447BBE" w:rsidP="001C2CEF">
            <w:pPr>
              <w:spacing w:after="120"/>
            </w:pPr>
            <w:r>
              <w:t>This parameter is shared directly from the Mortality Over Regions and Time (MORT) Books dataset, released by the Australian Institute of Health and Welfare</w:t>
            </w:r>
            <w:r w:rsidR="0074278D">
              <w:t xml:space="preserve"> (AIHW).</w:t>
            </w:r>
          </w:p>
        </w:tc>
      </w:tr>
      <w:tr w:rsidR="00447BBE" w14:paraId="343459B4" w14:textId="77777777" w:rsidTr="00447BBE">
        <w:tc>
          <w:tcPr>
            <w:tcW w:w="1184" w:type="dxa"/>
            <w:shd w:val="clear" w:color="auto" w:fill="E7E6E6" w:themeFill="background2"/>
          </w:tcPr>
          <w:p w14:paraId="7324950C" w14:textId="772B2A42" w:rsidR="00447BBE" w:rsidRDefault="00447BBE" w:rsidP="001C2CEF">
            <w:pPr>
              <w:spacing w:after="120"/>
              <w:jc w:val="both"/>
            </w:pPr>
            <w:r>
              <w:t>AC</w:t>
            </w:r>
          </w:p>
        </w:tc>
        <w:tc>
          <w:tcPr>
            <w:tcW w:w="7842" w:type="dxa"/>
            <w:shd w:val="clear" w:color="auto" w:fill="E7E6E6" w:themeFill="background2"/>
          </w:tcPr>
          <w:p w14:paraId="5D76DE20" w14:textId="5F24DAB6" w:rsidR="00447BBE" w:rsidRDefault="00761918" w:rsidP="001C2CEF">
            <w:pPr>
              <w:spacing w:after="120"/>
            </w:pPr>
            <w:r>
              <w:t>All-cause mortality (age-standardised rate per 100,000).</w:t>
            </w:r>
          </w:p>
        </w:tc>
      </w:tr>
      <w:tr w:rsidR="00447BBE" w14:paraId="3BE8409A" w14:textId="77777777" w:rsidTr="00447BBE">
        <w:tc>
          <w:tcPr>
            <w:tcW w:w="1184" w:type="dxa"/>
            <w:shd w:val="clear" w:color="auto" w:fill="E7E6E6" w:themeFill="background2"/>
          </w:tcPr>
          <w:p w14:paraId="4162DB35" w14:textId="77777777" w:rsidR="00447BBE" w:rsidRDefault="00447BBE" w:rsidP="001C2CEF">
            <w:pPr>
              <w:spacing w:after="120"/>
              <w:jc w:val="both"/>
            </w:pPr>
          </w:p>
        </w:tc>
        <w:tc>
          <w:tcPr>
            <w:tcW w:w="7842" w:type="dxa"/>
            <w:shd w:val="clear" w:color="auto" w:fill="E7E6E6" w:themeFill="background2"/>
          </w:tcPr>
          <w:p w14:paraId="0880451E" w14:textId="5A662D33" w:rsidR="00447BBE" w:rsidRDefault="00447BBE" w:rsidP="001C2CEF">
            <w:pPr>
              <w:spacing w:after="120"/>
            </w:pPr>
            <w:r>
              <w:t>This parameter is shared directly from the Mortality Over Regions and Time (MORT) Books dataset, released by the Australian Institute of Health and Welfare</w:t>
            </w:r>
            <w:r w:rsidR="0074278D">
              <w:t xml:space="preserve"> (AIHW).</w:t>
            </w:r>
          </w:p>
        </w:tc>
      </w:tr>
      <w:tr w:rsidR="00447BBE" w14:paraId="3645E81D" w14:textId="77777777" w:rsidTr="00447BBE">
        <w:tc>
          <w:tcPr>
            <w:tcW w:w="1184" w:type="dxa"/>
            <w:shd w:val="clear" w:color="auto" w:fill="auto"/>
          </w:tcPr>
          <w:p w14:paraId="3461B0C0" w14:textId="498F5F6F" w:rsidR="00447BBE" w:rsidRDefault="00447BBE" w:rsidP="001C2CEF">
            <w:pPr>
              <w:spacing w:after="120"/>
              <w:jc w:val="both"/>
            </w:pPr>
            <w:proofErr w:type="spellStart"/>
            <w:r>
              <w:t>asrRESP</w:t>
            </w:r>
            <w:proofErr w:type="spellEnd"/>
          </w:p>
        </w:tc>
        <w:tc>
          <w:tcPr>
            <w:tcW w:w="7842" w:type="dxa"/>
            <w:shd w:val="clear" w:color="auto" w:fill="auto"/>
          </w:tcPr>
          <w:p w14:paraId="22C68E18" w14:textId="213B3F03" w:rsidR="00447BBE" w:rsidRDefault="00EF55A2" w:rsidP="001C2CEF">
            <w:pPr>
              <w:spacing w:after="120"/>
            </w:pPr>
            <w:r>
              <w:t>Emergency department presentations due to d</w:t>
            </w:r>
            <w:r w:rsidR="00447BBE">
              <w:t>iseases of the respiratory system (age-standardised rate per 100,000).</w:t>
            </w:r>
          </w:p>
        </w:tc>
      </w:tr>
      <w:tr w:rsidR="00447BBE" w14:paraId="26B05B1F" w14:textId="77777777" w:rsidTr="00447BBE">
        <w:tc>
          <w:tcPr>
            <w:tcW w:w="1184" w:type="dxa"/>
            <w:shd w:val="clear" w:color="auto" w:fill="auto"/>
          </w:tcPr>
          <w:p w14:paraId="147ADA28" w14:textId="77777777" w:rsidR="00447BBE" w:rsidRDefault="00447BBE" w:rsidP="001C2CEF">
            <w:pPr>
              <w:spacing w:after="120"/>
              <w:jc w:val="both"/>
            </w:pPr>
          </w:p>
        </w:tc>
        <w:tc>
          <w:tcPr>
            <w:tcW w:w="7842" w:type="dxa"/>
            <w:shd w:val="clear" w:color="auto" w:fill="auto"/>
          </w:tcPr>
          <w:p w14:paraId="480FF17E" w14:textId="5588E012" w:rsidR="00447BBE" w:rsidRDefault="00447BBE" w:rsidP="001C2CEF">
            <w:pPr>
              <w:spacing w:after="120"/>
            </w:pPr>
            <w:r>
              <w:t>This parameter is shared from the Australian bushfires 2019-20: exploring the short-term health impacts report’s supplementary dataset, released by the Australian Institute of Health and Welfare (AIHW).</w:t>
            </w:r>
          </w:p>
        </w:tc>
      </w:tr>
      <w:tr w:rsidR="00447BBE" w14:paraId="45A8305C" w14:textId="77777777" w:rsidTr="00447BBE">
        <w:tc>
          <w:tcPr>
            <w:tcW w:w="1184" w:type="dxa"/>
            <w:shd w:val="clear" w:color="auto" w:fill="E7E6E6" w:themeFill="background2"/>
          </w:tcPr>
          <w:p w14:paraId="77815134" w14:textId="721CD238" w:rsidR="00447BBE" w:rsidRDefault="00447BBE" w:rsidP="001C2CEF">
            <w:pPr>
              <w:spacing w:after="120"/>
              <w:jc w:val="both"/>
            </w:pPr>
            <w:proofErr w:type="spellStart"/>
            <w:r>
              <w:t>asrAST</w:t>
            </w:r>
            <w:proofErr w:type="spellEnd"/>
          </w:p>
        </w:tc>
        <w:tc>
          <w:tcPr>
            <w:tcW w:w="7842" w:type="dxa"/>
            <w:shd w:val="clear" w:color="auto" w:fill="E7E6E6" w:themeFill="background2"/>
          </w:tcPr>
          <w:p w14:paraId="37154295" w14:textId="05FD723C" w:rsidR="00447BBE" w:rsidRDefault="00EF55A2" w:rsidP="001C2CEF">
            <w:pPr>
              <w:spacing w:after="120"/>
            </w:pPr>
            <w:r>
              <w:t>Emergency department presentations due to a</w:t>
            </w:r>
            <w:r w:rsidR="00447BBE">
              <w:t>sthma (age-standardised rate per 100,000).</w:t>
            </w:r>
          </w:p>
        </w:tc>
      </w:tr>
      <w:tr w:rsidR="00447BBE" w14:paraId="0386E058" w14:textId="77777777" w:rsidTr="00447BBE">
        <w:tc>
          <w:tcPr>
            <w:tcW w:w="1184" w:type="dxa"/>
            <w:shd w:val="clear" w:color="auto" w:fill="E7E6E6" w:themeFill="background2"/>
          </w:tcPr>
          <w:p w14:paraId="47DFA186" w14:textId="77777777" w:rsidR="00447BBE" w:rsidRDefault="00447BBE" w:rsidP="001C2CEF">
            <w:pPr>
              <w:spacing w:after="120"/>
              <w:jc w:val="both"/>
            </w:pPr>
          </w:p>
        </w:tc>
        <w:tc>
          <w:tcPr>
            <w:tcW w:w="7842" w:type="dxa"/>
            <w:shd w:val="clear" w:color="auto" w:fill="E7E6E6" w:themeFill="background2"/>
          </w:tcPr>
          <w:p w14:paraId="69447D46" w14:textId="7DDC6476" w:rsidR="00447BBE" w:rsidRDefault="00447BBE" w:rsidP="001C2CEF">
            <w:pPr>
              <w:spacing w:after="120"/>
            </w:pPr>
            <w:r>
              <w:t>This parameter is shared from the Australian bushfires 2019-20: exploring the short-term health impacts report’s supplementary dataset, released by the Australian Institute of Health and Welfare (AIHW).</w:t>
            </w:r>
          </w:p>
        </w:tc>
      </w:tr>
      <w:tr w:rsidR="00447BBE" w14:paraId="4AC15862" w14:textId="77777777" w:rsidTr="00447BBE">
        <w:tc>
          <w:tcPr>
            <w:tcW w:w="1184" w:type="dxa"/>
            <w:shd w:val="clear" w:color="auto" w:fill="auto"/>
          </w:tcPr>
          <w:p w14:paraId="3C9F8F10" w14:textId="26BE213E" w:rsidR="00447BBE" w:rsidRDefault="00447BBE" w:rsidP="001C2CEF">
            <w:pPr>
              <w:spacing w:after="120"/>
              <w:jc w:val="both"/>
            </w:pPr>
            <w:proofErr w:type="spellStart"/>
            <w:r>
              <w:lastRenderedPageBreak/>
              <w:t>asrCVD</w:t>
            </w:r>
            <w:proofErr w:type="spellEnd"/>
          </w:p>
        </w:tc>
        <w:tc>
          <w:tcPr>
            <w:tcW w:w="7842" w:type="dxa"/>
            <w:shd w:val="clear" w:color="auto" w:fill="auto"/>
          </w:tcPr>
          <w:p w14:paraId="5040386C" w14:textId="0B6BA28D" w:rsidR="00447BBE" w:rsidRDefault="00EF55A2" w:rsidP="001C2CEF">
            <w:pPr>
              <w:spacing w:after="120"/>
            </w:pPr>
            <w:r>
              <w:t>Emergency department presentations due to c</w:t>
            </w:r>
            <w:r w:rsidR="00447BBE">
              <w:t>ardiovascular diseases (age-standardised rate per 100,000).</w:t>
            </w:r>
          </w:p>
        </w:tc>
      </w:tr>
      <w:tr w:rsidR="00447BBE" w14:paraId="05E937DB" w14:textId="77777777" w:rsidTr="00447BBE">
        <w:tc>
          <w:tcPr>
            <w:tcW w:w="1184" w:type="dxa"/>
            <w:shd w:val="clear" w:color="auto" w:fill="auto"/>
          </w:tcPr>
          <w:p w14:paraId="6946FCE3" w14:textId="77777777" w:rsidR="00447BBE" w:rsidRDefault="00447BBE" w:rsidP="001C2CEF">
            <w:pPr>
              <w:spacing w:after="120"/>
              <w:jc w:val="both"/>
            </w:pPr>
          </w:p>
        </w:tc>
        <w:tc>
          <w:tcPr>
            <w:tcW w:w="7842" w:type="dxa"/>
            <w:shd w:val="clear" w:color="auto" w:fill="auto"/>
          </w:tcPr>
          <w:p w14:paraId="63607158" w14:textId="114F7D35" w:rsidR="00447BBE" w:rsidRDefault="00447BBE" w:rsidP="001C2CEF">
            <w:pPr>
              <w:spacing w:after="120"/>
            </w:pPr>
            <w:r>
              <w:t>This parameter is shared from the Australian bushfires 2019-20: exploring the short-term health impacts report’s supplementary dataset, released by the Australian Institute of Health and Welfare (AIHW).</w:t>
            </w:r>
          </w:p>
        </w:tc>
      </w:tr>
      <w:tr w:rsidR="00447BBE" w14:paraId="0D86C3F8" w14:textId="77777777" w:rsidTr="00447BBE">
        <w:tc>
          <w:tcPr>
            <w:tcW w:w="1184" w:type="dxa"/>
            <w:shd w:val="clear" w:color="auto" w:fill="E7E6E6" w:themeFill="background2"/>
          </w:tcPr>
          <w:p w14:paraId="56BDE2A9" w14:textId="547808DF" w:rsidR="00447BBE" w:rsidRDefault="00447BBE" w:rsidP="001C2CEF">
            <w:pPr>
              <w:spacing w:after="120"/>
              <w:jc w:val="both"/>
            </w:pPr>
            <w:proofErr w:type="spellStart"/>
            <w:r>
              <w:t>nDeaths</w:t>
            </w:r>
            <w:proofErr w:type="spellEnd"/>
          </w:p>
        </w:tc>
        <w:tc>
          <w:tcPr>
            <w:tcW w:w="7842" w:type="dxa"/>
            <w:shd w:val="clear" w:color="auto" w:fill="E7E6E6" w:themeFill="background2"/>
          </w:tcPr>
          <w:p w14:paraId="4DAD5445" w14:textId="6F2D633D" w:rsidR="00447BBE" w:rsidRDefault="00447BBE" w:rsidP="001C2CEF">
            <w:pPr>
              <w:spacing w:after="120"/>
            </w:pPr>
            <w:r>
              <w:t>Number of doctor certified deaths.</w:t>
            </w:r>
          </w:p>
        </w:tc>
      </w:tr>
      <w:tr w:rsidR="00447BBE" w14:paraId="51C697F1" w14:textId="77777777" w:rsidTr="00447BBE">
        <w:tc>
          <w:tcPr>
            <w:tcW w:w="1184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398D955E" w14:textId="77777777" w:rsidR="00447BBE" w:rsidRDefault="00447BBE" w:rsidP="001C2CEF">
            <w:pPr>
              <w:spacing w:after="120"/>
              <w:jc w:val="both"/>
            </w:pPr>
          </w:p>
        </w:tc>
        <w:tc>
          <w:tcPr>
            <w:tcW w:w="7842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7A7F74A" w14:textId="067C2ECD" w:rsidR="00447BBE" w:rsidRDefault="00447BBE" w:rsidP="001C2CEF">
            <w:pPr>
              <w:spacing w:after="120"/>
            </w:pPr>
            <w:r>
              <w:t>This parameter is shared from the Australian bushfires 2019-20: exploring the short-term health impacts report’s supplementary dataset, released by the Australian Institute of Health and Welfare (AIHW).</w:t>
            </w:r>
          </w:p>
        </w:tc>
      </w:tr>
    </w:tbl>
    <w:p w14:paraId="28F8EA1C" w14:textId="069D9CCC" w:rsidR="00F02704" w:rsidRDefault="00F02704" w:rsidP="00F97C4F"/>
    <w:sectPr w:rsidR="00F02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41F3A"/>
    <w:multiLevelType w:val="hybridMultilevel"/>
    <w:tmpl w:val="AF829E5E"/>
    <w:lvl w:ilvl="0" w:tplc="01C8D81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DC0"/>
    <w:rsid w:val="00061F4E"/>
    <w:rsid w:val="000A7F6E"/>
    <w:rsid w:val="001300DA"/>
    <w:rsid w:val="00137F63"/>
    <w:rsid w:val="001C2CEF"/>
    <w:rsid w:val="001F0E28"/>
    <w:rsid w:val="001F5B3D"/>
    <w:rsid w:val="002436D3"/>
    <w:rsid w:val="00260486"/>
    <w:rsid w:val="002751B8"/>
    <w:rsid w:val="00276F2A"/>
    <w:rsid w:val="003175F0"/>
    <w:rsid w:val="003A390F"/>
    <w:rsid w:val="00434BA5"/>
    <w:rsid w:val="00447BBE"/>
    <w:rsid w:val="004C767E"/>
    <w:rsid w:val="004E3DC0"/>
    <w:rsid w:val="004E6650"/>
    <w:rsid w:val="00502443"/>
    <w:rsid w:val="005121AA"/>
    <w:rsid w:val="00520315"/>
    <w:rsid w:val="00522322"/>
    <w:rsid w:val="005F59E9"/>
    <w:rsid w:val="006015C4"/>
    <w:rsid w:val="006129BB"/>
    <w:rsid w:val="00700592"/>
    <w:rsid w:val="00723B64"/>
    <w:rsid w:val="0074278D"/>
    <w:rsid w:val="00761918"/>
    <w:rsid w:val="00780EE4"/>
    <w:rsid w:val="007C29D9"/>
    <w:rsid w:val="007F2C27"/>
    <w:rsid w:val="008C3FF8"/>
    <w:rsid w:val="008F7908"/>
    <w:rsid w:val="00942AB9"/>
    <w:rsid w:val="009A2064"/>
    <w:rsid w:val="009E5C1F"/>
    <w:rsid w:val="00A3678F"/>
    <w:rsid w:val="00A566DF"/>
    <w:rsid w:val="00AB3ECD"/>
    <w:rsid w:val="00AF4448"/>
    <w:rsid w:val="00B76705"/>
    <w:rsid w:val="00B9709C"/>
    <w:rsid w:val="00BE46BB"/>
    <w:rsid w:val="00BE4E3C"/>
    <w:rsid w:val="00C058FE"/>
    <w:rsid w:val="00C47A4B"/>
    <w:rsid w:val="00C60DD5"/>
    <w:rsid w:val="00D92A93"/>
    <w:rsid w:val="00DE36FE"/>
    <w:rsid w:val="00E32568"/>
    <w:rsid w:val="00E3536E"/>
    <w:rsid w:val="00E534B3"/>
    <w:rsid w:val="00E9174F"/>
    <w:rsid w:val="00EB7806"/>
    <w:rsid w:val="00EF55A2"/>
    <w:rsid w:val="00EF7C06"/>
    <w:rsid w:val="00F02704"/>
    <w:rsid w:val="00F94071"/>
    <w:rsid w:val="00F97C4F"/>
    <w:rsid w:val="00FE285F"/>
    <w:rsid w:val="00FF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AE0A6"/>
  <w15:chartTrackingRefBased/>
  <w15:docId w15:val="{FC49923B-1308-4ECC-851E-30701AADF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7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7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27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70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7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7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02704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F027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20315"/>
    <w:pPr>
      <w:ind w:left="720"/>
      <w:contextualSpacing/>
    </w:pPr>
  </w:style>
  <w:style w:type="table" w:styleId="TableGrid">
    <w:name w:val="Table Grid"/>
    <w:basedOn w:val="TableNormal"/>
    <w:uiPriority w:val="39"/>
    <w:rsid w:val="00AB3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rontiersi.com.au/ausenhealth-digital-tw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Price</dc:creator>
  <cp:keywords/>
  <dc:description/>
  <cp:lastModifiedBy>Aiden Price</cp:lastModifiedBy>
  <cp:revision>10</cp:revision>
  <dcterms:created xsi:type="dcterms:W3CDTF">2021-10-28T03:48:00Z</dcterms:created>
  <dcterms:modified xsi:type="dcterms:W3CDTF">2021-11-03T14:03:00Z</dcterms:modified>
</cp:coreProperties>
</file>