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F361" w14:textId="5FD5284F" w:rsidR="00592875" w:rsidRDefault="00E3536E" w:rsidP="00F02704">
      <w:pPr>
        <w:pStyle w:val="Heading1"/>
      </w:pPr>
      <w:r>
        <w:t>Sensitivity</w:t>
      </w:r>
      <w:r w:rsidR="00A3678F">
        <w:t xml:space="preserve"> (Vulnerability Sub-Indices)</w:t>
      </w:r>
    </w:p>
    <w:p w14:paraId="556D7027" w14:textId="7DDA7252" w:rsidR="004E3DC0" w:rsidRDefault="004E3DC0" w:rsidP="00F02704">
      <w:pPr>
        <w:pStyle w:val="Subtitle"/>
      </w:pPr>
      <w:r>
        <w:t>Data Dictionary</w:t>
      </w:r>
    </w:p>
    <w:p w14:paraId="26DF75DF" w14:textId="20A42517" w:rsidR="00F02704" w:rsidRDefault="00E3536E" w:rsidP="002751B8">
      <w:pPr>
        <w:jc w:val="both"/>
      </w:pPr>
      <w:r>
        <w:t>Sensitivity</w:t>
      </w:r>
      <w:r w:rsidR="00F02704">
        <w:t xml:space="preserve"> is a component of </w:t>
      </w:r>
      <w:r>
        <w:t xml:space="preserve">the </w:t>
      </w:r>
      <w:r w:rsidR="00F02704">
        <w:t xml:space="preserve">vulnerability index framework developed </w:t>
      </w:r>
      <w:r w:rsidR="00137F63">
        <w:t xml:space="preserve">in 2007 </w:t>
      </w:r>
      <w:r w:rsidR="00F02704">
        <w:t>by the</w:t>
      </w:r>
      <w:r w:rsidR="00F02704" w:rsidRPr="00F02704">
        <w:t xml:space="preserve"> Intergovernmental Panel on Climate Change</w:t>
      </w:r>
      <w:r w:rsidR="00F02704">
        <w:t xml:space="preserve"> (IPCC). </w:t>
      </w:r>
      <w:r>
        <w:t>Sensitivity</w:t>
      </w:r>
      <w:r w:rsidR="004E3DC0">
        <w:t xml:space="preserve"> </w:t>
      </w:r>
      <w:r w:rsidR="002751B8">
        <w:t xml:space="preserve">is </w:t>
      </w:r>
      <w:r>
        <w:t>defined as the susceptibility of a household, community, or population to various exposures</w:t>
      </w:r>
      <w:r w:rsidR="004E3DC0">
        <w:t>.</w:t>
      </w:r>
      <w:r w:rsidR="00F02704">
        <w:t xml:space="preserve"> </w:t>
      </w:r>
      <w:r w:rsidR="004E3DC0">
        <w:t xml:space="preserve">In phase 1 of AusEnHealth, </w:t>
      </w:r>
      <w:r>
        <w:t xml:space="preserve">sensitivity </w:t>
      </w:r>
      <w:r w:rsidR="00F02704">
        <w:t>has</w:t>
      </w:r>
      <w:r w:rsidR="004E3DC0">
        <w:t xml:space="preserve"> </w:t>
      </w:r>
      <w:r w:rsidR="009701C7">
        <w:t xml:space="preserve">been </w:t>
      </w:r>
      <w:r w:rsidR="004E3DC0">
        <w:t>considered against three separate exposures: extreme heat, extreme cold, and air pollution.</w:t>
      </w:r>
    </w:p>
    <w:p w14:paraId="4060AF32" w14:textId="49A5F74A" w:rsidR="004E3DC0" w:rsidRDefault="004E3DC0" w:rsidP="002751B8">
      <w:pPr>
        <w:jc w:val="both"/>
      </w:pPr>
      <w:r>
        <w:t xml:space="preserve">This document defines the parameters used in </w:t>
      </w:r>
      <w:r w:rsidR="00E3536E">
        <w:t>sensitivity</w:t>
      </w:r>
      <w:r>
        <w:t xml:space="preserve"> sub-indices</w:t>
      </w:r>
      <w:r w:rsidR="00F02704">
        <w:t>, a crucial component in the creation of</w:t>
      </w:r>
      <w:r>
        <w:t xml:space="preserve"> </w:t>
      </w:r>
      <w:proofErr w:type="spellStart"/>
      <w:r>
        <w:t>AusEnHealth’s</w:t>
      </w:r>
      <w:proofErr w:type="spellEnd"/>
      <w:r>
        <w:t xml:space="preserve"> vulnerability indices.</w:t>
      </w:r>
      <w:r w:rsidR="00F02704">
        <w:t xml:space="preserve"> For more information, please see the AusEnHealth Methods Report, hosted at </w:t>
      </w:r>
      <w:hyperlink r:id="rId5" w:history="1">
        <w:r w:rsidR="00F02704" w:rsidRPr="00A17BFF">
          <w:rPr>
            <w:rStyle w:val="Hyperlink"/>
          </w:rPr>
          <w:t>https://frontiersi.com.au/ausenhealth-digital-twin/</w:t>
        </w:r>
      </w:hyperlink>
      <w:r w:rsidR="00F02704">
        <w:t>.</w:t>
      </w:r>
    </w:p>
    <w:p w14:paraId="02362126" w14:textId="2AA8CCA8" w:rsidR="00F02704" w:rsidRDefault="00F02704" w:rsidP="00F02704">
      <w:pPr>
        <w:pStyle w:val="Heading2"/>
      </w:pPr>
      <w:r>
        <w:t>Climate</w:t>
      </w:r>
      <w:r w:rsidR="00A3678F">
        <w:t xml:space="preserve"> </w:t>
      </w:r>
      <w:r>
        <w:t>(Extreme Heat, Extreme Cold)</w:t>
      </w:r>
    </w:p>
    <w:p w14:paraId="2F01566B" w14:textId="0593979F" w:rsidR="00F02704" w:rsidRDefault="00F02704" w:rsidP="00F02704">
      <w:pPr>
        <w:pStyle w:val="Subtitle"/>
      </w:pPr>
      <w:r>
        <w:t>Parameters Specific to Climate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AB3ECD" w14:paraId="0557EF81" w14:textId="77777777" w:rsidTr="00434BA5">
        <w:trPr>
          <w:tblHeader/>
        </w:trPr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377D27B8" w14:textId="5B1FBCFB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Parameter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57697FC8" w14:textId="23A639F1" w:rsidR="00AB3ECD" w:rsidRPr="009E5C1F" w:rsidRDefault="00AB3ECD" w:rsidP="008F7908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Description and Derivation</w:t>
            </w:r>
          </w:p>
        </w:tc>
      </w:tr>
      <w:tr w:rsidR="00AB3ECD" w14:paraId="6C842EDB" w14:textId="77777777" w:rsidTr="00434BA5">
        <w:trPr>
          <w:tblHeader/>
        </w:trPr>
        <w:tc>
          <w:tcPr>
            <w:tcW w:w="1184" w:type="dxa"/>
            <w:tcBorders>
              <w:top w:val="single" w:sz="4" w:space="0" w:color="auto"/>
            </w:tcBorders>
          </w:tcPr>
          <w:p w14:paraId="198BE528" w14:textId="2DDA537C" w:rsidR="00AB3ECD" w:rsidRDefault="008C3FF8" w:rsidP="001E607D">
            <w:pPr>
              <w:spacing w:after="120"/>
            </w:pPr>
            <w:r>
              <w:t>AST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26E2F956" w14:textId="061E534A" w:rsidR="00AB3ECD" w:rsidRPr="009E5C1F" w:rsidRDefault="001F0E28" w:rsidP="001E607D">
            <w:pPr>
              <w:spacing w:after="120"/>
            </w:pPr>
            <w:r>
              <w:t>Estimated number of people with asthma</w:t>
            </w:r>
            <w:r w:rsidR="00C47A4B">
              <w:t xml:space="preserve"> (age-standardised rate per 100).</w:t>
            </w:r>
          </w:p>
        </w:tc>
      </w:tr>
      <w:tr w:rsidR="00AB3ECD" w14:paraId="00520060" w14:textId="77777777" w:rsidTr="00434BA5">
        <w:trPr>
          <w:tblHeader/>
        </w:trPr>
        <w:tc>
          <w:tcPr>
            <w:tcW w:w="1184" w:type="dxa"/>
          </w:tcPr>
          <w:p w14:paraId="1979366B" w14:textId="77777777" w:rsidR="00AB3ECD" w:rsidRDefault="00AB3ECD" w:rsidP="001E607D">
            <w:pPr>
              <w:spacing w:after="120"/>
              <w:jc w:val="both"/>
            </w:pPr>
          </w:p>
        </w:tc>
        <w:tc>
          <w:tcPr>
            <w:tcW w:w="7842" w:type="dxa"/>
          </w:tcPr>
          <w:p w14:paraId="5A295FED" w14:textId="1B91047F" w:rsidR="00AB3ECD" w:rsidRPr="009E5C1F" w:rsidRDefault="00AB3ECD" w:rsidP="001E607D">
            <w:pPr>
              <w:spacing w:after="120"/>
            </w:pPr>
            <w:r w:rsidRPr="009E5C1F">
              <w:t xml:space="preserve">This parameter is </w:t>
            </w:r>
            <w:r w:rsidR="00C47A4B">
              <w:t>shared directly from the Public Health Information Development Unit (PHIDU) Social Health Atlas, specifically from the chronic disease estimates data</w:t>
            </w:r>
            <w:r w:rsidR="00BE46BB">
              <w:t>set</w:t>
            </w:r>
            <w:r w:rsidR="00C47A4B">
              <w:t>.</w:t>
            </w:r>
          </w:p>
        </w:tc>
      </w:tr>
      <w:tr w:rsidR="00F94071" w14:paraId="7EF043EE" w14:textId="77777777" w:rsidTr="00434BA5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7C1A14C9" w14:textId="60EAA9C2" w:rsidR="00F94071" w:rsidRDefault="00F94071" w:rsidP="001E607D">
            <w:pPr>
              <w:spacing w:after="120"/>
            </w:pPr>
            <w:proofErr w:type="spellStart"/>
            <w:r>
              <w:t>rs</w:t>
            </w:r>
            <w:r w:rsidR="00C47A4B">
              <w:t>AST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F9C6C37" w14:textId="51AFDDCE" w:rsidR="00F94071" w:rsidRPr="009E5C1F" w:rsidRDefault="00F94071" w:rsidP="001E607D">
            <w:pPr>
              <w:spacing w:after="120"/>
            </w:pPr>
            <w:r w:rsidRPr="009E5C1F">
              <w:t>A spatial</w:t>
            </w:r>
            <w:r w:rsidR="005121AA">
              <w:t xml:space="preserve"> percentile</w:t>
            </w:r>
            <w:r w:rsidRPr="009E5C1F">
              <w:t xml:space="preserve"> ranking of the</w:t>
            </w:r>
            <w:r w:rsidR="00C47A4B">
              <w:t xml:space="preserve"> AST</w:t>
            </w:r>
            <w:r w:rsidRPr="009E5C1F">
              <w:t xml:space="preserve"> parameter</w:t>
            </w:r>
            <w:r w:rsidR="008C3FF8">
              <w:t>, in ascending order from lowest to highest.</w:t>
            </w:r>
          </w:p>
        </w:tc>
      </w:tr>
      <w:tr w:rsidR="00434BA5" w14:paraId="11D44795" w14:textId="77777777" w:rsidTr="00C47A4B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7F44CF45" w14:textId="77777777" w:rsidR="00434BA5" w:rsidRDefault="00434BA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DD07990" w14:textId="74D85517" w:rsidR="00434BA5" w:rsidRPr="009E5C1F" w:rsidRDefault="00434BA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C47A4B" w14:paraId="3C2BB068" w14:textId="77777777" w:rsidTr="00C47A4B">
        <w:trPr>
          <w:tblHeader/>
        </w:trPr>
        <w:tc>
          <w:tcPr>
            <w:tcW w:w="1184" w:type="dxa"/>
            <w:shd w:val="clear" w:color="auto" w:fill="auto"/>
          </w:tcPr>
          <w:p w14:paraId="5240A942" w14:textId="60417827" w:rsidR="00C47A4B" w:rsidRDefault="00C47A4B" w:rsidP="001E607D">
            <w:pPr>
              <w:spacing w:after="120"/>
              <w:jc w:val="both"/>
            </w:pPr>
            <w:r>
              <w:t>COPD</w:t>
            </w:r>
          </w:p>
        </w:tc>
        <w:tc>
          <w:tcPr>
            <w:tcW w:w="7842" w:type="dxa"/>
            <w:shd w:val="clear" w:color="auto" w:fill="auto"/>
          </w:tcPr>
          <w:p w14:paraId="15AA2A76" w14:textId="7D997999" w:rsidR="00C47A4B" w:rsidRDefault="001F0E28" w:rsidP="001E607D">
            <w:pPr>
              <w:spacing w:after="120"/>
            </w:pPr>
            <w:r>
              <w:t>Estimated number of people with</w:t>
            </w:r>
            <w:r w:rsidR="00C47A4B">
              <w:t xml:space="preserve"> chronic obstructive pulmonary disease (age-standardised rate per 100).</w:t>
            </w:r>
          </w:p>
        </w:tc>
      </w:tr>
      <w:tr w:rsidR="00C47A4B" w14:paraId="1AECB001" w14:textId="77777777" w:rsidTr="00C47A4B">
        <w:trPr>
          <w:tblHeader/>
        </w:trPr>
        <w:tc>
          <w:tcPr>
            <w:tcW w:w="1184" w:type="dxa"/>
            <w:shd w:val="clear" w:color="auto" w:fill="auto"/>
          </w:tcPr>
          <w:p w14:paraId="427B9228" w14:textId="77777777" w:rsidR="00C47A4B" w:rsidRDefault="00C47A4B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9A2F062" w14:textId="2B0ED924" w:rsidR="00C47A4B" w:rsidRDefault="00C47A4B" w:rsidP="001E607D">
            <w:pPr>
              <w:spacing w:after="120"/>
            </w:pPr>
            <w:r>
              <w:t>This parameter is shared directly from the Public Health Information Development Unit (PHIDU) Social Health Atlas, specifically from the chronic disease estimates data</w:t>
            </w:r>
            <w:r w:rsidR="00BE46BB">
              <w:t>set</w:t>
            </w:r>
            <w:r>
              <w:t>.</w:t>
            </w:r>
          </w:p>
        </w:tc>
      </w:tr>
      <w:tr w:rsidR="00C47A4B" w14:paraId="2EE0335A" w14:textId="77777777" w:rsidTr="00C47A4B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196C048D" w14:textId="6F339676" w:rsidR="00C47A4B" w:rsidRDefault="00C47A4B" w:rsidP="001E607D">
            <w:pPr>
              <w:spacing w:after="120"/>
              <w:jc w:val="both"/>
            </w:pPr>
            <w:proofErr w:type="spellStart"/>
            <w:r>
              <w:t>rsCOPD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FF75762" w14:textId="277FFBD2" w:rsidR="00C47A4B" w:rsidRDefault="00C47A4B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COPD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C47A4B" w14:paraId="72729062" w14:textId="77777777" w:rsidTr="00C47A4B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62E4D7B6" w14:textId="77777777" w:rsidR="00C47A4B" w:rsidRDefault="00C47A4B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0345376" w14:textId="0BCD27F9" w:rsidR="00C47A4B" w:rsidRDefault="00C47A4B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C47A4B" w14:paraId="4BB599E0" w14:textId="77777777" w:rsidTr="00C47A4B">
        <w:trPr>
          <w:tblHeader/>
        </w:trPr>
        <w:tc>
          <w:tcPr>
            <w:tcW w:w="1184" w:type="dxa"/>
            <w:shd w:val="clear" w:color="auto" w:fill="auto"/>
          </w:tcPr>
          <w:p w14:paraId="1AE8ED5B" w14:textId="7BAF7B4D" w:rsidR="00C47A4B" w:rsidRDefault="00C47A4B" w:rsidP="001E607D">
            <w:pPr>
              <w:spacing w:after="120"/>
              <w:jc w:val="both"/>
            </w:pPr>
            <w:r>
              <w:t>RESP</w:t>
            </w:r>
          </w:p>
        </w:tc>
        <w:tc>
          <w:tcPr>
            <w:tcW w:w="7842" w:type="dxa"/>
            <w:shd w:val="clear" w:color="auto" w:fill="auto"/>
          </w:tcPr>
          <w:p w14:paraId="74E68CD4" w14:textId="719BB1B6" w:rsidR="00C47A4B" w:rsidRDefault="001F0E28" w:rsidP="001E607D">
            <w:pPr>
              <w:spacing w:after="120"/>
            </w:pPr>
            <w:r>
              <w:t>Estimate</w:t>
            </w:r>
            <w:r w:rsidR="00A13D0D">
              <w:t>d</w:t>
            </w:r>
            <w:r>
              <w:t xml:space="preserve"> number of people with respiratory system</w:t>
            </w:r>
            <w:r w:rsidR="00C47A4B">
              <w:t xml:space="preserve"> disease (age-standardised rate per 100).</w:t>
            </w:r>
          </w:p>
        </w:tc>
      </w:tr>
      <w:tr w:rsidR="00C47A4B" w14:paraId="19552958" w14:textId="77777777" w:rsidTr="00C47A4B">
        <w:trPr>
          <w:tblHeader/>
        </w:trPr>
        <w:tc>
          <w:tcPr>
            <w:tcW w:w="1184" w:type="dxa"/>
            <w:shd w:val="clear" w:color="auto" w:fill="auto"/>
          </w:tcPr>
          <w:p w14:paraId="0471F4FA" w14:textId="77777777" w:rsidR="00C47A4B" w:rsidRDefault="00C47A4B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2CFCF6C" w14:textId="2B1F1A0D" w:rsidR="00C47A4B" w:rsidRDefault="00C47A4B" w:rsidP="001E607D">
            <w:pPr>
              <w:spacing w:after="120"/>
            </w:pPr>
            <w:r>
              <w:t>This parameter is shared directly from the Public Health Information Development Unit (PHIDU) Social Health Atlas, specifically from the chronic disease estimates data</w:t>
            </w:r>
            <w:r w:rsidR="00BE46BB">
              <w:t>set</w:t>
            </w:r>
            <w:r>
              <w:t>.</w:t>
            </w:r>
          </w:p>
        </w:tc>
      </w:tr>
      <w:tr w:rsidR="00C47A4B" w14:paraId="343459B4" w14:textId="77777777" w:rsidTr="00C47A4B">
        <w:trPr>
          <w:tblHeader/>
        </w:trPr>
        <w:tc>
          <w:tcPr>
            <w:tcW w:w="1184" w:type="dxa"/>
            <w:shd w:val="clear" w:color="auto" w:fill="E7E6E6" w:themeFill="background2"/>
          </w:tcPr>
          <w:p w14:paraId="7324950C" w14:textId="247B9416" w:rsidR="00C47A4B" w:rsidRDefault="00C47A4B" w:rsidP="001E607D">
            <w:pPr>
              <w:spacing w:after="120"/>
              <w:jc w:val="both"/>
            </w:pPr>
            <w:proofErr w:type="spellStart"/>
            <w:r>
              <w:t>rsRESP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D76DE20" w14:textId="360AB896" w:rsidR="00C47A4B" w:rsidRDefault="00C47A4B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RESP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C47A4B" w14:paraId="3BE8409A" w14:textId="77777777" w:rsidTr="00434BA5">
        <w:trPr>
          <w:tblHeader/>
        </w:trPr>
        <w:tc>
          <w:tcPr>
            <w:tcW w:w="11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4162DB35" w14:textId="77777777" w:rsidR="00C47A4B" w:rsidRDefault="00C47A4B" w:rsidP="001E607D">
            <w:pPr>
              <w:spacing w:after="120"/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880451E" w14:textId="632946A8" w:rsidR="00C47A4B" w:rsidRDefault="00C47A4B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</w:tbl>
    <w:p w14:paraId="28F8EA1C" w14:textId="1743D609" w:rsidR="00F02704" w:rsidRDefault="00F02704" w:rsidP="002751B8">
      <w:pPr>
        <w:pStyle w:val="Heading2"/>
        <w:spacing w:before="120"/>
      </w:pPr>
      <w:r>
        <w:t>Air Quality</w:t>
      </w:r>
    </w:p>
    <w:p w14:paraId="7E10CCFA" w14:textId="474A4727" w:rsidR="00F02704" w:rsidRDefault="00F02704" w:rsidP="00A3678F">
      <w:pPr>
        <w:pStyle w:val="Subtitle"/>
      </w:pPr>
      <w:r>
        <w:t>Parameters Specific to Air Pollution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1F0E28" w14:paraId="5F1F5882" w14:textId="77777777" w:rsidTr="003175F0"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1069D5B7" w14:textId="77777777" w:rsidR="001F0E28" w:rsidRPr="009E5C1F" w:rsidRDefault="001F0E28" w:rsidP="001729D6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Parameter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47388A52" w14:textId="77777777" w:rsidR="001F0E28" w:rsidRPr="009E5C1F" w:rsidRDefault="001F0E28" w:rsidP="001729D6">
            <w:pPr>
              <w:rPr>
                <w:b/>
                <w:bCs/>
              </w:rPr>
            </w:pPr>
            <w:r w:rsidRPr="009E5C1F">
              <w:rPr>
                <w:b/>
                <w:bCs/>
              </w:rPr>
              <w:t>Description and Derivation</w:t>
            </w:r>
          </w:p>
        </w:tc>
      </w:tr>
      <w:tr w:rsidR="001F0E28" w14:paraId="4F0152D7" w14:textId="77777777" w:rsidTr="003175F0">
        <w:tc>
          <w:tcPr>
            <w:tcW w:w="1184" w:type="dxa"/>
            <w:tcBorders>
              <w:top w:val="single" w:sz="4" w:space="0" w:color="auto"/>
            </w:tcBorders>
          </w:tcPr>
          <w:p w14:paraId="50936292" w14:textId="78CAE0EB" w:rsidR="001F0E28" w:rsidRDefault="001F0E28" w:rsidP="001E607D">
            <w:pPr>
              <w:spacing w:after="120"/>
            </w:pPr>
            <w:r>
              <w:lastRenderedPageBreak/>
              <w:t>BP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413951BB" w14:textId="4B22053F" w:rsidR="001F0E28" w:rsidRPr="009E5C1F" w:rsidRDefault="001F0E28" w:rsidP="001E607D">
            <w:pPr>
              <w:spacing w:after="120"/>
            </w:pPr>
            <w:r w:rsidRPr="001F0E28">
              <w:t xml:space="preserve">Estimated number of people aged 18 years and over who had high blood pressure </w:t>
            </w:r>
            <w:r>
              <w:t>(age-standardised rate per 100).</w:t>
            </w:r>
          </w:p>
        </w:tc>
      </w:tr>
      <w:tr w:rsidR="001F0E28" w14:paraId="7F85CBE4" w14:textId="77777777" w:rsidTr="003175F0">
        <w:tc>
          <w:tcPr>
            <w:tcW w:w="1184" w:type="dxa"/>
          </w:tcPr>
          <w:p w14:paraId="00D3EF21" w14:textId="77777777" w:rsidR="001F0E28" w:rsidRDefault="001F0E28" w:rsidP="001E607D">
            <w:pPr>
              <w:spacing w:after="120"/>
              <w:jc w:val="both"/>
            </w:pPr>
          </w:p>
        </w:tc>
        <w:tc>
          <w:tcPr>
            <w:tcW w:w="7842" w:type="dxa"/>
          </w:tcPr>
          <w:p w14:paraId="5D89837A" w14:textId="1AAF054C" w:rsidR="001F0E28" w:rsidRPr="009E5C1F" w:rsidRDefault="001F0E28" w:rsidP="001E607D">
            <w:pPr>
              <w:spacing w:after="120"/>
            </w:pPr>
            <w:r w:rsidRPr="009E5C1F">
              <w:t xml:space="preserve">This parameter is </w:t>
            </w:r>
            <w:r>
              <w:t>shared directly from the Public Health Information Development Unit (PHIDU) Social Health Atlas, specifically from the adult risk factor estimates data.</w:t>
            </w:r>
          </w:p>
        </w:tc>
      </w:tr>
      <w:tr w:rsidR="001F0E28" w14:paraId="75DB5D3B" w14:textId="77777777" w:rsidTr="003175F0">
        <w:tc>
          <w:tcPr>
            <w:tcW w:w="1184" w:type="dxa"/>
            <w:shd w:val="clear" w:color="auto" w:fill="E7E6E6" w:themeFill="background2"/>
          </w:tcPr>
          <w:p w14:paraId="4AEBD6B3" w14:textId="6F44FE5B" w:rsidR="001F0E28" w:rsidRDefault="001F0E28" w:rsidP="001E607D">
            <w:pPr>
              <w:spacing w:after="120"/>
            </w:pPr>
            <w:proofErr w:type="spellStart"/>
            <w:r>
              <w:t>rsBP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4986805" w14:textId="69F3A9DA" w:rsidR="001F0E28" w:rsidRPr="009E5C1F" w:rsidRDefault="001F0E28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BP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1F0E28" w14:paraId="22A5C7DE" w14:textId="77777777" w:rsidTr="003175F0">
        <w:tc>
          <w:tcPr>
            <w:tcW w:w="1184" w:type="dxa"/>
            <w:shd w:val="clear" w:color="auto" w:fill="E7E6E6" w:themeFill="background2"/>
          </w:tcPr>
          <w:p w14:paraId="7B94A354" w14:textId="77777777" w:rsidR="001F0E28" w:rsidRDefault="001F0E2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104ADA4F" w14:textId="77777777" w:rsidR="001F0E28" w:rsidRPr="009E5C1F" w:rsidRDefault="001F0E28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1F0E28" w14:paraId="3604F01D" w14:textId="77777777" w:rsidTr="003175F0">
        <w:tc>
          <w:tcPr>
            <w:tcW w:w="1184" w:type="dxa"/>
            <w:shd w:val="clear" w:color="auto" w:fill="auto"/>
          </w:tcPr>
          <w:p w14:paraId="4CF147D8" w14:textId="004AE83F" w:rsidR="001F0E28" w:rsidRDefault="001F0E28" w:rsidP="001E607D">
            <w:pPr>
              <w:spacing w:after="120"/>
              <w:jc w:val="both"/>
            </w:pPr>
            <w:r>
              <w:t>BC</w:t>
            </w:r>
          </w:p>
        </w:tc>
        <w:tc>
          <w:tcPr>
            <w:tcW w:w="7842" w:type="dxa"/>
            <w:shd w:val="clear" w:color="auto" w:fill="auto"/>
          </w:tcPr>
          <w:p w14:paraId="5F5E0C26" w14:textId="22A88E51" w:rsidR="001F0E28" w:rsidRDefault="00E9174F" w:rsidP="001E607D">
            <w:pPr>
              <w:spacing w:after="120"/>
            </w:pPr>
            <w:r w:rsidRPr="00E9174F">
              <w:t>Estimated number of people aged 18 years and over with high blood cholesterol</w:t>
            </w:r>
            <w:r>
              <w:t xml:space="preserve"> </w:t>
            </w:r>
            <w:r w:rsidR="001F0E28">
              <w:t>(age-standardised rate per 100).</w:t>
            </w:r>
          </w:p>
        </w:tc>
      </w:tr>
      <w:tr w:rsidR="001F0E28" w14:paraId="56ED10E2" w14:textId="77777777" w:rsidTr="003175F0">
        <w:tc>
          <w:tcPr>
            <w:tcW w:w="1184" w:type="dxa"/>
            <w:shd w:val="clear" w:color="auto" w:fill="auto"/>
          </w:tcPr>
          <w:p w14:paraId="767C47FF" w14:textId="77777777" w:rsidR="001F0E28" w:rsidRDefault="001F0E2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8E2FC13" w14:textId="1CEB16E2" w:rsidR="001F0E28" w:rsidRDefault="001F0E28" w:rsidP="001E607D">
            <w:pPr>
              <w:spacing w:after="120"/>
            </w:pPr>
            <w:r>
              <w:t>This parameter is shared directly from the Public Health Information Development Unit (PHIDU) Social Health Atlas, specifically from the chronic disease estimates data</w:t>
            </w:r>
            <w:r w:rsidR="00BE46BB">
              <w:t>set</w:t>
            </w:r>
            <w:r>
              <w:t>.</w:t>
            </w:r>
          </w:p>
        </w:tc>
      </w:tr>
      <w:tr w:rsidR="001F0E28" w14:paraId="1DFE2938" w14:textId="77777777" w:rsidTr="003175F0">
        <w:tc>
          <w:tcPr>
            <w:tcW w:w="1184" w:type="dxa"/>
            <w:shd w:val="clear" w:color="auto" w:fill="E7E6E6" w:themeFill="background2"/>
          </w:tcPr>
          <w:p w14:paraId="5FAD9FD7" w14:textId="24E5B980" w:rsidR="001F0E28" w:rsidRDefault="001F0E28" w:rsidP="001E607D">
            <w:pPr>
              <w:spacing w:after="120"/>
              <w:jc w:val="both"/>
            </w:pPr>
            <w:proofErr w:type="spellStart"/>
            <w:r>
              <w:t>rsBC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22D9F0F8" w14:textId="5B98C6D8" w:rsidR="001F0E28" w:rsidRDefault="001F0E28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BC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1F0E28" w14:paraId="2F132A46" w14:textId="77777777" w:rsidTr="003175F0">
        <w:tc>
          <w:tcPr>
            <w:tcW w:w="1184" w:type="dxa"/>
            <w:shd w:val="clear" w:color="auto" w:fill="E7E6E6" w:themeFill="background2"/>
          </w:tcPr>
          <w:p w14:paraId="3A801BFE" w14:textId="77777777" w:rsidR="001F0E28" w:rsidRDefault="001F0E2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5FBEA029" w14:textId="77777777" w:rsidR="001F0E28" w:rsidRDefault="001F0E28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1F0E28" w14:paraId="526BF47F" w14:textId="77777777" w:rsidTr="003175F0">
        <w:tc>
          <w:tcPr>
            <w:tcW w:w="1184" w:type="dxa"/>
            <w:shd w:val="clear" w:color="auto" w:fill="auto"/>
          </w:tcPr>
          <w:p w14:paraId="0D49900E" w14:textId="3D51C30B" w:rsidR="001F0E28" w:rsidRDefault="001F0E28" w:rsidP="001E607D">
            <w:pPr>
              <w:spacing w:after="120"/>
              <w:jc w:val="both"/>
            </w:pPr>
            <w:r>
              <w:t>CS</w:t>
            </w:r>
          </w:p>
        </w:tc>
        <w:tc>
          <w:tcPr>
            <w:tcW w:w="7842" w:type="dxa"/>
            <w:shd w:val="clear" w:color="auto" w:fill="auto"/>
          </w:tcPr>
          <w:p w14:paraId="5A282DA5" w14:textId="7C1C3C1C" w:rsidR="001F0E28" w:rsidRDefault="00E9174F" w:rsidP="001E607D">
            <w:pPr>
              <w:spacing w:after="120"/>
            </w:pPr>
            <w:r w:rsidRPr="00E9174F">
              <w:t xml:space="preserve">Estimated number of people aged 2 years and over with circulatory system diseases </w:t>
            </w:r>
            <w:r w:rsidR="001F0E28">
              <w:t>(age-standardised rate per 100).</w:t>
            </w:r>
          </w:p>
        </w:tc>
      </w:tr>
      <w:tr w:rsidR="001F0E28" w14:paraId="1FD16065" w14:textId="77777777" w:rsidTr="003175F0">
        <w:tc>
          <w:tcPr>
            <w:tcW w:w="1184" w:type="dxa"/>
            <w:shd w:val="clear" w:color="auto" w:fill="auto"/>
          </w:tcPr>
          <w:p w14:paraId="128F9903" w14:textId="77777777" w:rsidR="001F0E28" w:rsidRDefault="001F0E2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9EDB8A5" w14:textId="5313CA33" w:rsidR="001F0E28" w:rsidRDefault="001F0E28" w:rsidP="001E607D">
            <w:pPr>
              <w:spacing w:after="120"/>
            </w:pPr>
            <w:r>
              <w:t>This parameter is shared directly from the Public Health Information Development Unit (PHIDU) Social Health Atlas, specifically from the chronic disease estimates data</w:t>
            </w:r>
            <w:r w:rsidR="00BE46BB">
              <w:t>set</w:t>
            </w:r>
            <w:r>
              <w:t>.</w:t>
            </w:r>
          </w:p>
        </w:tc>
      </w:tr>
      <w:tr w:rsidR="001F0E28" w14:paraId="5200F7AF" w14:textId="77777777" w:rsidTr="003175F0">
        <w:tc>
          <w:tcPr>
            <w:tcW w:w="1184" w:type="dxa"/>
            <w:shd w:val="clear" w:color="auto" w:fill="E7E6E6" w:themeFill="background2"/>
          </w:tcPr>
          <w:p w14:paraId="3E6BBCFC" w14:textId="579C5C27" w:rsidR="001F0E28" w:rsidRDefault="001F0E28" w:rsidP="001E607D">
            <w:pPr>
              <w:spacing w:after="120"/>
              <w:jc w:val="both"/>
            </w:pPr>
            <w:proofErr w:type="spellStart"/>
            <w:r>
              <w:t>rsCS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463DF586" w14:textId="5CEB00E1" w:rsidR="001F0E28" w:rsidRDefault="001F0E28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CS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1F0E28" w14:paraId="396EF74D" w14:textId="77777777" w:rsidTr="003175F0">
        <w:tc>
          <w:tcPr>
            <w:tcW w:w="1184" w:type="dxa"/>
            <w:shd w:val="clear" w:color="auto" w:fill="E7E6E6" w:themeFill="background2"/>
          </w:tcPr>
          <w:p w14:paraId="0A2AE4E5" w14:textId="77777777" w:rsidR="001F0E28" w:rsidRDefault="001F0E2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2A9BE362" w14:textId="77777777" w:rsidR="001F0E28" w:rsidRDefault="001F0E28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1F0E28" w14:paraId="0074150E" w14:textId="77777777" w:rsidTr="003175F0">
        <w:tc>
          <w:tcPr>
            <w:tcW w:w="1184" w:type="dxa"/>
            <w:shd w:val="clear" w:color="auto" w:fill="auto"/>
          </w:tcPr>
          <w:p w14:paraId="5C1F306F" w14:textId="1978EC89" w:rsidR="001F0E28" w:rsidRDefault="001F0E28" w:rsidP="001E607D">
            <w:pPr>
              <w:spacing w:after="120"/>
              <w:jc w:val="both"/>
            </w:pPr>
            <w:r>
              <w:t>VD</w:t>
            </w:r>
          </w:p>
        </w:tc>
        <w:tc>
          <w:tcPr>
            <w:tcW w:w="7842" w:type="dxa"/>
            <w:shd w:val="clear" w:color="auto" w:fill="auto"/>
          </w:tcPr>
          <w:p w14:paraId="3391EE6A" w14:textId="2D6A4CE1" w:rsidR="001F0E28" w:rsidRDefault="00E9174F" w:rsidP="001E607D">
            <w:pPr>
              <w:spacing w:after="120"/>
            </w:pPr>
            <w:r w:rsidRPr="00E9174F">
              <w:t>Estimated number of people with heart, stroke</w:t>
            </w:r>
            <w:r>
              <w:t>,</w:t>
            </w:r>
            <w:r w:rsidRPr="00E9174F">
              <w:t xml:space="preserve"> and vascular disease</w:t>
            </w:r>
            <w:r>
              <w:t xml:space="preserve"> (age-standardised rate per 100).</w:t>
            </w:r>
          </w:p>
        </w:tc>
      </w:tr>
      <w:tr w:rsidR="00E9174F" w14:paraId="5EBF7503" w14:textId="77777777" w:rsidTr="003175F0">
        <w:tc>
          <w:tcPr>
            <w:tcW w:w="1184" w:type="dxa"/>
            <w:shd w:val="clear" w:color="auto" w:fill="auto"/>
          </w:tcPr>
          <w:p w14:paraId="6D6AEC31" w14:textId="77777777" w:rsidR="00E9174F" w:rsidRDefault="00E9174F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9F3F309" w14:textId="50C2D874" w:rsidR="00E9174F" w:rsidRDefault="00E9174F" w:rsidP="001E607D">
            <w:pPr>
              <w:spacing w:after="120"/>
            </w:pPr>
            <w:r>
              <w:t>This parameter is shared directly from the Public Health Information Development Unit (PHIDU) Social Health Atlas, specifically from the chronic disease estimates data</w:t>
            </w:r>
            <w:r w:rsidR="00BE46BB">
              <w:t>set</w:t>
            </w:r>
            <w:r>
              <w:t>.</w:t>
            </w:r>
          </w:p>
        </w:tc>
      </w:tr>
      <w:tr w:rsidR="00E9174F" w14:paraId="57CA6ADB" w14:textId="77777777" w:rsidTr="003175F0">
        <w:tc>
          <w:tcPr>
            <w:tcW w:w="1184" w:type="dxa"/>
            <w:shd w:val="clear" w:color="auto" w:fill="E7E6E6" w:themeFill="background2"/>
          </w:tcPr>
          <w:p w14:paraId="714985F6" w14:textId="6962F536" w:rsidR="00E9174F" w:rsidRDefault="00E9174F" w:rsidP="001E607D">
            <w:pPr>
              <w:spacing w:after="120"/>
              <w:jc w:val="both"/>
            </w:pPr>
            <w:proofErr w:type="spellStart"/>
            <w:r>
              <w:t>rsVD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2CA52D5F" w14:textId="4C6F4063" w:rsidR="00E9174F" w:rsidRDefault="00E9174F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VD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9174F" w14:paraId="4831D896" w14:textId="77777777" w:rsidTr="003175F0">
        <w:tc>
          <w:tcPr>
            <w:tcW w:w="11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EA877ED" w14:textId="77777777" w:rsidR="00E9174F" w:rsidRDefault="00E9174F" w:rsidP="001E607D">
            <w:pPr>
              <w:spacing w:after="120"/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00DB051" w14:textId="5E058613" w:rsidR="00E9174F" w:rsidRDefault="00E9174F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</w:tbl>
    <w:p w14:paraId="22007FFD" w14:textId="662C4B2E" w:rsidR="00F02704" w:rsidRDefault="00F02704" w:rsidP="001F0E28">
      <w:pPr>
        <w:pStyle w:val="Heading2"/>
        <w:spacing w:before="120"/>
      </w:pPr>
      <w:r>
        <w:t>Common</w:t>
      </w:r>
    </w:p>
    <w:p w14:paraId="4C4D09FD" w14:textId="364EB693" w:rsidR="00F02704" w:rsidRPr="00F02704" w:rsidRDefault="00F02704" w:rsidP="00A3678F">
      <w:pPr>
        <w:pStyle w:val="Subtitle"/>
      </w:pPr>
      <w:r>
        <w:t xml:space="preserve">Parameters Utilised in Both Climate and Air Quality </w:t>
      </w:r>
      <w:r w:rsidR="00A3678F">
        <w:t>Adaptive Capacity Sub-Indices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84"/>
        <w:gridCol w:w="7842"/>
      </w:tblGrid>
      <w:tr w:rsidR="00260486" w14:paraId="4F7FA138" w14:textId="77777777" w:rsidTr="003175F0">
        <w:tc>
          <w:tcPr>
            <w:tcW w:w="1184" w:type="dxa"/>
            <w:tcBorders>
              <w:top w:val="single" w:sz="4" w:space="0" w:color="auto"/>
              <w:bottom w:val="single" w:sz="4" w:space="0" w:color="auto"/>
            </w:tcBorders>
          </w:tcPr>
          <w:p w14:paraId="7C8D0BAA" w14:textId="77777777" w:rsidR="00260486" w:rsidRPr="008F7908" w:rsidRDefault="00260486" w:rsidP="008F7908">
            <w:pPr>
              <w:rPr>
                <w:b/>
                <w:bCs/>
              </w:rPr>
            </w:pPr>
            <w:r w:rsidRPr="008F7908">
              <w:rPr>
                <w:b/>
                <w:bCs/>
              </w:rPr>
              <w:t>Parameter</w:t>
            </w:r>
          </w:p>
        </w:tc>
        <w:tc>
          <w:tcPr>
            <w:tcW w:w="7842" w:type="dxa"/>
            <w:tcBorders>
              <w:top w:val="single" w:sz="4" w:space="0" w:color="auto"/>
              <w:bottom w:val="single" w:sz="4" w:space="0" w:color="auto"/>
            </w:tcBorders>
          </w:tcPr>
          <w:p w14:paraId="4A057C55" w14:textId="77777777" w:rsidR="00260486" w:rsidRPr="008F7908" w:rsidRDefault="00260486" w:rsidP="008F7908">
            <w:pPr>
              <w:rPr>
                <w:b/>
                <w:bCs/>
              </w:rPr>
            </w:pPr>
            <w:r w:rsidRPr="008F7908">
              <w:rPr>
                <w:b/>
                <w:bCs/>
              </w:rPr>
              <w:t>Description and Derivation</w:t>
            </w:r>
          </w:p>
        </w:tc>
      </w:tr>
      <w:tr w:rsidR="00FF7C07" w14:paraId="167CE537" w14:textId="77777777" w:rsidTr="003175F0">
        <w:tc>
          <w:tcPr>
            <w:tcW w:w="1184" w:type="dxa"/>
            <w:tcBorders>
              <w:top w:val="single" w:sz="4" w:space="0" w:color="auto"/>
            </w:tcBorders>
          </w:tcPr>
          <w:p w14:paraId="6E58C119" w14:textId="01FEAF02" w:rsidR="00FF7C07" w:rsidRDefault="00FF7C07" w:rsidP="001E607D">
            <w:pPr>
              <w:spacing w:after="120"/>
            </w:pPr>
            <w:r>
              <w:t>PD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5DF4E187" w14:textId="7E0BF61D" w:rsidR="00FF7C07" w:rsidRDefault="00AF4448" w:rsidP="001E607D">
            <w:pPr>
              <w:spacing w:after="120"/>
            </w:pPr>
            <w:r>
              <w:t>Population density (population/km</w:t>
            </w:r>
            <w:r>
              <w:rPr>
                <w:vertAlign w:val="superscript"/>
              </w:rPr>
              <w:t>2</w:t>
            </w:r>
            <w:r>
              <w:t>).</w:t>
            </w:r>
          </w:p>
        </w:tc>
      </w:tr>
      <w:tr w:rsidR="00FF7C07" w14:paraId="32C4B954" w14:textId="77777777" w:rsidTr="003175F0">
        <w:tc>
          <w:tcPr>
            <w:tcW w:w="1184" w:type="dxa"/>
          </w:tcPr>
          <w:p w14:paraId="50723B68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</w:tcPr>
          <w:p w14:paraId="495DE91C" w14:textId="3C38E1FB" w:rsidR="00FF7C07" w:rsidRDefault="00FF7C07" w:rsidP="001E607D">
            <w:pPr>
              <w:spacing w:after="120"/>
            </w:pPr>
            <w:r>
              <w:t xml:space="preserve">This parameter is </w:t>
            </w:r>
            <w:r w:rsidR="001F5B3D">
              <w:t>derived</w:t>
            </w:r>
            <w:r>
              <w:t xml:space="preserve"> from t</w:t>
            </w:r>
            <w:r w:rsidR="001F5B3D">
              <w:t>wo</w:t>
            </w:r>
            <w:r>
              <w:t xml:space="preserve"> </w:t>
            </w:r>
            <w:r w:rsidR="001F5B3D">
              <w:t xml:space="preserve">sources of </w:t>
            </w:r>
            <w:r>
              <w:t xml:space="preserve">Australian Bureau of Statistics (ABS) </w:t>
            </w:r>
            <w:r w:rsidR="001F5B3D">
              <w:t>data. Total population counts were attained from the ABS Data by Region catalogue</w:t>
            </w:r>
            <w:r w:rsidR="00522322">
              <w:t xml:space="preserve"> (Population and People dataset)</w:t>
            </w:r>
            <w:r>
              <w:t>,</w:t>
            </w:r>
            <w:r w:rsidR="001F5B3D">
              <w:t xml:space="preserve"> and were divided by region area in kilometres squared, attained</w:t>
            </w:r>
            <w:r>
              <w:t xml:space="preserve"> from</w:t>
            </w:r>
            <w:r w:rsidR="001F5B3D">
              <w:t xml:space="preserve"> ABS ASGS region shapefiles.</w:t>
            </w:r>
          </w:p>
        </w:tc>
      </w:tr>
      <w:tr w:rsidR="00FF7C07" w14:paraId="75DECF2A" w14:textId="77777777" w:rsidTr="003175F0">
        <w:tc>
          <w:tcPr>
            <w:tcW w:w="1184" w:type="dxa"/>
            <w:shd w:val="clear" w:color="auto" w:fill="E7E6E6" w:themeFill="background2"/>
          </w:tcPr>
          <w:p w14:paraId="4006A368" w14:textId="726E2730" w:rsidR="00FF7C07" w:rsidRDefault="00FF7C07" w:rsidP="001E607D">
            <w:pPr>
              <w:spacing w:after="120"/>
            </w:pPr>
            <w:proofErr w:type="spellStart"/>
            <w:r>
              <w:lastRenderedPageBreak/>
              <w:t>rsPD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9B7A917" w14:textId="0B9C23D4" w:rsidR="00FF7C07" w:rsidRDefault="00FF7C07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</w:t>
            </w:r>
            <w:r w:rsidR="001F5B3D">
              <w:t>PD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FF7C07" w14:paraId="296ED280" w14:textId="77777777" w:rsidTr="003175F0">
        <w:tc>
          <w:tcPr>
            <w:tcW w:w="1184" w:type="dxa"/>
            <w:shd w:val="clear" w:color="auto" w:fill="E7E6E6" w:themeFill="background2"/>
          </w:tcPr>
          <w:p w14:paraId="7FBE691A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6D30B8C" w14:textId="2A3473BD" w:rsidR="00FF7C07" w:rsidRDefault="00FF7C07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F7C07" w14:paraId="00E905AF" w14:textId="77777777" w:rsidTr="003175F0">
        <w:tc>
          <w:tcPr>
            <w:tcW w:w="1184" w:type="dxa"/>
            <w:tcBorders>
              <w:top w:val="single" w:sz="4" w:space="0" w:color="auto"/>
            </w:tcBorders>
          </w:tcPr>
          <w:p w14:paraId="4F84854A" w14:textId="3854B5AD" w:rsidR="00FF7C07" w:rsidRDefault="00FF7C07" w:rsidP="001E607D">
            <w:pPr>
              <w:spacing w:after="120"/>
            </w:pPr>
            <w:r>
              <w:t>MI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29FA42FF" w14:textId="5FB5271F" w:rsidR="00FF7C07" w:rsidRDefault="00AF4448" w:rsidP="001E607D">
            <w:pPr>
              <w:spacing w:after="120"/>
            </w:pPr>
            <w:r>
              <w:t xml:space="preserve">Median </w:t>
            </w:r>
            <w:r w:rsidR="001F5B3D">
              <w:t xml:space="preserve">employee </w:t>
            </w:r>
            <w:r>
              <w:t>income ($).</w:t>
            </w:r>
          </w:p>
        </w:tc>
      </w:tr>
      <w:tr w:rsidR="00FF7C07" w14:paraId="7263BE80" w14:textId="77777777" w:rsidTr="003175F0">
        <w:tc>
          <w:tcPr>
            <w:tcW w:w="1184" w:type="dxa"/>
          </w:tcPr>
          <w:p w14:paraId="068BC446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</w:tcPr>
          <w:p w14:paraId="3AF55FAA" w14:textId="0D5F08C8" w:rsidR="00FF7C07" w:rsidRDefault="001F5B3D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Income </w:t>
            </w:r>
            <w:r w:rsidRPr="007C29D9">
              <w:t>dataset.</w:t>
            </w:r>
          </w:p>
        </w:tc>
      </w:tr>
      <w:tr w:rsidR="00FF7C07" w14:paraId="73D0576C" w14:textId="77777777" w:rsidTr="003175F0">
        <w:tc>
          <w:tcPr>
            <w:tcW w:w="1184" w:type="dxa"/>
            <w:shd w:val="clear" w:color="auto" w:fill="E7E6E6" w:themeFill="background2"/>
          </w:tcPr>
          <w:p w14:paraId="779028DC" w14:textId="60DF7A55" w:rsidR="00FF7C07" w:rsidRDefault="00FF7C07" w:rsidP="001E607D">
            <w:pPr>
              <w:spacing w:after="120"/>
            </w:pPr>
            <w:proofErr w:type="spellStart"/>
            <w:r>
              <w:t>rsMI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707C8391" w14:textId="1CCE70C9" w:rsidR="00FF7C07" w:rsidRDefault="00FF7C07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</w:t>
            </w:r>
            <w:r w:rsidR="001F5B3D">
              <w:t>MI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FF7C07" w14:paraId="440215C3" w14:textId="77777777" w:rsidTr="003175F0">
        <w:tc>
          <w:tcPr>
            <w:tcW w:w="1184" w:type="dxa"/>
            <w:shd w:val="clear" w:color="auto" w:fill="E7E6E6" w:themeFill="background2"/>
          </w:tcPr>
          <w:p w14:paraId="1AB6ACEB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6D146F63" w14:textId="77777777" w:rsidR="00FF7C07" w:rsidRDefault="00FF7C07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F7C07" w14:paraId="769D7CEC" w14:textId="77777777" w:rsidTr="003175F0">
        <w:tc>
          <w:tcPr>
            <w:tcW w:w="1184" w:type="dxa"/>
            <w:tcBorders>
              <w:top w:val="single" w:sz="4" w:space="0" w:color="auto"/>
            </w:tcBorders>
          </w:tcPr>
          <w:p w14:paraId="1F09A9CA" w14:textId="4218F3C4" w:rsidR="00FF7C07" w:rsidRDefault="00FF7C07" w:rsidP="001E607D">
            <w:pPr>
              <w:spacing w:after="120"/>
            </w:pPr>
            <w:r>
              <w:t>LI</w:t>
            </w:r>
          </w:p>
        </w:tc>
        <w:tc>
          <w:tcPr>
            <w:tcW w:w="7842" w:type="dxa"/>
            <w:tcBorders>
              <w:top w:val="single" w:sz="4" w:space="0" w:color="auto"/>
            </w:tcBorders>
          </w:tcPr>
          <w:p w14:paraId="50C37CF4" w14:textId="4283F411" w:rsidR="00FF7C07" w:rsidRDefault="001F5B3D" w:rsidP="001E607D">
            <w:pPr>
              <w:spacing w:after="120"/>
            </w:pPr>
            <w:r>
              <w:t xml:space="preserve">Persons earning $1-$499 per week (%). Otherwise referred to as </w:t>
            </w:r>
            <w:r w:rsidR="00B76705">
              <w:t xml:space="preserve">percentage of </w:t>
            </w:r>
            <w:r>
              <w:t xml:space="preserve">low income (LI) </w:t>
            </w:r>
            <w:r w:rsidR="00B76705">
              <w:t>persons</w:t>
            </w:r>
            <w:r>
              <w:t>.</w:t>
            </w:r>
          </w:p>
        </w:tc>
      </w:tr>
      <w:tr w:rsidR="00FF7C07" w14:paraId="32D49571" w14:textId="77777777" w:rsidTr="003175F0">
        <w:tc>
          <w:tcPr>
            <w:tcW w:w="1184" w:type="dxa"/>
          </w:tcPr>
          <w:p w14:paraId="12CE533D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</w:tcPr>
          <w:p w14:paraId="105BF50C" w14:textId="14E5806F" w:rsidR="00FF7C07" w:rsidRDefault="001F5B3D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Income </w:t>
            </w:r>
            <w:r w:rsidRPr="007C29D9">
              <w:t>dataset.</w:t>
            </w:r>
          </w:p>
        </w:tc>
      </w:tr>
      <w:tr w:rsidR="00FF7C07" w14:paraId="1C57178B" w14:textId="77777777" w:rsidTr="003175F0">
        <w:tc>
          <w:tcPr>
            <w:tcW w:w="1184" w:type="dxa"/>
            <w:shd w:val="clear" w:color="auto" w:fill="E7E6E6" w:themeFill="background2"/>
          </w:tcPr>
          <w:p w14:paraId="2075DFDA" w14:textId="5FD3EDBB" w:rsidR="00FF7C07" w:rsidRDefault="00FF7C07" w:rsidP="001E607D">
            <w:pPr>
              <w:spacing w:after="120"/>
            </w:pPr>
            <w:proofErr w:type="spellStart"/>
            <w:r>
              <w:t>rsLI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651972D4" w14:textId="166671D3" w:rsidR="00FF7C07" w:rsidRDefault="00FF7C07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</w:t>
            </w:r>
            <w:r w:rsidR="001F5B3D">
              <w:t>LI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FF7C07" w14:paraId="79B9E79E" w14:textId="77777777" w:rsidTr="003175F0">
        <w:tc>
          <w:tcPr>
            <w:tcW w:w="1184" w:type="dxa"/>
            <w:shd w:val="clear" w:color="auto" w:fill="E7E6E6" w:themeFill="background2"/>
          </w:tcPr>
          <w:p w14:paraId="542EF1E2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28024265" w14:textId="77777777" w:rsidR="00FF7C07" w:rsidRDefault="00FF7C07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F7C07" w14:paraId="407863F2" w14:textId="77777777" w:rsidTr="003175F0">
        <w:tc>
          <w:tcPr>
            <w:tcW w:w="1184" w:type="dxa"/>
            <w:shd w:val="clear" w:color="auto" w:fill="auto"/>
          </w:tcPr>
          <w:p w14:paraId="67A514A6" w14:textId="237E9B31" w:rsidR="00FF7C07" w:rsidRDefault="00FF7C07" w:rsidP="001E607D">
            <w:pPr>
              <w:spacing w:after="120"/>
              <w:jc w:val="both"/>
            </w:pPr>
            <w:r>
              <w:t>HS</w:t>
            </w:r>
          </w:p>
        </w:tc>
        <w:tc>
          <w:tcPr>
            <w:tcW w:w="7842" w:type="dxa"/>
            <w:shd w:val="clear" w:color="auto" w:fill="auto"/>
          </w:tcPr>
          <w:p w14:paraId="43161034" w14:textId="0F5060D4" w:rsidR="00FF7C07" w:rsidRDefault="00B76705" w:rsidP="001E607D">
            <w:pPr>
              <w:spacing w:after="120"/>
            </w:pPr>
            <w:r>
              <w:t>Completed year 12 o</w:t>
            </w:r>
            <w:r w:rsidR="00EA441F">
              <w:t>r</w:t>
            </w:r>
            <w:r>
              <w:t xml:space="preserve"> equivalent (%). Otherwise referred to as percentage of persons who have completed high school (HS).</w:t>
            </w:r>
          </w:p>
        </w:tc>
      </w:tr>
      <w:tr w:rsidR="00FF7C07" w14:paraId="333F1A02" w14:textId="77777777" w:rsidTr="003175F0">
        <w:tc>
          <w:tcPr>
            <w:tcW w:w="1184" w:type="dxa"/>
            <w:shd w:val="clear" w:color="auto" w:fill="auto"/>
          </w:tcPr>
          <w:p w14:paraId="3088B65B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07C88912" w14:textId="09CB115A" w:rsidR="00FF7C07" w:rsidRDefault="00B76705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Education and Employment </w:t>
            </w:r>
            <w:r w:rsidRPr="007C29D9">
              <w:t>dataset.</w:t>
            </w:r>
          </w:p>
        </w:tc>
      </w:tr>
      <w:tr w:rsidR="00B76705" w14:paraId="53BBA455" w14:textId="77777777" w:rsidTr="003175F0">
        <w:tc>
          <w:tcPr>
            <w:tcW w:w="1184" w:type="dxa"/>
            <w:shd w:val="clear" w:color="auto" w:fill="E7E6E6" w:themeFill="background2"/>
          </w:tcPr>
          <w:p w14:paraId="4EBBD6ED" w14:textId="4D6D3BE9" w:rsidR="00B76705" w:rsidRDefault="00B76705" w:rsidP="001E607D">
            <w:pPr>
              <w:spacing w:after="120"/>
              <w:jc w:val="both"/>
            </w:pPr>
            <w:proofErr w:type="spellStart"/>
            <w:r>
              <w:t>rsHS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17312741" w14:textId="3531E881" w:rsidR="00B76705" w:rsidRDefault="00B76705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HS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76705" w14:paraId="3F867945" w14:textId="77777777" w:rsidTr="003175F0">
        <w:tc>
          <w:tcPr>
            <w:tcW w:w="1184" w:type="dxa"/>
            <w:shd w:val="clear" w:color="auto" w:fill="E7E6E6" w:themeFill="background2"/>
          </w:tcPr>
          <w:p w14:paraId="54E48EB5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5F439A62" w14:textId="34EE8554" w:rsidR="00B76705" w:rsidRDefault="00B7670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FF7C07" w14:paraId="773F9C76" w14:textId="77777777" w:rsidTr="003175F0">
        <w:tc>
          <w:tcPr>
            <w:tcW w:w="1184" w:type="dxa"/>
            <w:shd w:val="clear" w:color="auto" w:fill="auto"/>
          </w:tcPr>
          <w:p w14:paraId="1FDD761A" w14:textId="0506C331" w:rsidR="00FF7C07" w:rsidRDefault="00FF7C07" w:rsidP="001E607D">
            <w:pPr>
              <w:spacing w:after="120"/>
              <w:jc w:val="both"/>
            </w:pPr>
            <w:r>
              <w:t>UR</w:t>
            </w:r>
          </w:p>
        </w:tc>
        <w:tc>
          <w:tcPr>
            <w:tcW w:w="7842" w:type="dxa"/>
            <w:shd w:val="clear" w:color="auto" w:fill="auto"/>
          </w:tcPr>
          <w:p w14:paraId="0E0880BD" w14:textId="1C78878E" w:rsidR="00FF7C07" w:rsidRDefault="00B76705" w:rsidP="001E607D">
            <w:pPr>
              <w:spacing w:after="120"/>
            </w:pPr>
            <w:r>
              <w:t>Unemployment rate (%).</w:t>
            </w:r>
          </w:p>
        </w:tc>
      </w:tr>
      <w:tr w:rsidR="00FF7C07" w14:paraId="58E20DD0" w14:textId="77777777" w:rsidTr="003175F0">
        <w:tc>
          <w:tcPr>
            <w:tcW w:w="1184" w:type="dxa"/>
            <w:shd w:val="clear" w:color="auto" w:fill="auto"/>
          </w:tcPr>
          <w:p w14:paraId="46C89F08" w14:textId="77777777" w:rsidR="00FF7C07" w:rsidRDefault="00FF7C07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989DCA3" w14:textId="14A81AF0" w:rsidR="00FF7C07" w:rsidRDefault="00B76705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Education and Employment </w:t>
            </w:r>
            <w:r w:rsidRPr="007C29D9">
              <w:t>dataset.</w:t>
            </w:r>
          </w:p>
        </w:tc>
      </w:tr>
      <w:tr w:rsidR="00B76705" w14:paraId="067ED3B2" w14:textId="77777777" w:rsidTr="003175F0">
        <w:tc>
          <w:tcPr>
            <w:tcW w:w="1184" w:type="dxa"/>
            <w:shd w:val="clear" w:color="auto" w:fill="E7E6E6" w:themeFill="background2"/>
          </w:tcPr>
          <w:p w14:paraId="7461C575" w14:textId="29790C13" w:rsidR="00B76705" w:rsidRDefault="00B76705" w:rsidP="001E607D">
            <w:pPr>
              <w:spacing w:after="120"/>
              <w:jc w:val="both"/>
            </w:pPr>
            <w:proofErr w:type="spellStart"/>
            <w:r>
              <w:t>rsUR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65E11210" w14:textId="4FE16383" w:rsidR="00B76705" w:rsidRDefault="00B76705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UR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76705" w14:paraId="4879E13A" w14:textId="77777777" w:rsidTr="003175F0">
        <w:tc>
          <w:tcPr>
            <w:tcW w:w="1184" w:type="dxa"/>
            <w:shd w:val="clear" w:color="auto" w:fill="E7E6E6" w:themeFill="background2"/>
          </w:tcPr>
          <w:p w14:paraId="2943EE52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2E1A77FD" w14:textId="60866642" w:rsidR="00B76705" w:rsidRDefault="00B7670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76705" w14:paraId="6E8EE90E" w14:textId="77777777" w:rsidTr="003175F0">
        <w:tc>
          <w:tcPr>
            <w:tcW w:w="1184" w:type="dxa"/>
            <w:shd w:val="clear" w:color="auto" w:fill="auto"/>
          </w:tcPr>
          <w:p w14:paraId="08D65D5A" w14:textId="5B5C71B5" w:rsidR="00B76705" w:rsidRDefault="00B76705" w:rsidP="001E607D">
            <w:pPr>
              <w:spacing w:after="120"/>
              <w:jc w:val="both"/>
            </w:pPr>
            <w:r>
              <w:t>ELD</w:t>
            </w:r>
          </w:p>
        </w:tc>
        <w:tc>
          <w:tcPr>
            <w:tcW w:w="7842" w:type="dxa"/>
            <w:shd w:val="clear" w:color="auto" w:fill="auto"/>
          </w:tcPr>
          <w:p w14:paraId="22C805B0" w14:textId="2279DFEB" w:rsidR="00B76705" w:rsidRDefault="00522322" w:rsidP="001E607D">
            <w:pPr>
              <w:spacing w:after="120"/>
            </w:pPr>
            <w:r>
              <w:t>Persons 65+ years old (%).</w:t>
            </w:r>
          </w:p>
        </w:tc>
      </w:tr>
      <w:tr w:rsidR="00B76705" w14:paraId="65FCDBE6" w14:textId="77777777" w:rsidTr="003175F0">
        <w:tc>
          <w:tcPr>
            <w:tcW w:w="1184" w:type="dxa"/>
            <w:shd w:val="clear" w:color="auto" w:fill="auto"/>
          </w:tcPr>
          <w:p w14:paraId="691D7558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A2B9B98" w14:textId="071E2ADA" w:rsidR="00B76705" w:rsidRDefault="00522322" w:rsidP="001E607D">
            <w:pPr>
              <w:spacing w:after="120"/>
            </w:pPr>
            <w:r w:rsidRPr="007C29D9">
              <w:t xml:space="preserve">This parameter is </w:t>
            </w:r>
            <w:r>
              <w:t>derived</w:t>
            </w:r>
            <w:r w:rsidRPr="007C29D9">
              <w:t xml:space="preserve"> from the Australian Bureau of Statistics (ABS) Data by Region Catalogue. Specifically, this parameter </w:t>
            </w:r>
            <w:r>
              <w:t xml:space="preserve">is the sum of the “Persons 65-69 (%)”, through to the “Persons 85 and over (%)” parameters in the Population and People </w:t>
            </w:r>
            <w:r w:rsidRPr="007C29D9">
              <w:t>dataset.</w:t>
            </w:r>
          </w:p>
        </w:tc>
      </w:tr>
      <w:tr w:rsidR="00B76705" w14:paraId="330EA183" w14:textId="77777777" w:rsidTr="003175F0">
        <w:tc>
          <w:tcPr>
            <w:tcW w:w="1184" w:type="dxa"/>
            <w:shd w:val="clear" w:color="auto" w:fill="E7E6E6" w:themeFill="background2"/>
          </w:tcPr>
          <w:p w14:paraId="6324630C" w14:textId="1459BC61" w:rsidR="00B76705" w:rsidRDefault="00B76705" w:rsidP="001E607D">
            <w:pPr>
              <w:spacing w:after="120"/>
              <w:jc w:val="both"/>
            </w:pPr>
            <w:proofErr w:type="spellStart"/>
            <w:r>
              <w:t>rsELD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5F8C0F1" w14:textId="3B18D11E" w:rsidR="00B76705" w:rsidRDefault="00B76705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ELD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76705" w14:paraId="7C15CC00" w14:textId="77777777" w:rsidTr="003175F0">
        <w:tc>
          <w:tcPr>
            <w:tcW w:w="1184" w:type="dxa"/>
            <w:shd w:val="clear" w:color="auto" w:fill="E7E6E6" w:themeFill="background2"/>
          </w:tcPr>
          <w:p w14:paraId="5E386377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344CA9AB" w14:textId="66C93D4C" w:rsidR="00B76705" w:rsidRDefault="00B7670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76705" w14:paraId="7A0655DA" w14:textId="77777777" w:rsidTr="003175F0">
        <w:tc>
          <w:tcPr>
            <w:tcW w:w="1184" w:type="dxa"/>
            <w:shd w:val="clear" w:color="auto" w:fill="auto"/>
          </w:tcPr>
          <w:p w14:paraId="7DB13A0E" w14:textId="22EF31BA" w:rsidR="00B76705" w:rsidRDefault="00B76705" w:rsidP="001E607D">
            <w:pPr>
              <w:spacing w:after="120"/>
              <w:jc w:val="both"/>
            </w:pPr>
            <w:r>
              <w:lastRenderedPageBreak/>
              <w:t>INF</w:t>
            </w:r>
          </w:p>
        </w:tc>
        <w:tc>
          <w:tcPr>
            <w:tcW w:w="7842" w:type="dxa"/>
            <w:shd w:val="clear" w:color="auto" w:fill="auto"/>
          </w:tcPr>
          <w:p w14:paraId="130D230D" w14:textId="2690F7A9" w:rsidR="00B76705" w:rsidRDefault="00522322" w:rsidP="001E607D">
            <w:pPr>
              <w:spacing w:after="120"/>
            </w:pPr>
            <w:r>
              <w:t>Persons 0-4 years old (%).</w:t>
            </w:r>
          </w:p>
        </w:tc>
      </w:tr>
      <w:tr w:rsidR="00B76705" w14:paraId="39C75CAC" w14:textId="77777777" w:rsidTr="003175F0">
        <w:tc>
          <w:tcPr>
            <w:tcW w:w="1184" w:type="dxa"/>
            <w:shd w:val="clear" w:color="auto" w:fill="auto"/>
          </w:tcPr>
          <w:p w14:paraId="63D2E72A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CFB2501" w14:textId="3435FE54" w:rsidR="00B76705" w:rsidRDefault="00522322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Population and People </w:t>
            </w:r>
            <w:r w:rsidRPr="007C29D9">
              <w:t>dataset.</w:t>
            </w:r>
          </w:p>
        </w:tc>
      </w:tr>
      <w:tr w:rsidR="00B76705" w14:paraId="6F432FFC" w14:textId="77777777" w:rsidTr="003175F0">
        <w:tc>
          <w:tcPr>
            <w:tcW w:w="1184" w:type="dxa"/>
            <w:shd w:val="clear" w:color="auto" w:fill="E7E6E6" w:themeFill="background2"/>
          </w:tcPr>
          <w:p w14:paraId="712BB033" w14:textId="4AD97150" w:rsidR="00B76705" w:rsidRDefault="00B76705" w:rsidP="001E607D">
            <w:pPr>
              <w:spacing w:after="120"/>
              <w:jc w:val="both"/>
            </w:pPr>
            <w:proofErr w:type="spellStart"/>
            <w:r>
              <w:t>rsINF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34139B8D" w14:textId="7D8917CC" w:rsidR="00B76705" w:rsidRDefault="00B76705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INF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76705" w14:paraId="0845909A" w14:textId="77777777" w:rsidTr="003175F0">
        <w:tc>
          <w:tcPr>
            <w:tcW w:w="1184" w:type="dxa"/>
            <w:shd w:val="clear" w:color="auto" w:fill="E7E6E6" w:themeFill="background2"/>
          </w:tcPr>
          <w:p w14:paraId="26A27375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1342393" w14:textId="707CFB61" w:rsidR="00B76705" w:rsidRDefault="00B7670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76705" w14:paraId="297CA88A" w14:textId="77777777" w:rsidTr="003175F0">
        <w:tc>
          <w:tcPr>
            <w:tcW w:w="1184" w:type="dxa"/>
            <w:shd w:val="clear" w:color="auto" w:fill="auto"/>
          </w:tcPr>
          <w:p w14:paraId="3448B9F8" w14:textId="658956DF" w:rsidR="00B76705" w:rsidRDefault="00B76705" w:rsidP="001E607D">
            <w:pPr>
              <w:spacing w:after="120"/>
              <w:jc w:val="both"/>
            </w:pPr>
            <w:r>
              <w:t>SP</w:t>
            </w:r>
          </w:p>
        </w:tc>
        <w:tc>
          <w:tcPr>
            <w:tcW w:w="7842" w:type="dxa"/>
            <w:shd w:val="clear" w:color="auto" w:fill="auto"/>
          </w:tcPr>
          <w:p w14:paraId="65131E42" w14:textId="1B8C89DC" w:rsidR="00B76705" w:rsidRDefault="00EB7806" w:rsidP="001E607D">
            <w:pPr>
              <w:spacing w:after="120"/>
            </w:pPr>
            <w:r>
              <w:t xml:space="preserve">One parent </w:t>
            </w:r>
            <w:proofErr w:type="gramStart"/>
            <w:r>
              <w:t>families</w:t>
            </w:r>
            <w:proofErr w:type="gramEnd"/>
            <w:r>
              <w:t xml:space="preserve"> with children under 15 and/or dependent students (%).</w:t>
            </w:r>
          </w:p>
        </w:tc>
      </w:tr>
      <w:tr w:rsidR="00B76705" w14:paraId="7F32A3C3" w14:textId="77777777" w:rsidTr="003175F0">
        <w:tc>
          <w:tcPr>
            <w:tcW w:w="1184" w:type="dxa"/>
            <w:shd w:val="clear" w:color="auto" w:fill="auto"/>
          </w:tcPr>
          <w:p w14:paraId="53025A47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C4E3421" w14:textId="25F82535" w:rsidR="00B76705" w:rsidRDefault="00EB7806" w:rsidP="001E607D">
            <w:pPr>
              <w:spacing w:after="120"/>
            </w:pPr>
            <w:r w:rsidRPr="007C29D9">
              <w:t xml:space="preserve">This parameter is </w:t>
            </w:r>
            <w:r>
              <w:t>derived</w:t>
            </w:r>
            <w:r w:rsidRPr="007C29D9">
              <w:t xml:space="preserve"> from the Australian Bureau of Statistics (ABS) Data by Region Catalogue. Specifically, this parameter </w:t>
            </w:r>
            <w:r>
              <w:t xml:space="preserve">is the “One parent </w:t>
            </w:r>
            <w:proofErr w:type="gramStart"/>
            <w:r>
              <w:t>families</w:t>
            </w:r>
            <w:proofErr w:type="gramEnd"/>
            <w:r>
              <w:t xml:space="preserve"> with children under 15 and/or dependent students (no.)” parameter divided by the “Total families (no.)” parameter, both</w:t>
            </w:r>
            <w:r w:rsidRPr="007C29D9">
              <w:t xml:space="preserve"> from the </w:t>
            </w:r>
            <w:r>
              <w:t xml:space="preserve">Population and People </w:t>
            </w:r>
            <w:r w:rsidRPr="007C29D9">
              <w:t>dataset.</w:t>
            </w:r>
          </w:p>
        </w:tc>
      </w:tr>
      <w:tr w:rsidR="00B76705" w14:paraId="16C2DFDD" w14:textId="77777777" w:rsidTr="003175F0">
        <w:tc>
          <w:tcPr>
            <w:tcW w:w="1184" w:type="dxa"/>
            <w:shd w:val="clear" w:color="auto" w:fill="E7E6E6" w:themeFill="background2"/>
          </w:tcPr>
          <w:p w14:paraId="7093019F" w14:textId="6426C194" w:rsidR="00B76705" w:rsidRDefault="00B76705" w:rsidP="001E607D">
            <w:pPr>
              <w:spacing w:after="120"/>
              <w:jc w:val="both"/>
            </w:pPr>
            <w:proofErr w:type="spellStart"/>
            <w:r>
              <w:t>rsSP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2B221AE" w14:textId="6B92547B" w:rsidR="00B76705" w:rsidRDefault="00B76705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SP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76705" w14:paraId="7C962BB8" w14:textId="77777777" w:rsidTr="003175F0">
        <w:tc>
          <w:tcPr>
            <w:tcW w:w="1184" w:type="dxa"/>
            <w:shd w:val="clear" w:color="auto" w:fill="E7E6E6" w:themeFill="background2"/>
          </w:tcPr>
          <w:p w14:paraId="3E45AFD3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12770F64" w14:textId="1BA79515" w:rsidR="00B76705" w:rsidRDefault="00B7670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76705" w14:paraId="7F1E98F5" w14:textId="77777777" w:rsidTr="003175F0">
        <w:tc>
          <w:tcPr>
            <w:tcW w:w="1184" w:type="dxa"/>
            <w:shd w:val="clear" w:color="auto" w:fill="auto"/>
          </w:tcPr>
          <w:p w14:paraId="1C3503E5" w14:textId="6CF3C4E0" w:rsidR="00B76705" w:rsidRDefault="00B76705" w:rsidP="001E607D">
            <w:pPr>
              <w:spacing w:after="120"/>
              <w:jc w:val="both"/>
            </w:pPr>
            <w:r>
              <w:t>UC</w:t>
            </w:r>
          </w:p>
        </w:tc>
        <w:tc>
          <w:tcPr>
            <w:tcW w:w="7842" w:type="dxa"/>
            <w:shd w:val="clear" w:color="auto" w:fill="auto"/>
          </w:tcPr>
          <w:p w14:paraId="38E332BF" w14:textId="4F81116E" w:rsidR="00B76705" w:rsidRDefault="00EB7806" w:rsidP="001E607D">
            <w:pPr>
              <w:spacing w:after="120"/>
            </w:pPr>
            <w:r>
              <w:t>Unpaid childcare (%).</w:t>
            </w:r>
          </w:p>
        </w:tc>
      </w:tr>
      <w:tr w:rsidR="00B76705" w14:paraId="7DE18023" w14:textId="77777777" w:rsidTr="003175F0">
        <w:tc>
          <w:tcPr>
            <w:tcW w:w="1184" w:type="dxa"/>
            <w:shd w:val="clear" w:color="auto" w:fill="auto"/>
          </w:tcPr>
          <w:p w14:paraId="37F4836E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A62DDBD" w14:textId="7485D8C6" w:rsidR="00B76705" w:rsidRDefault="00EB7806" w:rsidP="001E607D">
            <w:pPr>
              <w:spacing w:after="120"/>
            </w:pPr>
            <w:r w:rsidRPr="007C29D9">
              <w:t xml:space="preserve">This parameter is </w:t>
            </w:r>
            <w:r>
              <w:t>derived</w:t>
            </w:r>
            <w:r w:rsidRPr="007C29D9">
              <w:t xml:space="preserve"> from the Australian Bureau of Statistics (ABS) Data by Region Catalogue. Specifically,</w:t>
            </w:r>
            <w:r>
              <w:t xml:space="preserve"> this parameter is the sum of the “Persons who care for own child/children (%)”, “Persons who cared for other child/children (%)”, and “Persons who care</w:t>
            </w:r>
            <w:r w:rsidR="00EA441F">
              <w:t>d</w:t>
            </w:r>
            <w:r>
              <w:t xml:space="preserve"> for own child/children and other child/children (%)” parameters, all from the Family and Community dataset.</w:t>
            </w:r>
          </w:p>
        </w:tc>
      </w:tr>
      <w:tr w:rsidR="00B76705" w14:paraId="674F2944" w14:textId="77777777" w:rsidTr="003175F0">
        <w:tc>
          <w:tcPr>
            <w:tcW w:w="1184" w:type="dxa"/>
            <w:shd w:val="clear" w:color="auto" w:fill="E7E6E6" w:themeFill="background2"/>
          </w:tcPr>
          <w:p w14:paraId="11716D7E" w14:textId="616CF086" w:rsidR="00B76705" w:rsidRDefault="00B76705" w:rsidP="001E607D">
            <w:pPr>
              <w:spacing w:after="120"/>
              <w:jc w:val="both"/>
            </w:pPr>
            <w:proofErr w:type="spellStart"/>
            <w:r>
              <w:t>rsUC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47822841" w14:textId="054ACF0E" w:rsidR="00B76705" w:rsidRDefault="00B76705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UC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76705" w14:paraId="0F0A5C86" w14:textId="77777777" w:rsidTr="003175F0">
        <w:tc>
          <w:tcPr>
            <w:tcW w:w="1184" w:type="dxa"/>
            <w:shd w:val="clear" w:color="auto" w:fill="E7E6E6" w:themeFill="background2"/>
          </w:tcPr>
          <w:p w14:paraId="69638E9D" w14:textId="77777777" w:rsidR="00B76705" w:rsidRDefault="00B76705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2B62F980" w14:textId="165F0A22" w:rsidR="00B76705" w:rsidRDefault="00B76705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76705" w14:paraId="54406A9E" w14:textId="77777777" w:rsidTr="003175F0">
        <w:tc>
          <w:tcPr>
            <w:tcW w:w="1184" w:type="dxa"/>
            <w:shd w:val="clear" w:color="auto" w:fill="auto"/>
          </w:tcPr>
          <w:p w14:paraId="4BC09CF1" w14:textId="7A875152" w:rsidR="00B76705" w:rsidRDefault="00B76705" w:rsidP="001E607D">
            <w:pPr>
              <w:spacing w:after="120"/>
              <w:jc w:val="both"/>
            </w:pPr>
            <w:r>
              <w:t>ASS</w:t>
            </w:r>
          </w:p>
        </w:tc>
        <w:tc>
          <w:tcPr>
            <w:tcW w:w="7842" w:type="dxa"/>
            <w:shd w:val="clear" w:color="auto" w:fill="auto"/>
          </w:tcPr>
          <w:p w14:paraId="3751B2AD" w14:textId="5CC8AB96" w:rsidR="00EB7806" w:rsidRDefault="00EB7806" w:rsidP="001E607D">
            <w:pPr>
              <w:spacing w:after="120"/>
            </w:pPr>
            <w:r>
              <w:t>Persons who have need for assistance with core activities (%).</w:t>
            </w:r>
          </w:p>
        </w:tc>
      </w:tr>
      <w:tr w:rsidR="00EB7806" w14:paraId="5168A793" w14:textId="77777777" w:rsidTr="003175F0">
        <w:tc>
          <w:tcPr>
            <w:tcW w:w="1184" w:type="dxa"/>
            <w:shd w:val="clear" w:color="auto" w:fill="auto"/>
          </w:tcPr>
          <w:p w14:paraId="79DA36F0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437A99BC" w14:textId="3E4A5172" w:rsidR="00EB7806" w:rsidRDefault="00EB7806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Health and Disability </w:t>
            </w:r>
            <w:r w:rsidRPr="007C29D9">
              <w:t>dataset.</w:t>
            </w:r>
          </w:p>
        </w:tc>
      </w:tr>
      <w:tr w:rsidR="00EB7806" w14:paraId="00D760E3" w14:textId="77777777" w:rsidTr="003175F0">
        <w:tc>
          <w:tcPr>
            <w:tcW w:w="1184" w:type="dxa"/>
            <w:shd w:val="clear" w:color="auto" w:fill="E7E6E6" w:themeFill="background2"/>
          </w:tcPr>
          <w:p w14:paraId="3EA60A40" w14:textId="23480A25" w:rsidR="00EB7806" w:rsidRDefault="00EB7806" w:rsidP="001E607D">
            <w:pPr>
              <w:spacing w:after="120"/>
              <w:jc w:val="both"/>
            </w:pPr>
            <w:proofErr w:type="spellStart"/>
            <w:r>
              <w:t>rsASS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2E4066E" w14:textId="701CDF54" w:rsidR="00EB7806" w:rsidRDefault="00EB7806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ASS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B7806" w14:paraId="1FC703BC" w14:textId="77777777" w:rsidTr="003175F0">
        <w:tc>
          <w:tcPr>
            <w:tcW w:w="1184" w:type="dxa"/>
            <w:shd w:val="clear" w:color="auto" w:fill="E7E6E6" w:themeFill="background2"/>
          </w:tcPr>
          <w:p w14:paraId="4B3E5765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31AB9D87" w14:textId="7118E8F0" w:rsidR="00EB7806" w:rsidRDefault="00EB7806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B7806" w14:paraId="6D9FF6EF" w14:textId="77777777" w:rsidTr="003175F0">
        <w:tc>
          <w:tcPr>
            <w:tcW w:w="1184" w:type="dxa"/>
            <w:shd w:val="clear" w:color="auto" w:fill="auto"/>
          </w:tcPr>
          <w:p w14:paraId="02D474DE" w14:textId="7FB9E03F" w:rsidR="00EB7806" w:rsidRDefault="00EB7806" w:rsidP="001E607D">
            <w:pPr>
              <w:spacing w:after="120"/>
              <w:jc w:val="both"/>
            </w:pPr>
            <w:r>
              <w:t>WD</w:t>
            </w:r>
          </w:p>
        </w:tc>
        <w:tc>
          <w:tcPr>
            <w:tcW w:w="7842" w:type="dxa"/>
            <w:shd w:val="clear" w:color="auto" w:fill="auto"/>
          </w:tcPr>
          <w:p w14:paraId="2B9426C4" w14:textId="2D72AED2" w:rsidR="00EB7806" w:rsidRDefault="00EB7806" w:rsidP="001E607D">
            <w:pPr>
              <w:spacing w:after="120"/>
            </w:pPr>
            <w:r>
              <w:t>Persons with a disability (%).</w:t>
            </w:r>
          </w:p>
        </w:tc>
      </w:tr>
      <w:tr w:rsidR="00EB7806" w14:paraId="3CB98A7F" w14:textId="77777777" w:rsidTr="003175F0">
        <w:tc>
          <w:tcPr>
            <w:tcW w:w="1184" w:type="dxa"/>
            <w:shd w:val="clear" w:color="auto" w:fill="auto"/>
          </w:tcPr>
          <w:p w14:paraId="42BE57E1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B3E3665" w14:textId="39F20A7F" w:rsidR="00EB7806" w:rsidRDefault="00EB7806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Health and Disability </w:t>
            </w:r>
            <w:r w:rsidRPr="007C29D9">
              <w:t>dataset.</w:t>
            </w:r>
          </w:p>
        </w:tc>
      </w:tr>
      <w:tr w:rsidR="00EB7806" w14:paraId="279BFAF9" w14:textId="77777777" w:rsidTr="003175F0">
        <w:tc>
          <w:tcPr>
            <w:tcW w:w="1184" w:type="dxa"/>
            <w:shd w:val="clear" w:color="auto" w:fill="E7E6E6" w:themeFill="background2"/>
          </w:tcPr>
          <w:p w14:paraId="115A96F1" w14:textId="17C7F218" w:rsidR="00EB7806" w:rsidRDefault="00EB7806" w:rsidP="001E607D">
            <w:pPr>
              <w:spacing w:after="120"/>
              <w:jc w:val="both"/>
            </w:pPr>
            <w:proofErr w:type="spellStart"/>
            <w:r>
              <w:t>rsWD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B5D5BEA" w14:textId="3D7AB64A" w:rsidR="00EB7806" w:rsidRDefault="00EB7806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WD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B7806" w14:paraId="5117F879" w14:textId="77777777" w:rsidTr="003175F0">
        <w:tc>
          <w:tcPr>
            <w:tcW w:w="1184" w:type="dxa"/>
            <w:shd w:val="clear" w:color="auto" w:fill="E7E6E6" w:themeFill="background2"/>
          </w:tcPr>
          <w:p w14:paraId="3C2678ED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2AF9ED79" w14:textId="641952A4" w:rsidR="00EB7806" w:rsidRDefault="00EB7806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B7806" w14:paraId="466049CB" w14:textId="77777777" w:rsidTr="003175F0">
        <w:tc>
          <w:tcPr>
            <w:tcW w:w="1184" w:type="dxa"/>
            <w:shd w:val="clear" w:color="auto" w:fill="auto"/>
          </w:tcPr>
          <w:p w14:paraId="186816CA" w14:textId="35E2EBD3" w:rsidR="00EB7806" w:rsidRDefault="00EB7806" w:rsidP="001E607D">
            <w:pPr>
              <w:spacing w:after="120"/>
              <w:jc w:val="both"/>
            </w:pPr>
            <w:r>
              <w:t>LA</w:t>
            </w:r>
          </w:p>
        </w:tc>
        <w:tc>
          <w:tcPr>
            <w:tcW w:w="7842" w:type="dxa"/>
            <w:shd w:val="clear" w:color="auto" w:fill="auto"/>
          </w:tcPr>
          <w:p w14:paraId="6C3EF595" w14:textId="715FB4CF" w:rsidR="00EB7806" w:rsidRDefault="00EB7806" w:rsidP="001E607D">
            <w:pPr>
              <w:spacing w:after="120"/>
            </w:pPr>
            <w:r>
              <w:t>Lone person households (%).</w:t>
            </w:r>
            <w:r w:rsidR="00700592">
              <w:t xml:space="preserve"> Otherwise referred to as percentage of people living alone (LA).</w:t>
            </w:r>
          </w:p>
        </w:tc>
      </w:tr>
      <w:tr w:rsidR="00EB7806" w14:paraId="3D5F085C" w14:textId="77777777" w:rsidTr="003175F0">
        <w:tc>
          <w:tcPr>
            <w:tcW w:w="1184" w:type="dxa"/>
            <w:shd w:val="clear" w:color="auto" w:fill="auto"/>
          </w:tcPr>
          <w:p w14:paraId="747EE13D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4293DBAB" w14:textId="6E13C2E7" w:rsidR="00EB7806" w:rsidRDefault="00EB7806" w:rsidP="001E607D">
            <w:pPr>
              <w:spacing w:after="120"/>
            </w:pPr>
            <w:r w:rsidRPr="007C29D9">
              <w:t xml:space="preserve">This parameter is </w:t>
            </w:r>
            <w:r>
              <w:t>derived</w:t>
            </w:r>
            <w:r w:rsidRPr="007C29D9">
              <w:t xml:space="preserve"> from the Australian Bureau of Statistics (ABS) Data by Region Catalogue. Specifically, this parameter </w:t>
            </w:r>
            <w:r>
              <w:t xml:space="preserve">is the “Lone person households (no.)” </w:t>
            </w:r>
            <w:r>
              <w:lastRenderedPageBreak/>
              <w:t>parameter divided by the “Total households (no.)” parameter, both</w:t>
            </w:r>
            <w:r w:rsidRPr="007C29D9">
              <w:t xml:space="preserve"> from the </w:t>
            </w:r>
            <w:r>
              <w:t xml:space="preserve">Family and Community </w:t>
            </w:r>
            <w:r w:rsidRPr="007C29D9">
              <w:t>dataset.</w:t>
            </w:r>
          </w:p>
        </w:tc>
      </w:tr>
      <w:tr w:rsidR="00EB7806" w14:paraId="61059760" w14:textId="77777777" w:rsidTr="003175F0">
        <w:tc>
          <w:tcPr>
            <w:tcW w:w="1184" w:type="dxa"/>
            <w:shd w:val="clear" w:color="auto" w:fill="E7E6E6" w:themeFill="background2"/>
          </w:tcPr>
          <w:p w14:paraId="77942855" w14:textId="44E4E5E4" w:rsidR="00EB7806" w:rsidRDefault="00EB7806" w:rsidP="001E607D">
            <w:pPr>
              <w:spacing w:after="120"/>
              <w:jc w:val="both"/>
            </w:pPr>
            <w:proofErr w:type="spellStart"/>
            <w:r>
              <w:lastRenderedPageBreak/>
              <w:t>rsLA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9DC3C65" w14:textId="6CDF5544" w:rsidR="00EB7806" w:rsidRDefault="00EB7806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LA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B7806" w14:paraId="2572A157" w14:textId="77777777" w:rsidTr="003175F0">
        <w:tc>
          <w:tcPr>
            <w:tcW w:w="1184" w:type="dxa"/>
            <w:shd w:val="clear" w:color="auto" w:fill="E7E6E6" w:themeFill="background2"/>
          </w:tcPr>
          <w:p w14:paraId="699DE32A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6920ABFB" w14:textId="52F3CDCC" w:rsidR="00EB7806" w:rsidRDefault="00EB7806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B7806" w14:paraId="6123D010" w14:textId="77777777" w:rsidTr="003175F0">
        <w:tc>
          <w:tcPr>
            <w:tcW w:w="1184" w:type="dxa"/>
            <w:shd w:val="clear" w:color="auto" w:fill="auto"/>
          </w:tcPr>
          <w:p w14:paraId="6B1CB0F2" w14:textId="7D8E390B" w:rsidR="00EB7806" w:rsidRDefault="00EB7806" w:rsidP="001E607D">
            <w:pPr>
              <w:spacing w:after="120"/>
              <w:jc w:val="both"/>
            </w:pPr>
            <w:r>
              <w:t>SL</w:t>
            </w:r>
          </w:p>
        </w:tc>
        <w:tc>
          <w:tcPr>
            <w:tcW w:w="7842" w:type="dxa"/>
            <w:shd w:val="clear" w:color="auto" w:fill="auto"/>
          </w:tcPr>
          <w:p w14:paraId="46BD243B" w14:textId="6A7CA026" w:rsidR="00EB7806" w:rsidRDefault="00700592" w:rsidP="001E607D">
            <w:pPr>
              <w:spacing w:after="120"/>
            </w:pPr>
            <w:r>
              <w:t>Speaks a language other than English at home (%). Otherwise referred to as percentage of people primarily speaking a second language (SL).</w:t>
            </w:r>
          </w:p>
        </w:tc>
      </w:tr>
      <w:tr w:rsidR="00EB7806" w14:paraId="12DF070C" w14:textId="77777777" w:rsidTr="003175F0">
        <w:tc>
          <w:tcPr>
            <w:tcW w:w="1184" w:type="dxa"/>
            <w:shd w:val="clear" w:color="auto" w:fill="auto"/>
          </w:tcPr>
          <w:p w14:paraId="479B51F1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2CA36178" w14:textId="71F7225F" w:rsidR="00EB7806" w:rsidRDefault="00700592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Population and People </w:t>
            </w:r>
            <w:r w:rsidRPr="007C29D9">
              <w:t>dataset.</w:t>
            </w:r>
          </w:p>
        </w:tc>
      </w:tr>
      <w:tr w:rsidR="00EB7806" w14:paraId="022C7131" w14:textId="77777777" w:rsidTr="003175F0">
        <w:tc>
          <w:tcPr>
            <w:tcW w:w="1184" w:type="dxa"/>
            <w:shd w:val="clear" w:color="auto" w:fill="E7E6E6" w:themeFill="background2"/>
          </w:tcPr>
          <w:p w14:paraId="439681A7" w14:textId="5EB26C58" w:rsidR="00EB7806" w:rsidRDefault="00EB7806" w:rsidP="001E607D">
            <w:pPr>
              <w:spacing w:after="120"/>
              <w:jc w:val="both"/>
            </w:pPr>
            <w:proofErr w:type="spellStart"/>
            <w:r>
              <w:t>rsSL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7FF8ADB2" w14:textId="06E93B84" w:rsidR="00EB7806" w:rsidRDefault="00EB7806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SL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B7806" w14:paraId="5BD71811" w14:textId="77777777" w:rsidTr="003175F0">
        <w:tc>
          <w:tcPr>
            <w:tcW w:w="1184" w:type="dxa"/>
            <w:shd w:val="clear" w:color="auto" w:fill="E7E6E6" w:themeFill="background2"/>
          </w:tcPr>
          <w:p w14:paraId="301A1289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7345E7B6" w14:textId="526FAAF3" w:rsidR="00EB7806" w:rsidRDefault="00EB7806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B7806" w14:paraId="346791AA" w14:textId="77777777" w:rsidTr="003175F0">
        <w:tc>
          <w:tcPr>
            <w:tcW w:w="1184" w:type="dxa"/>
            <w:shd w:val="clear" w:color="auto" w:fill="auto"/>
          </w:tcPr>
          <w:p w14:paraId="736C2D66" w14:textId="2A3EA18C" w:rsidR="00EB7806" w:rsidRDefault="00EB7806" w:rsidP="001E607D">
            <w:pPr>
              <w:spacing w:after="120"/>
              <w:jc w:val="both"/>
            </w:pPr>
            <w:r>
              <w:t>IND</w:t>
            </w:r>
          </w:p>
        </w:tc>
        <w:tc>
          <w:tcPr>
            <w:tcW w:w="7842" w:type="dxa"/>
            <w:shd w:val="clear" w:color="auto" w:fill="auto"/>
          </w:tcPr>
          <w:p w14:paraId="18168E8E" w14:textId="79C3712D" w:rsidR="00EB7806" w:rsidRDefault="00700592" w:rsidP="001E607D">
            <w:pPr>
              <w:spacing w:after="120"/>
            </w:pPr>
            <w:r>
              <w:t>Aboriginal and Torres Strait Islander Peoples (%). Otherwise referred to as indigenous (IND) percentage.</w:t>
            </w:r>
          </w:p>
        </w:tc>
      </w:tr>
      <w:tr w:rsidR="00EB7806" w14:paraId="1B8C33D2" w14:textId="77777777" w:rsidTr="003175F0">
        <w:tc>
          <w:tcPr>
            <w:tcW w:w="1184" w:type="dxa"/>
            <w:shd w:val="clear" w:color="auto" w:fill="auto"/>
          </w:tcPr>
          <w:p w14:paraId="39E63288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4F2D6518" w14:textId="4C74546E" w:rsidR="00EB7806" w:rsidRDefault="00700592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Population and People </w:t>
            </w:r>
            <w:r w:rsidRPr="007C29D9">
              <w:t>dataset.</w:t>
            </w:r>
          </w:p>
        </w:tc>
      </w:tr>
      <w:tr w:rsidR="00EB7806" w14:paraId="319DD915" w14:textId="77777777" w:rsidTr="003175F0">
        <w:tc>
          <w:tcPr>
            <w:tcW w:w="1184" w:type="dxa"/>
            <w:shd w:val="clear" w:color="auto" w:fill="E7E6E6" w:themeFill="background2"/>
          </w:tcPr>
          <w:p w14:paraId="0DAC1999" w14:textId="6470194D" w:rsidR="00EB7806" w:rsidRDefault="00EB7806" w:rsidP="001E607D">
            <w:pPr>
              <w:spacing w:after="120"/>
              <w:jc w:val="both"/>
            </w:pPr>
            <w:proofErr w:type="spellStart"/>
            <w:r>
              <w:t>rsIND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1E5EB04A" w14:textId="1C32CFDD" w:rsidR="00EB7806" w:rsidRDefault="00EB7806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IND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B7806" w14:paraId="524C7E90" w14:textId="77777777" w:rsidTr="003175F0">
        <w:tc>
          <w:tcPr>
            <w:tcW w:w="1184" w:type="dxa"/>
            <w:shd w:val="clear" w:color="auto" w:fill="E7E6E6" w:themeFill="background2"/>
          </w:tcPr>
          <w:p w14:paraId="0142B0B1" w14:textId="77777777" w:rsidR="00EB7806" w:rsidRDefault="00EB7806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76811D43" w14:textId="19D09B28" w:rsidR="00EB7806" w:rsidRDefault="00EB7806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B7806" w14:paraId="64F24D30" w14:textId="77777777" w:rsidTr="003175F0">
        <w:tc>
          <w:tcPr>
            <w:tcW w:w="1184" w:type="dxa"/>
            <w:shd w:val="clear" w:color="auto" w:fill="auto"/>
          </w:tcPr>
          <w:p w14:paraId="64DC73A9" w14:textId="58DEE1F7" w:rsidR="00EB7806" w:rsidRDefault="00EB7806" w:rsidP="001E607D">
            <w:pPr>
              <w:spacing w:after="120"/>
              <w:jc w:val="both"/>
            </w:pPr>
            <w:r>
              <w:t>MH</w:t>
            </w:r>
          </w:p>
        </w:tc>
        <w:tc>
          <w:tcPr>
            <w:tcW w:w="7842" w:type="dxa"/>
            <w:shd w:val="clear" w:color="auto" w:fill="auto"/>
          </w:tcPr>
          <w:p w14:paraId="784E0A69" w14:textId="7F5AE7AA" w:rsidR="00EB7806" w:rsidRDefault="00700592" w:rsidP="001E607D">
            <w:pPr>
              <w:spacing w:after="120"/>
            </w:pPr>
            <w:r>
              <w:t>Campervans (%).</w:t>
            </w:r>
          </w:p>
        </w:tc>
      </w:tr>
      <w:tr w:rsidR="00700592" w14:paraId="23644A48" w14:textId="77777777" w:rsidTr="003175F0">
        <w:tc>
          <w:tcPr>
            <w:tcW w:w="1184" w:type="dxa"/>
            <w:shd w:val="clear" w:color="auto" w:fill="auto"/>
          </w:tcPr>
          <w:p w14:paraId="6C808FB2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1B15838C" w14:textId="6AC18ED4" w:rsidR="00700592" w:rsidRDefault="00700592" w:rsidP="001E607D">
            <w:pPr>
              <w:spacing w:after="120"/>
            </w:pPr>
            <w:r w:rsidRPr="007C29D9">
              <w:t xml:space="preserve">This parameter is </w:t>
            </w:r>
            <w:r>
              <w:t>derived</w:t>
            </w:r>
            <w:r w:rsidRPr="007C29D9">
              <w:t xml:space="preserve"> from the Australian Bureau of Statistics (ABS) Data by Region Catalogue. Specifically, this parameter </w:t>
            </w:r>
            <w:r>
              <w:t>is the “Campervans (no.)” parameter divided by the “Total registered motor vehicles (no.)” parameter, both</w:t>
            </w:r>
            <w:r w:rsidRPr="007C29D9">
              <w:t xml:space="preserve"> from the </w:t>
            </w:r>
            <w:r>
              <w:t xml:space="preserve">Economy and Industry </w:t>
            </w:r>
            <w:r w:rsidRPr="007C29D9">
              <w:t>dataset.</w:t>
            </w:r>
          </w:p>
        </w:tc>
      </w:tr>
      <w:tr w:rsidR="00700592" w14:paraId="0CBA13FE" w14:textId="77777777" w:rsidTr="003175F0">
        <w:tc>
          <w:tcPr>
            <w:tcW w:w="1184" w:type="dxa"/>
            <w:shd w:val="clear" w:color="auto" w:fill="E7E6E6" w:themeFill="background2"/>
          </w:tcPr>
          <w:p w14:paraId="6EF01377" w14:textId="07675E80" w:rsidR="00700592" w:rsidRDefault="00700592" w:rsidP="001E607D">
            <w:pPr>
              <w:spacing w:after="120"/>
              <w:jc w:val="both"/>
            </w:pPr>
            <w:proofErr w:type="spellStart"/>
            <w:r>
              <w:t>rsMH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B27B0E6" w14:textId="0E3CDB3F" w:rsidR="00700592" w:rsidRDefault="00700592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MH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700592" w14:paraId="545D11F5" w14:textId="77777777" w:rsidTr="003175F0">
        <w:tc>
          <w:tcPr>
            <w:tcW w:w="1184" w:type="dxa"/>
            <w:shd w:val="clear" w:color="auto" w:fill="E7E6E6" w:themeFill="background2"/>
          </w:tcPr>
          <w:p w14:paraId="449EE983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1F713077" w14:textId="7FA9CA6A" w:rsidR="00700592" w:rsidRDefault="00700592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700592" w14:paraId="7B1D5A2A" w14:textId="77777777" w:rsidTr="003175F0">
        <w:tc>
          <w:tcPr>
            <w:tcW w:w="1184" w:type="dxa"/>
            <w:shd w:val="clear" w:color="auto" w:fill="auto"/>
          </w:tcPr>
          <w:p w14:paraId="081D68B2" w14:textId="75C13C36" w:rsidR="00700592" w:rsidRDefault="00700592" w:rsidP="001E607D">
            <w:pPr>
              <w:spacing w:after="120"/>
              <w:jc w:val="both"/>
            </w:pPr>
            <w:r>
              <w:t>CD</w:t>
            </w:r>
          </w:p>
        </w:tc>
        <w:tc>
          <w:tcPr>
            <w:tcW w:w="7842" w:type="dxa"/>
            <w:shd w:val="clear" w:color="auto" w:fill="auto"/>
          </w:tcPr>
          <w:p w14:paraId="6B461841" w14:textId="641FF88C" w:rsidR="00700592" w:rsidRDefault="00700592" w:rsidP="001E607D">
            <w:pPr>
              <w:spacing w:after="120"/>
            </w:pPr>
            <w:r>
              <w:t>Dwellings with extra bedrooms needed (%). Otherwise referred to as the percentage of crowded dwellings (CD).</w:t>
            </w:r>
          </w:p>
        </w:tc>
      </w:tr>
      <w:tr w:rsidR="00700592" w14:paraId="485DA231" w14:textId="77777777" w:rsidTr="003175F0">
        <w:tc>
          <w:tcPr>
            <w:tcW w:w="1184" w:type="dxa"/>
            <w:shd w:val="clear" w:color="auto" w:fill="auto"/>
          </w:tcPr>
          <w:p w14:paraId="1355AEE8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5923AAD5" w14:textId="0150F5E5" w:rsidR="00700592" w:rsidRDefault="00700592" w:rsidP="001E607D">
            <w:pPr>
              <w:spacing w:after="120"/>
            </w:pPr>
            <w:r w:rsidRPr="007C29D9">
              <w:t xml:space="preserve">This parameter is </w:t>
            </w:r>
            <w:r>
              <w:t>derived</w:t>
            </w:r>
            <w:r w:rsidRPr="007C29D9">
              <w:t xml:space="preserve"> from the Australian Bureau of Statistics (ABS) Data by Region Catalogue. Specifically, this parameter </w:t>
            </w:r>
            <w:r>
              <w:t>is the “Dwellings with extra bedrooms needed (no.)” parameter divided by the “Total private dwellings (no.)” parameter, both</w:t>
            </w:r>
            <w:r w:rsidRPr="007C29D9">
              <w:t xml:space="preserve"> from the </w:t>
            </w:r>
            <w:r>
              <w:t xml:space="preserve">Family and Community </w:t>
            </w:r>
            <w:r w:rsidRPr="007C29D9">
              <w:t>dataset.</w:t>
            </w:r>
          </w:p>
        </w:tc>
      </w:tr>
      <w:tr w:rsidR="00700592" w14:paraId="2FD16C6F" w14:textId="77777777" w:rsidTr="003175F0">
        <w:tc>
          <w:tcPr>
            <w:tcW w:w="1184" w:type="dxa"/>
            <w:shd w:val="clear" w:color="auto" w:fill="E7E6E6" w:themeFill="background2"/>
          </w:tcPr>
          <w:p w14:paraId="39F93602" w14:textId="4C426871" w:rsidR="00700592" w:rsidRDefault="00700592" w:rsidP="001E607D">
            <w:pPr>
              <w:spacing w:after="120"/>
              <w:jc w:val="both"/>
            </w:pPr>
            <w:proofErr w:type="spellStart"/>
            <w:r>
              <w:t>rsCD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2899D01B" w14:textId="6F26CB54" w:rsidR="00700592" w:rsidRDefault="00700592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CD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700592" w14:paraId="469713BD" w14:textId="77777777" w:rsidTr="003175F0">
        <w:tc>
          <w:tcPr>
            <w:tcW w:w="1184" w:type="dxa"/>
            <w:shd w:val="clear" w:color="auto" w:fill="E7E6E6" w:themeFill="background2"/>
          </w:tcPr>
          <w:p w14:paraId="42621C00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48D8F761" w14:textId="09426E1C" w:rsidR="00700592" w:rsidRDefault="00700592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700592" w14:paraId="6FADB5ED" w14:textId="77777777" w:rsidTr="003175F0">
        <w:tc>
          <w:tcPr>
            <w:tcW w:w="1184" w:type="dxa"/>
            <w:shd w:val="clear" w:color="auto" w:fill="auto"/>
          </w:tcPr>
          <w:p w14:paraId="51E978AD" w14:textId="5F5A2F79" w:rsidR="00700592" w:rsidRDefault="00700592" w:rsidP="001E607D">
            <w:pPr>
              <w:spacing w:after="120"/>
              <w:jc w:val="both"/>
            </w:pPr>
            <w:r>
              <w:t>RD</w:t>
            </w:r>
          </w:p>
        </w:tc>
        <w:tc>
          <w:tcPr>
            <w:tcW w:w="7842" w:type="dxa"/>
            <w:shd w:val="clear" w:color="auto" w:fill="auto"/>
          </w:tcPr>
          <w:p w14:paraId="04C75FAA" w14:textId="4C51E0BE" w:rsidR="00700592" w:rsidRDefault="00700592" w:rsidP="001E607D">
            <w:pPr>
              <w:spacing w:after="120"/>
            </w:pPr>
            <w:r>
              <w:t>Rented private dwellings (%).</w:t>
            </w:r>
          </w:p>
        </w:tc>
      </w:tr>
      <w:tr w:rsidR="00700592" w14:paraId="6A4A45F9" w14:textId="77777777" w:rsidTr="003175F0">
        <w:tc>
          <w:tcPr>
            <w:tcW w:w="1184" w:type="dxa"/>
            <w:shd w:val="clear" w:color="auto" w:fill="auto"/>
          </w:tcPr>
          <w:p w14:paraId="6B6DD7D2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6FFD7A50" w14:textId="4C0962C5" w:rsidR="00700592" w:rsidRDefault="00700592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Family and Community </w:t>
            </w:r>
            <w:r w:rsidRPr="007C29D9">
              <w:t>dataset.</w:t>
            </w:r>
          </w:p>
        </w:tc>
      </w:tr>
      <w:tr w:rsidR="00700592" w14:paraId="5526BAC1" w14:textId="77777777" w:rsidTr="003175F0">
        <w:tc>
          <w:tcPr>
            <w:tcW w:w="1184" w:type="dxa"/>
            <w:shd w:val="clear" w:color="auto" w:fill="E7E6E6" w:themeFill="background2"/>
          </w:tcPr>
          <w:p w14:paraId="727C912A" w14:textId="343A853C" w:rsidR="00700592" w:rsidRDefault="00700592" w:rsidP="001E607D">
            <w:pPr>
              <w:spacing w:after="120"/>
              <w:jc w:val="both"/>
            </w:pPr>
            <w:proofErr w:type="spellStart"/>
            <w:r>
              <w:lastRenderedPageBreak/>
              <w:t>rsRD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2FD9E4AE" w14:textId="0F2062D0" w:rsidR="00700592" w:rsidRDefault="00700592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RD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700592" w14:paraId="5C29C5E6" w14:textId="77777777" w:rsidTr="003175F0">
        <w:tc>
          <w:tcPr>
            <w:tcW w:w="1184" w:type="dxa"/>
            <w:shd w:val="clear" w:color="auto" w:fill="E7E6E6" w:themeFill="background2"/>
          </w:tcPr>
          <w:p w14:paraId="70926013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3A7CADF1" w14:textId="5E5D8143" w:rsidR="00700592" w:rsidRDefault="00700592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700592" w14:paraId="76B107F0" w14:textId="77777777" w:rsidTr="003175F0">
        <w:tc>
          <w:tcPr>
            <w:tcW w:w="1184" w:type="dxa"/>
            <w:shd w:val="clear" w:color="auto" w:fill="auto"/>
          </w:tcPr>
          <w:p w14:paraId="4554E86B" w14:textId="217AE2E1" w:rsidR="00700592" w:rsidRDefault="00700592" w:rsidP="001E607D">
            <w:pPr>
              <w:spacing w:after="120"/>
              <w:jc w:val="both"/>
            </w:pPr>
            <w:r>
              <w:t>MP</w:t>
            </w:r>
          </w:p>
        </w:tc>
        <w:tc>
          <w:tcPr>
            <w:tcW w:w="7842" w:type="dxa"/>
            <w:shd w:val="clear" w:color="auto" w:fill="auto"/>
          </w:tcPr>
          <w:p w14:paraId="6565350C" w14:textId="38A6C716" w:rsidR="00700592" w:rsidRDefault="00700592" w:rsidP="001E607D">
            <w:pPr>
              <w:spacing w:after="120"/>
            </w:pPr>
            <w:r>
              <w:t>Owned private dwellings with a mortgage (%). Otherwise referred to as percentage of mortgage payers (MP).</w:t>
            </w:r>
          </w:p>
        </w:tc>
      </w:tr>
      <w:tr w:rsidR="00700592" w14:paraId="3D6447AB" w14:textId="77777777" w:rsidTr="003175F0">
        <w:tc>
          <w:tcPr>
            <w:tcW w:w="1184" w:type="dxa"/>
            <w:shd w:val="clear" w:color="auto" w:fill="auto"/>
          </w:tcPr>
          <w:p w14:paraId="53A30BE5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10C3BF1" w14:textId="1F1F0399" w:rsidR="00700592" w:rsidRDefault="00700592" w:rsidP="001E607D">
            <w:pPr>
              <w:spacing w:after="120"/>
            </w:pPr>
            <w:r w:rsidRPr="007C29D9">
              <w:t xml:space="preserve">This parameter is shared directly from the Australian Bureau of Statistics (ABS) Data by Region Catalogue. Specifically, this parameter has been accessed from the </w:t>
            </w:r>
            <w:r>
              <w:t xml:space="preserve">Family and Community </w:t>
            </w:r>
            <w:r w:rsidRPr="007C29D9">
              <w:t>dataset.</w:t>
            </w:r>
          </w:p>
        </w:tc>
      </w:tr>
      <w:tr w:rsidR="00700592" w14:paraId="0E0D11B1" w14:textId="77777777" w:rsidTr="003175F0">
        <w:tc>
          <w:tcPr>
            <w:tcW w:w="1184" w:type="dxa"/>
            <w:shd w:val="clear" w:color="auto" w:fill="E7E6E6" w:themeFill="background2"/>
          </w:tcPr>
          <w:p w14:paraId="1D8D8CB5" w14:textId="71E37901" w:rsidR="00700592" w:rsidRDefault="00700592" w:rsidP="001E607D">
            <w:pPr>
              <w:spacing w:after="120"/>
              <w:jc w:val="both"/>
            </w:pPr>
            <w:proofErr w:type="spellStart"/>
            <w:r>
              <w:t>rsMP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5A5BC7CE" w14:textId="7234B756" w:rsidR="00700592" w:rsidRDefault="00700592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MP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700592" w14:paraId="29CD2229" w14:textId="77777777" w:rsidTr="003175F0">
        <w:tc>
          <w:tcPr>
            <w:tcW w:w="1184" w:type="dxa"/>
            <w:shd w:val="clear" w:color="auto" w:fill="E7E6E6" w:themeFill="background2"/>
          </w:tcPr>
          <w:p w14:paraId="6EC2AAA9" w14:textId="77777777" w:rsidR="00700592" w:rsidRDefault="00700592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3D1A020B" w14:textId="48781C86" w:rsidR="00700592" w:rsidRDefault="00700592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32568" w14:paraId="22DACF41" w14:textId="77777777" w:rsidTr="003175F0">
        <w:tc>
          <w:tcPr>
            <w:tcW w:w="1184" w:type="dxa"/>
            <w:shd w:val="clear" w:color="auto" w:fill="auto"/>
          </w:tcPr>
          <w:p w14:paraId="0E64900F" w14:textId="3AD3C3EC" w:rsidR="00E32568" w:rsidRDefault="00E32568" w:rsidP="001E607D">
            <w:pPr>
              <w:spacing w:after="120"/>
              <w:jc w:val="both"/>
            </w:pPr>
            <w:r>
              <w:t>ALC</w:t>
            </w:r>
          </w:p>
        </w:tc>
        <w:tc>
          <w:tcPr>
            <w:tcW w:w="7842" w:type="dxa"/>
            <w:shd w:val="clear" w:color="auto" w:fill="auto"/>
          </w:tcPr>
          <w:p w14:paraId="42F7433A" w14:textId="53403D13" w:rsidR="00E32568" w:rsidRDefault="00E32568" w:rsidP="001E607D">
            <w:pPr>
              <w:spacing w:after="120"/>
            </w:pPr>
            <w:r>
              <w:t>Estimate</w:t>
            </w:r>
            <w:r w:rsidR="00BE46BB">
              <w:t>d</w:t>
            </w:r>
            <w:r>
              <w:t xml:space="preserve"> number of people </w:t>
            </w:r>
            <w:r w:rsidR="00BE46BB">
              <w:t>aged 15 years and over who consumed more than two standard alcoholic drinks per day on average</w:t>
            </w:r>
            <w:r>
              <w:t xml:space="preserve"> (age-standardised rate per 100).</w:t>
            </w:r>
          </w:p>
        </w:tc>
      </w:tr>
      <w:tr w:rsidR="00E32568" w14:paraId="48D1F2D5" w14:textId="77777777" w:rsidTr="003175F0">
        <w:tc>
          <w:tcPr>
            <w:tcW w:w="1184" w:type="dxa"/>
            <w:shd w:val="clear" w:color="auto" w:fill="auto"/>
          </w:tcPr>
          <w:p w14:paraId="35B32E1E" w14:textId="77777777" w:rsidR="00E32568" w:rsidRDefault="00E3256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5FD1316" w14:textId="66AE40E8" w:rsidR="00E32568" w:rsidRDefault="00E32568" w:rsidP="001E607D">
            <w:pPr>
              <w:spacing w:after="120"/>
            </w:pPr>
            <w:r>
              <w:t xml:space="preserve">This parameter is shared directly from the Public Health Information Development Unit (PHIDU) Social Health Atlas, specifically from the </w:t>
            </w:r>
            <w:r w:rsidR="00BE46BB">
              <w:t>adult risk factor estimates</w:t>
            </w:r>
            <w:r>
              <w:t xml:space="preserve"> data</w:t>
            </w:r>
            <w:r w:rsidR="00BE46BB">
              <w:t>set</w:t>
            </w:r>
            <w:r>
              <w:t>.</w:t>
            </w:r>
          </w:p>
        </w:tc>
      </w:tr>
      <w:tr w:rsidR="00E32568" w14:paraId="01F5660C" w14:textId="77777777" w:rsidTr="003175F0">
        <w:tc>
          <w:tcPr>
            <w:tcW w:w="1184" w:type="dxa"/>
            <w:shd w:val="clear" w:color="auto" w:fill="E7E6E6" w:themeFill="background2"/>
          </w:tcPr>
          <w:p w14:paraId="14A5DAF0" w14:textId="4AB8DFD4" w:rsidR="00E32568" w:rsidRDefault="00E32568" w:rsidP="001E607D">
            <w:pPr>
              <w:spacing w:after="120"/>
              <w:jc w:val="both"/>
            </w:pPr>
            <w:proofErr w:type="spellStart"/>
            <w:r>
              <w:t>rsALC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39CCD432" w14:textId="609FC888" w:rsidR="00E32568" w:rsidRDefault="00E32568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ALC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32568" w14:paraId="15263279" w14:textId="77777777" w:rsidTr="003175F0">
        <w:tc>
          <w:tcPr>
            <w:tcW w:w="1184" w:type="dxa"/>
            <w:shd w:val="clear" w:color="auto" w:fill="E7E6E6" w:themeFill="background2"/>
          </w:tcPr>
          <w:p w14:paraId="34674CB8" w14:textId="77777777" w:rsidR="00E32568" w:rsidRDefault="00E3256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79F70921" w14:textId="075FE795" w:rsidR="00E32568" w:rsidRDefault="00E32568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E32568" w14:paraId="2729A53E" w14:textId="77777777" w:rsidTr="003175F0">
        <w:tc>
          <w:tcPr>
            <w:tcW w:w="1184" w:type="dxa"/>
            <w:shd w:val="clear" w:color="auto" w:fill="auto"/>
          </w:tcPr>
          <w:p w14:paraId="141068AC" w14:textId="78A015C7" w:rsidR="00E32568" w:rsidRDefault="00E32568" w:rsidP="001E607D">
            <w:pPr>
              <w:spacing w:after="120"/>
              <w:jc w:val="both"/>
            </w:pPr>
            <w:r>
              <w:t>OB</w:t>
            </w:r>
          </w:p>
        </w:tc>
        <w:tc>
          <w:tcPr>
            <w:tcW w:w="7842" w:type="dxa"/>
            <w:shd w:val="clear" w:color="auto" w:fill="auto"/>
          </w:tcPr>
          <w:p w14:paraId="548C5870" w14:textId="526359AD" w:rsidR="00E32568" w:rsidRDefault="00BE46BB" w:rsidP="001E607D">
            <w:pPr>
              <w:spacing w:after="120"/>
            </w:pPr>
            <w:r>
              <w:t>Estimated number of people aged 18 and over who were obese (age-standardised rate per 100).</w:t>
            </w:r>
          </w:p>
        </w:tc>
      </w:tr>
      <w:tr w:rsidR="00E32568" w14:paraId="7581D940" w14:textId="77777777" w:rsidTr="003175F0">
        <w:tc>
          <w:tcPr>
            <w:tcW w:w="1184" w:type="dxa"/>
            <w:shd w:val="clear" w:color="auto" w:fill="auto"/>
          </w:tcPr>
          <w:p w14:paraId="601D898B" w14:textId="77777777" w:rsidR="00E32568" w:rsidRDefault="00E3256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6832876A" w14:textId="3147E2EE" w:rsidR="00E32568" w:rsidRDefault="00BE46BB" w:rsidP="001E607D">
            <w:pPr>
              <w:spacing w:after="120"/>
            </w:pPr>
            <w:r>
              <w:t>This parameter is shared directly from the Public Health Information Development Unit (PHIDU) Social Health Atlas, specifically from the adult risk factor estimates dataset.</w:t>
            </w:r>
          </w:p>
        </w:tc>
      </w:tr>
      <w:tr w:rsidR="00E32568" w14:paraId="2AED0EB2" w14:textId="77777777" w:rsidTr="003175F0">
        <w:tc>
          <w:tcPr>
            <w:tcW w:w="1184" w:type="dxa"/>
            <w:shd w:val="clear" w:color="auto" w:fill="E7E6E6" w:themeFill="background2"/>
          </w:tcPr>
          <w:p w14:paraId="0342EBF7" w14:textId="3C337A5A" w:rsidR="00E32568" w:rsidRDefault="00E32568" w:rsidP="001E607D">
            <w:pPr>
              <w:spacing w:after="120"/>
              <w:jc w:val="both"/>
            </w:pPr>
            <w:proofErr w:type="spellStart"/>
            <w:r>
              <w:t>rsOB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396320C6" w14:textId="7CC51DC8" w:rsidR="00E32568" w:rsidRDefault="00E32568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OB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E32568" w14:paraId="63C8ECA1" w14:textId="77777777" w:rsidTr="003175F0">
        <w:tc>
          <w:tcPr>
            <w:tcW w:w="1184" w:type="dxa"/>
            <w:shd w:val="clear" w:color="auto" w:fill="E7E6E6" w:themeFill="background2"/>
          </w:tcPr>
          <w:p w14:paraId="0C51B6BF" w14:textId="77777777" w:rsidR="00E32568" w:rsidRDefault="00E32568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35DC6985" w14:textId="60B0DB15" w:rsidR="00E32568" w:rsidRDefault="00E32568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E46BB" w14:paraId="7D05D98D" w14:textId="77777777" w:rsidTr="003175F0">
        <w:tc>
          <w:tcPr>
            <w:tcW w:w="1184" w:type="dxa"/>
            <w:shd w:val="clear" w:color="auto" w:fill="auto"/>
          </w:tcPr>
          <w:p w14:paraId="6FC74A17" w14:textId="249DA7DA" w:rsidR="00BE46BB" w:rsidRDefault="00BE46BB" w:rsidP="001E607D">
            <w:pPr>
              <w:spacing w:after="120"/>
              <w:jc w:val="both"/>
            </w:pPr>
            <w:r>
              <w:t>OW</w:t>
            </w:r>
          </w:p>
        </w:tc>
        <w:tc>
          <w:tcPr>
            <w:tcW w:w="7842" w:type="dxa"/>
            <w:shd w:val="clear" w:color="auto" w:fill="auto"/>
          </w:tcPr>
          <w:p w14:paraId="4B725A7A" w14:textId="078C745E" w:rsidR="00BE46BB" w:rsidRDefault="00BE46BB" w:rsidP="001E607D">
            <w:pPr>
              <w:spacing w:after="120"/>
            </w:pPr>
            <w:r>
              <w:t>Estimated number of people aged 18 and over who were overweight, but not obese (age-standardised rate per 100).</w:t>
            </w:r>
          </w:p>
        </w:tc>
      </w:tr>
      <w:tr w:rsidR="00BE46BB" w14:paraId="286CD191" w14:textId="77777777" w:rsidTr="003175F0">
        <w:tc>
          <w:tcPr>
            <w:tcW w:w="1184" w:type="dxa"/>
            <w:shd w:val="clear" w:color="auto" w:fill="auto"/>
          </w:tcPr>
          <w:p w14:paraId="754E34FC" w14:textId="77777777" w:rsidR="00BE46BB" w:rsidRDefault="00BE46BB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5453A84F" w14:textId="23DD7ACD" w:rsidR="00BE46BB" w:rsidRDefault="00BE46BB" w:rsidP="001E607D">
            <w:pPr>
              <w:spacing w:after="120"/>
            </w:pPr>
            <w:r>
              <w:t>This parameter is shared directly from the Public Health Information Development Unit (PHIDU) Social Health Atlas, specifically from the adult risk factor estimates dataset.</w:t>
            </w:r>
          </w:p>
        </w:tc>
      </w:tr>
      <w:tr w:rsidR="00BE46BB" w14:paraId="6D1605E6" w14:textId="77777777" w:rsidTr="003175F0">
        <w:tc>
          <w:tcPr>
            <w:tcW w:w="1184" w:type="dxa"/>
            <w:shd w:val="clear" w:color="auto" w:fill="E7E6E6" w:themeFill="background2"/>
          </w:tcPr>
          <w:p w14:paraId="5657D39D" w14:textId="7DEBF8C5" w:rsidR="00BE46BB" w:rsidRDefault="00BE46BB" w:rsidP="001E607D">
            <w:pPr>
              <w:spacing w:after="120"/>
              <w:jc w:val="both"/>
            </w:pPr>
            <w:proofErr w:type="spellStart"/>
            <w:r>
              <w:t>rsOW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025E0C99" w14:textId="599CBDB6" w:rsidR="00BE46BB" w:rsidRDefault="00BE46BB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OW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E46BB" w14:paraId="63BB4461" w14:textId="77777777" w:rsidTr="003175F0">
        <w:tc>
          <w:tcPr>
            <w:tcW w:w="1184" w:type="dxa"/>
            <w:shd w:val="clear" w:color="auto" w:fill="E7E6E6" w:themeFill="background2"/>
          </w:tcPr>
          <w:p w14:paraId="5A5EFBFE" w14:textId="77777777" w:rsidR="00BE46BB" w:rsidRDefault="00BE46BB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E7E6E6" w:themeFill="background2"/>
          </w:tcPr>
          <w:p w14:paraId="08F6161E" w14:textId="63BC41D3" w:rsidR="00BE46BB" w:rsidRDefault="00BE46BB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  <w:tr w:rsidR="00BE46BB" w14:paraId="0A32A2F8" w14:textId="77777777" w:rsidTr="003175F0">
        <w:tc>
          <w:tcPr>
            <w:tcW w:w="1184" w:type="dxa"/>
            <w:shd w:val="clear" w:color="auto" w:fill="auto"/>
          </w:tcPr>
          <w:p w14:paraId="11640116" w14:textId="55AA20C6" w:rsidR="00BE46BB" w:rsidRDefault="00BE46BB" w:rsidP="001E607D">
            <w:pPr>
              <w:spacing w:after="120"/>
              <w:jc w:val="both"/>
            </w:pPr>
            <w:r>
              <w:t>SMO</w:t>
            </w:r>
          </w:p>
        </w:tc>
        <w:tc>
          <w:tcPr>
            <w:tcW w:w="7842" w:type="dxa"/>
            <w:shd w:val="clear" w:color="auto" w:fill="auto"/>
          </w:tcPr>
          <w:p w14:paraId="448A56D9" w14:textId="1940EB4C" w:rsidR="00BE46BB" w:rsidRDefault="00BE46BB" w:rsidP="001E607D">
            <w:pPr>
              <w:spacing w:after="120"/>
            </w:pPr>
            <w:r>
              <w:t>Estimated number of people aged 18 and over who were current smokers (age-standardised rate per 100).</w:t>
            </w:r>
          </w:p>
        </w:tc>
      </w:tr>
      <w:tr w:rsidR="00BE46BB" w14:paraId="4865D36E" w14:textId="77777777" w:rsidTr="003175F0">
        <w:tc>
          <w:tcPr>
            <w:tcW w:w="1184" w:type="dxa"/>
            <w:shd w:val="clear" w:color="auto" w:fill="auto"/>
          </w:tcPr>
          <w:p w14:paraId="6AA0BF18" w14:textId="77777777" w:rsidR="00BE46BB" w:rsidRDefault="00BE46BB" w:rsidP="001E607D">
            <w:pPr>
              <w:spacing w:after="120"/>
              <w:jc w:val="both"/>
            </w:pPr>
          </w:p>
        </w:tc>
        <w:tc>
          <w:tcPr>
            <w:tcW w:w="7842" w:type="dxa"/>
            <w:shd w:val="clear" w:color="auto" w:fill="auto"/>
          </w:tcPr>
          <w:p w14:paraId="33CFDD34" w14:textId="3B01B6FC" w:rsidR="00BE46BB" w:rsidRDefault="00BE46BB" w:rsidP="001E607D">
            <w:pPr>
              <w:spacing w:after="120"/>
            </w:pPr>
            <w:r>
              <w:t>This parameter is shared directly from the Public Health Information Development Unit (PHIDU) Social Health Atlas, specifically from the adult risk factor estimates dataset.</w:t>
            </w:r>
          </w:p>
        </w:tc>
      </w:tr>
      <w:tr w:rsidR="00BE46BB" w14:paraId="7581A1B4" w14:textId="77777777" w:rsidTr="003175F0">
        <w:tc>
          <w:tcPr>
            <w:tcW w:w="1184" w:type="dxa"/>
            <w:shd w:val="clear" w:color="auto" w:fill="E7E6E6" w:themeFill="background2"/>
          </w:tcPr>
          <w:p w14:paraId="525D97BB" w14:textId="3E1A02F3" w:rsidR="00BE46BB" w:rsidRDefault="00BE46BB" w:rsidP="001E607D">
            <w:pPr>
              <w:spacing w:after="120"/>
              <w:jc w:val="both"/>
            </w:pPr>
            <w:proofErr w:type="spellStart"/>
            <w:r>
              <w:t>rsSMO</w:t>
            </w:r>
            <w:proofErr w:type="spellEnd"/>
          </w:p>
        </w:tc>
        <w:tc>
          <w:tcPr>
            <w:tcW w:w="7842" w:type="dxa"/>
            <w:shd w:val="clear" w:color="auto" w:fill="E7E6E6" w:themeFill="background2"/>
          </w:tcPr>
          <w:p w14:paraId="6B92B048" w14:textId="4590CE82" w:rsidR="00BE46BB" w:rsidRDefault="00BE46BB" w:rsidP="001E607D">
            <w:pPr>
              <w:spacing w:after="120"/>
            </w:pPr>
            <w:r w:rsidRPr="009E5C1F">
              <w:t>A spatial</w:t>
            </w:r>
            <w:r>
              <w:t xml:space="preserve"> percentile</w:t>
            </w:r>
            <w:r w:rsidRPr="009E5C1F">
              <w:t xml:space="preserve"> ranking of the</w:t>
            </w:r>
            <w:r>
              <w:t xml:space="preserve"> SMO</w:t>
            </w:r>
            <w:r w:rsidRPr="009E5C1F">
              <w:t xml:space="preserve"> parameter</w:t>
            </w:r>
            <w:r>
              <w:t>, in ascending order from lowest to highest.</w:t>
            </w:r>
          </w:p>
        </w:tc>
      </w:tr>
      <w:tr w:rsidR="00BE46BB" w14:paraId="5A6DF31B" w14:textId="77777777" w:rsidTr="003175F0">
        <w:tc>
          <w:tcPr>
            <w:tcW w:w="1184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AD961F9" w14:textId="77777777" w:rsidR="00BE46BB" w:rsidRDefault="00BE46BB" w:rsidP="001E607D">
            <w:pPr>
              <w:spacing w:after="120"/>
              <w:jc w:val="both"/>
            </w:pPr>
          </w:p>
        </w:tc>
        <w:tc>
          <w:tcPr>
            <w:tcW w:w="7842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09049DA" w14:textId="4C9BFEA0" w:rsidR="00BE46BB" w:rsidRDefault="00BE46BB" w:rsidP="001E607D">
            <w:pPr>
              <w:spacing w:after="120"/>
            </w:pPr>
            <w:r>
              <w:t>For derivation, see the Spatial Ranking section at the bottom of the document.</w:t>
            </w:r>
          </w:p>
        </w:tc>
      </w:tr>
    </w:tbl>
    <w:p w14:paraId="515DE6C6" w14:textId="77777777" w:rsidR="00495EC0" w:rsidRDefault="00495EC0" w:rsidP="00495EC0">
      <w:pPr>
        <w:pStyle w:val="Heading2"/>
        <w:spacing w:before="120"/>
      </w:pPr>
      <w:r>
        <w:t>Spatial Ranking</w:t>
      </w:r>
    </w:p>
    <w:p w14:paraId="1A6B16D8" w14:textId="77777777" w:rsidR="00495EC0" w:rsidRDefault="00495EC0" w:rsidP="00495EC0">
      <w:pPr>
        <w:pStyle w:val="Subtitle"/>
      </w:pPr>
      <w:r>
        <w:t>Methodology Applied to all Spatially Ranked Parameters</w:t>
      </w:r>
    </w:p>
    <w:p w14:paraId="195818F0" w14:textId="77777777" w:rsidR="00495EC0" w:rsidRDefault="00495EC0" w:rsidP="00495EC0">
      <w:pPr>
        <w:jc w:val="both"/>
      </w:pPr>
      <w:r>
        <w:t>A number of parameters are converted to spatially ranked percentiles for use in the creation of overall vulnerability indices. As this method is frequently applied, a small summary of the method is given below.</w:t>
      </w:r>
    </w:p>
    <w:p w14:paraId="63C17911" w14:textId="77777777" w:rsidR="00495EC0" w:rsidRDefault="00495EC0" w:rsidP="00495EC0">
      <w:pPr>
        <w:jc w:val="both"/>
      </w:pPr>
      <w:r>
        <w:t xml:space="preserve">Spatially ranked percentiles are created in AusEnHealth by taking national data for a parameter at a specific time, and using </w:t>
      </w:r>
      <w:proofErr w:type="spellStart"/>
      <w:r>
        <w:t>Rstudio’s</w:t>
      </w:r>
      <w:proofErr w:type="spellEnd"/>
      <w:r>
        <w:t xml:space="preserve"> </w:t>
      </w:r>
      <w:r w:rsidRPr="00BE4E3C">
        <w:rPr>
          <w:rFonts w:ascii="Consolas" w:hAnsi="Consolas"/>
        </w:rPr>
        <w:t>frank</w:t>
      </w:r>
      <w:r>
        <w:t xml:space="preserve"> function to produce, in ascending order, indexed spatial ranks. Arguments are selected in the </w:t>
      </w:r>
      <w:r w:rsidRPr="001300DA">
        <w:rPr>
          <w:rFonts w:ascii="Consolas" w:hAnsi="Consolas"/>
        </w:rPr>
        <w:t>frank</w:t>
      </w:r>
      <w:r>
        <w:t xml:space="preserve"> function to continue recording missing values (</w:t>
      </w:r>
      <w:proofErr w:type="spellStart"/>
      <w:r w:rsidRPr="00BE4E3C">
        <w:rPr>
          <w:rFonts w:ascii="Consolas" w:hAnsi="Consolas"/>
        </w:rPr>
        <w:t>na.last</w:t>
      </w:r>
      <w:proofErr w:type="spellEnd"/>
      <w:r w:rsidRPr="00BE4E3C">
        <w:rPr>
          <w:rFonts w:ascii="Consolas" w:hAnsi="Consolas"/>
        </w:rPr>
        <w:t xml:space="preserve"> = "keep"</w:t>
      </w:r>
      <w:r>
        <w:t>), and to set ties as the minimum rank of the set of tied values (</w:t>
      </w:r>
      <w:proofErr w:type="spellStart"/>
      <w:r w:rsidRPr="00BE4E3C">
        <w:rPr>
          <w:rFonts w:ascii="Consolas" w:hAnsi="Consolas"/>
        </w:rPr>
        <w:t>ties.method</w:t>
      </w:r>
      <w:proofErr w:type="spellEnd"/>
      <w:r w:rsidRPr="00BE4E3C">
        <w:rPr>
          <w:rFonts w:ascii="Consolas" w:hAnsi="Consolas"/>
        </w:rPr>
        <w:t xml:space="preserve"> = c("min")</w:t>
      </w:r>
      <w:r>
        <w:t>). The result is then divided by the number of regions to produce a percentile ranking, which provides a consistent scale from 0 to 1 for index creation.</w:t>
      </w:r>
    </w:p>
    <w:p w14:paraId="104E5EC4" w14:textId="77777777" w:rsidR="00495EC0" w:rsidRDefault="00495EC0" w:rsidP="00495EC0">
      <w:pPr>
        <w:jc w:val="both"/>
      </w:pPr>
      <w:r>
        <w:t>A spatial percentile represents how high or low that parameter is compared to the rest of Australia at that time. For example, if a region’s temperature spatial percentile is 1 in January 2011, that means that region is the hottest in Australia for the month of January 2011.</w:t>
      </w:r>
    </w:p>
    <w:p w14:paraId="189F1D1E" w14:textId="695DDFC1" w:rsidR="004C767E" w:rsidRPr="004C767E" w:rsidRDefault="004C767E" w:rsidP="00495EC0">
      <w:pPr>
        <w:pStyle w:val="Heading2"/>
        <w:spacing w:before="120"/>
      </w:pPr>
    </w:p>
    <w:sectPr w:rsidR="004C767E" w:rsidRPr="004C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41F3A"/>
    <w:multiLevelType w:val="hybridMultilevel"/>
    <w:tmpl w:val="AF829E5E"/>
    <w:lvl w:ilvl="0" w:tplc="01C8D81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C0"/>
    <w:rsid w:val="00061F4E"/>
    <w:rsid w:val="000A7F6E"/>
    <w:rsid w:val="001300DA"/>
    <w:rsid w:val="00137F63"/>
    <w:rsid w:val="001E607D"/>
    <w:rsid w:val="001F0E28"/>
    <w:rsid w:val="001F5B3D"/>
    <w:rsid w:val="002423DF"/>
    <w:rsid w:val="002436D3"/>
    <w:rsid w:val="00260486"/>
    <w:rsid w:val="002751B8"/>
    <w:rsid w:val="003175F0"/>
    <w:rsid w:val="003A390F"/>
    <w:rsid w:val="00434BA5"/>
    <w:rsid w:val="00495EC0"/>
    <w:rsid w:val="004C767E"/>
    <w:rsid w:val="004E3DC0"/>
    <w:rsid w:val="00502443"/>
    <w:rsid w:val="005121AA"/>
    <w:rsid w:val="00520315"/>
    <w:rsid w:val="00522322"/>
    <w:rsid w:val="005F59E9"/>
    <w:rsid w:val="006129BB"/>
    <w:rsid w:val="00700592"/>
    <w:rsid w:val="00780EE4"/>
    <w:rsid w:val="007C29D9"/>
    <w:rsid w:val="007F2C27"/>
    <w:rsid w:val="008C3FF8"/>
    <w:rsid w:val="008F7908"/>
    <w:rsid w:val="00942AB9"/>
    <w:rsid w:val="009701C7"/>
    <w:rsid w:val="009A2064"/>
    <w:rsid w:val="009E5C1F"/>
    <w:rsid w:val="00A13D0D"/>
    <w:rsid w:val="00A3678F"/>
    <w:rsid w:val="00A566DF"/>
    <w:rsid w:val="00AB3ECD"/>
    <w:rsid w:val="00AF4448"/>
    <w:rsid w:val="00B76705"/>
    <w:rsid w:val="00B9709C"/>
    <w:rsid w:val="00BE46BB"/>
    <w:rsid w:val="00BE4E3C"/>
    <w:rsid w:val="00C058FE"/>
    <w:rsid w:val="00C47A4B"/>
    <w:rsid w:val="00C60DD5"/>
    <w:rsid w:val="00DE36FE"/>
    <w:rsid w:val="00E32568"/>
    <w:rsid w:val="00E3536E"/>
    <w:rsid w:val="00E9174F"/>
    <w:rsid w:val="00EA441F"/>
    <w:rsid w:val="00EB7806"/>
    <w:rsid w:val="00EF7C06"/>
    <w:rsid w:val="00F02704"/>
    <w:rsid w:val="00F94071"/>
    <w:rsid w:val="00FF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E0A6"/>
  <w15:chartTrackingRefBased/>
  <w15:docId w15:val="{FC49923B-1308-4ECC-851E-30701AADF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2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27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7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270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02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20315"/>
    <w:pPr>
      <w:ind w:left="720"/>
      <w:contextualSpacing/>
    </w:pPr>
  </w:style>
  <w:style w:type="table" w:styleId="TableGrid">
    <w:name w:val="Table Grid"/>
    <w:basedOn w:val="TableNormal"/>
    <w:uiPriority w:val="39"/>
    <w:rsid w:val="00AB3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iersi.com.au/ausenhealth-digital-tw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Price</dc:creator>
  <cp:keywords/>
  <dc:description/>
  <cp:lastModifiedBy>Aiden Price</cp:lastModifiedBy>
  <cp:revision>24</cp:revision>
  <dcterms:created xsi:type="dcterms:W3CDTF">2021-10-28T01:56:00Z</dcterms:created>
  <dcterms:modified xsi:type="dcterms:W3CDTF">2021-11-03T14:02:00Z</dcterms:modified>
</cp:coreProperties>
</file>