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800" w:after="80"/>
        <w:jc w:val="center"/>
      </w:pPr>
      <w:r>
        <w:rPr>
          <w:rFonts w:ascii="Arial" w:hAnsi="Arial"/>
          <w:b/>
          <w:i w:val="0"/>
          <w:color w:val="C8A45A"/>
          <w:sz w:val="56"/>
        </w:rPr>
        <w:t>ARISTOMAS®</w:t>
      </w:r>
    </w:p>
    <w:p>
      <w:pPr>
        <w:spacing w:before="0" w:after="160"/>
        <w:jc w:val="center"/>
      </w:pPr>
      <w:r>
        <w:rPr>
          <w:rFonts w:ascii="Arial" w:hAnsi="Arial"/>
          <w:b/>
          <w:i w:val="0"/>
          <w:color w:val="1A2E4A"/>
          <w:sz w:val="32"/>
        </w:rPr>
        <w:t>Estrategia de Difusión y Fuentes de Ingresos</w:t>
      </w:r>
    </w:p>
    <w:p>
      <w:pPr>
        <w:spacing w:before="0" w:after="800"/>
        <w:jc w:val="center"/>
      </w:pPr>
      <w:r>
        <w:rPr>
          <w:rFonts w:ascii="Arial" w:hAnsi="Arial"/>
          <w:b w:val="0"/>
          <w:i/>
          <w:color w:val="CCCCCC"/>
          <w:sz w:val="20"/>
        </w:rPr>
        <w:t>Documento interno de trabajo · Versión 1.0 · Mayo 2026</w:t>
      </w:r>
    </w:p>
    <w:p>
      <w:pPr>
        <w:spacing w:before="400" w:after="80"/>
        <w:jc w:val="center"/>
      </w:pPr>
      <w:r>
        <w:rPr>
          <w:rFonts w:ascii="Arial" w:hAnsi="Arial"/>
          <w:b/>
          <w:i w:val="0"/>
          <w:color w:val="2E4A6A"/>
          <w:sz w:val="22"/>
        </w:rPr>
        <w:t>Canales analizados:</w:t>
      </w:r>
    </w:p>
    <w:p>
      <w:pPr>
        <w:spacing w:before="40" w:after="40"/>
        <w:jc w:val="center"/>
      </w:pPr>
      <w:r>
        <w:rPr>
          <w:rFonts w:ascii="Arial" w:hAnsi="Arial"/>
          <w:b w:val="0"/>
          <w:i w:val="0"/>
          <w:color w:val="1A2E4A"/>
          <w:sz w:val="21"/>
        </w:rPr>
        <w:t>01 · Publicidad de pago (Meta/Instagram LATAM)</w:t>
      </w:r>
    </w:p>
    <w:p>
      <w:pPr>
        <w:spacing w:before="40" w:after="40"/>
        <w:jc w:val="center"/>
      </w:pPr>
      <w:r>
        <w:rPr>
          <w:rFonts w:ascii="Arial" w:hAnsi="Arial"/>
          <w:b w:val="0"/>
          <w:i w:val="0"/>
          <w:color w:val="1A2E4A"/>
          <w:sz w:val="21"/>
        </w:rPr>
        <w:t>02 · Influencers con participación en equity</w:t>
      </w:r>
    </w:p>
    <w:p>
      <w:pPr>
        <w:spacing w:before="40" w:after="40"/>
        <w:jc w:val="center"/>
      </w:pPr>
      <w:r>
        <w:rPr>
          <w:rFonts w:ascii="Arial" w:hAnsi="Arial"/>
          <w:b w:val="0"/>
          <w:i w:val="0"/>
          <w:color w:val="1A2E4A"/>
          <w:sz w:val="21"/>
        </w:rPr>
        <w:t>03 · Redes propias y contenido orgánico</w:t>
      </w:r>
    </w:p>
    <w:p>
      <w:pPr>
        <w:spacing w:before="40" w:after="40"/>
        <w:jc w:val="center"/>
      </w:pPr>
      <w:r>
        <w:rPr>
          <w:rFonts w:ascii="Arial" w:hAnsi="Arial"/>
          <w:b w:val="0"/>
          <w:i w:val="0"/>
          <w:color w:val="1A2E4A"/>
          <w:sz w:val="21"/>
        </w:rPr>
        <w:t>04 · Acuerdos B2B institucionales</w:t>
      </w:r>
    </w:p>
    <w:p>
      <w:pPr>
        <w:spacing w:before="40" w:after="40"/>
        <w:jc w:val="center"/>
      </w:pPr>
      <w:r>
        <w:rPr>
          <w:rFonts w:ascii="Arial" w:hAnsi="Arial"/>
          <w:b w:val="0"/>
          <w:i w:val="0"/>
          <w:color w:val="1A2E4A"/>
          <w:sz w:val="21"/>
        </w:rPr>
        <w:t>05 · Patrocinio de Virtud</w:t>
      </w:r>
    </w:p>
    <w:p>
      <w:pPr>
        <w:spacing w:before="40" w:after="40"/>
        <w:jc w:val="center"/>
      </w:pPr>
      <w:r>
        <w:rPr>
          <w:rFonts w:ascii="Arial" w:hAnsi="Arial"/>
          <w:b w:val="0"/>
          <w:i w:val="0"/>
          <w:color w:val="1A2E4A"/>
          <w:sz w:val="21"/>
        </w:rPr>
        <w:t>06 · Líneas de ingreso adicionales</w:t>
      </w:r>
    </w:p>
    <w:p>
      <w:pPr>
        <w:spacing w:before="600" w:after="120"/>
        <w:jc w:val="left"/>
      </w:pPr>
    </w:p>
    <w:p>
      <w:pPr>
        <w:spacing w:before="400" w:after="40"/>
        <w:jc w:val="center"/>
      </w:pPr>
      <w:r>
        <w:rPr>
          <w:rFonts w:ascii="Arial" w:hAnsi="Arial"/>
          <w:b/>
          <w:i w:val="0"/>
          <w:color w:val="9A7A30"/>
          <w:sz w:val="20"/>
        </w:rPr>
        <w:t>Presupuesto de marketing total Año 1: 40.000€</w:t>
      </w:r>
    </w:p>
    <w:p>
      <w:pPr>
        <w:spacing w:before="0" w:after="120"/>
        <w:jc w:val="center"/>
      </w:pPr>
      <w:r>
        <w:rPr>
          <w:rFonts w:ascii="Arial" w:hAnsi="Arial"/>
          <w:b w:val="0"/>
          <w:i/>
          <w:color w:val="CCCCCC"/>
          <w:sz w:val="19"/>
        </w:rPr>
        <w:t>Mix base: Paid 25% · Influencers 50% · Orgánico 25%</w:t>
      </w:r>
    </w:p>
    <w:p>
      <w:r>
        <w:br w:type="page"/>
      </w:r>
    </w:p>
    <w:p>
      <w:pPr>
        <w:spacing w:before="280" w:after="120"/>
        <w:jc w:val="left"/>
        <w:pBdr>
          <w:bottom w:val="single" w:sz="4" w:space="1" w:color="C8A45A"/>
        </w:pBdr>
      </w:pPr>
      <w:r>
        <w:rPr>
          <w:rFonts w:ascii="Arial" w:hAnsi="Arial"/>
          <w:b/>
          <w:i w:val="0"/>
          <w:color w:val="1A2E4A"/>
          <w:sz w:val="36"/>
        </w:rPr>
        <w:t>Introducción — Los cinco pilares de difusión</w:t>
      </w:r>
    </w:p>
    <w:p>
      <w:pPr>
        <w:spacing w:before="0" w:after="160"/>
        <w:jc w:val="both"/>
      </w:pPr>
      <w:r>
        <w:rPr>
          <w:rFonts w:ascii="Arial" w:hAnsi="Arial"/>
          <w:b w:val="0"/>
          <w:i w:val="0"/>
          <w:color w:val="000000"/>
          <w:sz w:val="21"/>
        </w:rPr>
        <w:t>Aristomas opera con una estructura de ingresos diversificada desde el inicio. La suscripción individual es el núcleo del modelo, pero no el único vector. Este documento analiza los cinco canales de captación y las fuentes de ingresos complementarias, con proyecciones a tres años para cada uno.</w:t>
      </w:r>
    </w:p>
    <w:tbl>
      <w:tblPr>
        <w:tblStyle w:val="TableGrid"/>
        <w:tblW w:type="auto" w:w="0"/>
        <w:tblLook w:firstColumn="1" w:firstRow="1" w:lastColumn="0" w:lastRow="0" w:noHBand="0" w:noVBand="1" w:val="04A0"/>
      </w:tblPr>
      <w:tblGrid>
        <w:gridCol w:w="9406"/>
      </w:tblGrid>
      <w:tr>
        <w:tc>
          <w:tcPr>
            <w:tcW w:type="dxa" w:w="9406"/>
            <w:shd w:val="clear" w:color="auto" w:fill="D8E6F5"/>
            <w:tcBorders>
              <w:top w:val="single" w:sz="4" w:space="0" w:color="AAAAAA"/>
              <w:left w:val="single" w:sz="4" w:space="0" w:color="AAAAAA"/>
              <w:bottom w:val="single" w:sz="4" w:space="0" w:color="AAAAAA"/>
              <w:right w:val="single" w:sz="4" w:space="0" w:color="AAAAAA"/>
            </w:tcBorders>
          </w:tcPr>
          <w:p>
            <w:pPr>
              <w:spacing w:before="80" w:after="80"/>
            </w:pPr>
            <w:r>
              <w:rPr>
                <w:rFonts w:ascii="Arial" w:hAnsi="Arial"/>
                <w:i/>
                <w:color w:val="222222"/>
                <w:sz w:val="19"/>
              </w:rPr>
              <w:t>Criterio de evaluación aplicado a cada canal: ¿Genera usuarios reales? ¿A qué coste? ¿Fortalece o debilita el posicionamiento filosófico de la marca? ¿Es escalable sin perder control editorial?</w:t>
            </w:r>
          </w:p>
        </w:tc>
      </w:tr>
    </w:tbl>
    <w:p>
      <w:pPr>
        <w:spacing w:before="0" w:after="120"/>
        <w:jc w:val="left"/>
      </w:pPr>
    </w:p>
    <w:p>
      <w:pPr>
        <w:spacing w:before="200" w:after="120"/>
        <w:jc w:val="left"/>
      </w:pPr>
      <w:r>
        <w:rPr>
          <w:rFonts w:ascii="Arial" w:hAnsi="Arial"/>
          <w:b/>
          <w:i w:val="0"/>
          <w:color w:val="1A2E4A"/>
          <w:sz w:val="24"/>
        </w:rPr>
        <w:t>Referencia: métricas base del modelo</w:t>
      </w:r>
    </w:p>
    <w:tbl>
      <w:tblPr>
        <w:tblStyle w:val="TableGrid"/>
        <w:tblW w:type="auto" w:w="0"/>
        <w:jc w:val="left"/>
        <w:tblLook w:firstColumn="1" w:firstRow="1" w:lastColumn="0" w:lastRow="0" w:noHBand="0" w:noVBand="1" w:val="04A0"/>
      </w:tblPr>
      <w:tblGrid>
        <w:gridCol w:w="4703"/>
        <w:gridCol w:w="4703"/>
      </w:tblGrid>
      <w:tr>
        <w:tc>
          <w:tcPr>
            <w:tcW w:type="dxa" w:w="5102"/>
            <w:shd w:val="clear" w:color="auto" w:fill="2E4A6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Parámetro</w:t>
            </w:r>
          </w:p>
        </w:tc>
        <w:tc>
          <w:tcPr>
            <w:tcW w:type="dxa" w:w="3969"/>
            <w:shd w:val="clear" w:color="auto" w:fill="2E4A6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Valor</w:t>
            </w:r>
          </w:p>
        </w:tc>
      </w:tr>
      <w:tr>
        <w:tc>
          <w:tcPr>
            <w:tcW w:type="dxa" w:w="51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ARPU neto (anual plan / IVA incluido)</w:t>
            </w:r>
          </w:p>
        </w:tc>
        <w:tc>
          <w:tcPr>
            <w:tcW w:type="dxa" w:w="396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83 €/usuario/año</w:t>
            </w:r>
          </w:p>
        </w:tc>
      </w:tr>
      <w:tr>
        <w:tc>
          <w:tcPr>
            <w:tcW w:type="dxa" w:w="51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LTV a 4 años (churn 25%)</w:t>
            </w:r>
          </w:p>
        </w:tc>
        <w:tc>
          <w:tcPr>
            <w:tcW w:type="dxa" w:w="396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332 €/usuario</w:t>
            </w:r>
          </w:p>
        </w:tc>
      </w:tr>
      <w:tr>
        <w:tc>
          <w:tcPr>
            <w:tcW w:type="dxa" w:w="51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Churn anual objetivo</w:t>
            </w:r>
          </w:p>
        </w:tc>
        <w:tc>
          <w:tcPr>
            <w:tcW w:type="dxa" w:w="396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25%</w:t>
            </w:r>
          </w:p>
        </w:tc>
      </w:tr>
      <w:tr>
        <w:tc>
          <w:tcPr>
            <w:tcW w:type="dxa" w:w="51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CAC máximo sostenible (ratio LTV 3:1)</w:t>
            </w:r>
          </w:p>
        </w:tc>
        <w:tc>
          <w:tcPr>
            <w:tcW w:type="dxa" w:w="396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110 €</w:t>
            </w:r>
          </w:p>
        </w:tc>
      </w:tr>
      <w:tr>
        <w:tc>
          <w:tcPr>
            <w:tcW w:type="dxa" w:w="51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Presupuesto marketing Año 1</w:t>
            </w:r>
          </w:p>
        </w:tc>
        <w:tc>
          <w:tcPr>
            <w:tcW w:type="dxa" w:w="396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40.000 €</w:t>
            </w:r>
          </w:p>
        </w:tc>
      </w:tr>
    </w:tbl>
    <w:p>
      <w:pPr>
        <w:spacing w:before="0" w:after="120"/>
        <w:jc w:val="left"/>
      </w:pPr>
    </w:p>
    <w:p>
      <w:r>
        <w:br w:type="page"/>
      </w:r>
    </w:p>
    <w:p>
      <w:pPr>
        <w:spacing w:before="280" w:after="120"/>
        <w:jc w:val="left"/>
        <w:pBdr>
          <w:bottom w:val="single" w:sz="4" w:space="1" w:color="C8A45A"/>
        </w:pBdr>
      </w:pPr>
      <w:r>
        <w:rPr>
          <w:rFonts w:ascii="Arial" w:hAnsi="Arial"/>
          <w:b/>
          <w:i w:val="0"/>
          <w:color w:val="1A2E4A"/>
          <w:sz w:val="36"/>
        </w:rPr>
        <w:t>01 · Publicidad de Pago — Meta / Instagram LATAM</w:t>
      </w:r>
    </w:p>
    <w:p>
      <w:pPr>
        <w:spacing w:before="0" w:after="120"/>
        <w:jc w:val="both"/>
      </w:pPr>
      <w:r>
        <w:rPr>
          <w:rFonts w:ascii="Arial" w:hAnsi="Arial"/>
          <w:b w:val="0"/>
          <w:i w:val="0"/>
          <w:color w:val="000000"/>
          <w:sz w:val="21"/>
        </w:rPr>
        <w:t>El canal más predecible y controlable. Permite escalar con presupuesto y medir el resultado con precisión. El mercado objetivo prioritario es Latinoamérica: México, Colombia, Argentina, Chile y España.</w:t>
      </w:r>
    </w:p>
    <w:p>
      <w:pPr>
        <w:spacing w:before="280" w:after="120"/>
        <w:jc w:val="left"/>
      </w:pPr>
      <w:r>
        <w:rPr>
          <w:rFonts w:ascii="Arial" w:hAnsi="Arial"/>
          <w:b/>
          <w:i w:val="0"/>
          <w:color w:val="1A2E4A"/>
          <w:sz w:val="24"/>
        </w:rPr>
        <w:t>Cómo funciona el embudo</w:t>
      </w:r>
    </w:p>
    <w:tbl>
      <w:tblPr>
        <w:tblStyle w:val="TableGrid"/>
        <w:tblW w:type="auto" w:w="0"/>
        <w:jc w:val="left"/>
        <w:tblLook w:firstColumn="1" w:firstRow="1" w:lastColumn="0" w:lastRow="0" w:noHBand="0" w:noVBand="1" w:val="04A0"/>
      </w:tblPr>
      <w:tblGrid>
        <w:gridCol w:w="3135"/>
        <w:gridCol w:w="3135"/>
        <w:gridCol w:w="3135"/>
      </w:tblGrid>
      <w:tr>
        <w:tc>
          <w:tcPr>
            <w:tcW w:type="dxa" w:w="4819"/>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Etapa</w:t>
            </w:r>
          </w:p>
        </w:tc>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Benchmark Realista</w:t>
            </w:r>
          </w:p>
        </w:tc>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Benchmark Optimista</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CPM LATAM (coste/1.000 impresiones)</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6 €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5 €</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CTR (click-through rate)</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1,8%</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Conversión landing → registro</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7%</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Conversión registro → pago</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18%</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22%</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Visitas necesarias por usuario pagante</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~2.500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~360</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CAC resultante</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~83 €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~25 €</w:t>
            </w:r>
          </w:p>
        </w:tc>
      </w:tr>
    </w:tbl>
    <w:p>
      <w:pPr>
        <w:spacing w:before="0" w:after="120"/>
        <w:jc w:val="left"/>
      </w:pPr>
    </w:p>
    <w:p>
      <w:pPr>
        <w:spacing w:before="280" w:after="120"/>
        <w:jc w:val="left"/>
      </w:pPr>
      <w:r>
        <w:rPr>
          <w:rFonts w:ascii="Arial" w:hAnsi="Arial"/>
          <w:b/>
          <w:i w:val="0"/>
          <w:color w:val="1A2E4A"/>
          <w:sz w:val="24"/>
        </w:rPr>
        <w:t>Proyección con presupuesto de 10.000 € (25% del total)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535"/>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r>
          </w:p>
        </w:tc>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1</w:t>
            </w:r>
          </w:p>
        </w:tc>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2</w:t>
            </w:r>
          </w:p>
        </w:tc>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3</w:t>
            </w:r>
          </w:p>
        </w:tc>
      </w:tr>
      <w:tr>
        <w:tc>
          <w:tcPr>
            <w:tcW w:type="dxa" w:w="453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Presupuesto paid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10.000 €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12.000 €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15.000 €</w:t>
            </w:r>
          </w:p>
        </w:tc>
      </w:tr>
      <w:tr>
        <w:tc>
          <w:tcPr>
            <w:tcW w:type="dxa" w:w="4535"/>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Usuarios — escenario realista (CAC 80€)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125</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150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188</w:t>
            </w:r>
          </w:p>
        </w:tc>
      </w:tr>
      <w:tr>
        <w:tc>
          <w:tcPr>
            <w:tcW w:type="dxa" w:w="453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Usuarios — escenario optimista (CAC 30€)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333</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400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500</w:t>
            </w:r>
          </w:p>
        </w:tc>
      </w:tr>
      <w:tr>
        <w:tc>
          <w:tcPr>
            <w:tcW w:type="dxa" w:w="4535"/>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left"/>
            </w:pPr>
            <w:r>
              <w:rPr>
                <w:rFonts w:ascii="Arial" w:hAnsi="Arial"/>
                <w:b/>
                <w:color w:val="000000"/>
                <w:sz w:val="19"/>
              </w:rPr>
              <w:t>Ingresos atribuibles (opt.)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27.639 €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33.200 €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41.500 €</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8E6F5"/>
            <w:tcBorders>
              <w:top w:val="single" w:sz="4" w:space="0" w:color="AAAAAA"/>
              <w:left w:val="single" w:sz="4" w:space="0" w:color="AAAAAA"/>
              <w:bottom w:val="single" w:sz="4" w:space="0" w:color="AAAAAA"/>
              <w:right w:val="single" w:sz="4" w:space="0" w:color="AAAAAA"/>
            </w:tcBorders>
          </w:tcPr>
          <w:p>
            <w:pPr>
              <w:spacing w:before="80" w:after="80"/>
            </w:pPr>
            <w:r>
              <w:rPr>
                <w:rFonts w:ascii="Arial" w:hAnsi="Arial"/>
                <w:i/>
                <w:color w:val="222222"/>
                <w:sz w:val="19"/>
              </w:rPr>
              <w:t>Palanca clave: la conversión de landing page. Pasar del 4% al 8% reduce el CAC a la mitad sin aumentar presupuesto. Es la optimización prioritaria durante la beta. A/B test del copy y del CTA en las primeras 4 semanas.</w:t>
            </w:r>
          </w:p>
        </w:tc>
      </w:tr>
    </w:tbl>
    <w:p>
      <w:pPr>
        <w:spacing w:before="160" w:after="120"/>
        <w:jc w:val="left"/>
      </w:pPr>
      <w:r>
        <w:rPr>
          <w:rFonts w:ascii="Arial" w:hAnsi="Arial"/>
          <w:b/>
          <w:i w:val="0"/>
          <w:color w:val="1A2E4A"/>
          <w:sz w:val="24"/>
        </w:rPr>
        <w:t>Criterio de ajuste</w:t>
      </w:r>
    </w:p>
    <w:p>
      <w:pPr>
        <w:pStyle w:val="ListBullet"/>
        <w:spacing w:before="20" w:after="40"/>
      </w:pPr>
      <w:r>
        <w:rPr>
          <w:rFonts w:ascii="Arial" w:hAnsi="Arial"/>
          <w:b/>
          <w:color w:val="000000"/>
          <w:sz w:val="21"/>
        </w:rPr>
        <w:t xml:space="preserve">Si CAC &gt; 90€ tras 60 días: </w:t>
      </w:r>
      <w:r>
        <w:rPr>
          <w:rFonts w:ascii="Arial" w:hAnsi="Arial"/>
          <w:color w:val="000000"/>
          <w:sz w:val="21"/>
        </w:rPr>
        <w:t>Revisar copy del anuncio y segmentación. Reducir el gasto hasta optimizar.</w:t>
      </w:r>
    </w:p>
    <w:p>
      <w:pPr>
        <w:pStyle w:val="ListBullet"/>
        <w:spacing w:before="20" w:after="40"/>
      </w:pPr>
      <w:r>
        <w:rPr>
          <w:rFonts w:ascii="Arial" w:hAnsi="Arial"/>
          <w:b/>
          <w:color w:val="000000"/>
          <w:sz w:val="21"/>
        </w:rPr>
        <w:t xml:space="preserve">Si CAC &lt; 50€: </w:t>
      </w:r>
      <w:r>
        <w:rPr>
          <w:rFonts w:ascii="Arial" w:hAnsi="Arial"/>
          <w:color w:val="000000"/>
          <w:sz w:val="21"/>
        </w:rPr>
        <w:t>Escalar presupuesto sin esperar. Es una señal para redirigir fondos de otros canales.</w:t>
      </w:r>
    </w:p>
    <w:p>
      <w:pPr>
        <w:pStyle w:val="ListBullet"/>
        <w:spacing w:before="20" w:after="40"/>
      </w:pPr>
      <w:r>
        <w:rPr>
          <w:rFonts w:ascii="Arial" w:hAnsi="Arial"/>
          <w:b/>
          <w:color w:val="000000"/>
          <w:sz w:val="21"/>
        </w:rPr>
        <w:t xml:space="preserve">Segmentación prioritaria: </w:t>
      </w:r>
      <w:r>
        <w:rPr>
          <w:rFonts w:ascii="Arial" w:hAnsi="Arial"/>
          <w:color w:val="000000"/>
          <w:sz w:val="21"/>
        </w:rPr>
        <w:t>25–50 años, intereses: filosofía, liderazgo, espiritualidad, desarrollo personal. LATAM + España.</w:t>
      </w:r>
    </w:p>
    <w:p>
      <w:r>
        <w:br w:type="page"/>
      </w:r>
    </w:p>
    <w:p>
      <w:pPr>
        <w:spacing w:before="280" w:after="120"/>
        <w:jc w:val="left"/>
        <w:pBdr>
          <w:bottom w:val="single" w:sz="4" w:space="1" w:color="C8A45A"/>
        </w:pBdr>
      </w:pPr>
      <w:r>
        <w:rPr>
          <w:rFonts w:ascii="Arial" w:hAnsi="Arial"/>
          <w:b/>
          <w:i w:val="0"/>
          <w:color w:val="1A2E4A"/>
          <w:sz w:val="36"/>
        </w:rPr>
        <w:t>02 · Influencers con Participación en Equity</w:t>
      </w:r>
    </w:p>
    <w:p>
      <w:pPr>
        <w:spacing w:before="0" w:after="120"/>
        <w:jc w:val="both"/>
      </w:pPr>
      <w:r>
        <w:rPr>
          <w:rFonts w:ascii="Arial" w:hAnsi="Arial"/>
          <w:b w:val="0"/>
          <w:i w:val="0"/>
          <w:color w:val="000000"/>
          <w:sz w:val="21"/>
        </w:rPr>
        <w:t>Cinco influencers con acceso directo del fundador. Cada uno recibe el 1% de ATM45 (ImpulsAristomas) con vesting por hitos: firma, entrega de primeros contenidos, lanzamiento y primer año. El placement (publicaciones) tiene coste cero en efectivo. El presupuesto del canal (20.000€) cubre producción, coordinación y creación de materiales.</w:t>
      </w:r>
    </w:p>
    <w:p>
      <w:pPr>
        <w:spacing w:before="280" w:after="120"/>
        <w:jc w:val="left"/>
      </w:pPr>
      <w:r>
        <w:rPr>
          <w:rFonts w:ascii="Arial" w:hAnsi="Arial"/>
          <w:b/>
          <w:i w:val="0"/>
          <w:color w:val="1A2E4A"/>
          <w:sz w:val="24"/>
        </w:rPr>
        <w:t>Perfil target de influencer</w:t>
      </w:r>
    </w:p>
    <w:p>
      <w:pPr>
        <w:pStyle w:val="ListBullet"/>
        <w:spacing w:before="20" w:after="40"/>
      </w:pPr>
      <w:r>
        <w:rPr>
          <w:rFonts w:ascii="Arial" w:hAnsi="Arial"/>
          <w:b/>
          <w:color w:val="000000"/>
          <w:sz w:val="21"/>
        </w:rPr>
        <w:t xml:space="preserve">Audiencia: </w:t>
      </w:r>
      <w:r>
        <w:rPr>
          <w:rFonts w:ascii="Arial" w:hAnsi="Arial"/>
          <w:color w:val="000000"/>
          <w:sz w:val="21"/>
        </w:rPr>
        <w:t>20.000–100.000 seguidores. Micro y mid-tier. Mayor engagement que macro.</w:t>
      </w:r>
    </w:p>
    <w:p>
      <w:pPr>
        <w:pStyle w:val="ListBullet"/>
        <w:spacing w:before="20" w:after="40"/>
      </w:pPr>
      <w:r>
        <w:rPr>
          <w:rFonts w:ascii="Arial" w:hAnsi="Arial"/>
          <w:b/>
          <w:color w:val="000000"/>
          <w:sz w:val="21"/>
        </w:rPr>
        <w:t xml:space="preserve">Temática: </w:t>
      </w:r>
      <w:r>
        <w:rPr>
          <w:rFonts w:ascii="Arial" w:hAnsi="Arial"/>
          <w:color w:val="000000"/>
          <w:sz w:val="21"/>
        </w:rPr>
        <w:t>Liderazgo, filosofía práctica, espiritualidad laica, desarrollo personal con raíces.</w:t>
      </w:r>
    </w:p>
    <w:p>
      <w:pPr>
        <w:pStyle w:val="ListBullet"/>
        <w:spacing w:before="20" w:after="40"/>
      </w:pPr>
      <w:r>
        <w:rPr>
          <w:rFonts w:ascii="Arial" w:hAnsi="Arial"/>
          <w:b/>
          <w:color w:val="000000"/>
          <w:sz w:val="21"/>
        </w:rPr>
        <w:t xml:space="preserve">Geografía: </w:t>
      </w:r>
      <w:r>
        <w:rPr>
          <w:rFonts w:ascii="Arial" w:hAnsi="Arial"/>
          <w:color w:val="000000"/>
          <w:sz w:val="21"/>
        </w:rPr>
        <w:t>LATAM (México, Colombia, Argentina) y España.</w:t>
      </w:r>
    </w:p>
    <w:p>
      <w:pPr>
        <w:pStyle w:val="ListBullet"/>
        <w:spacing w:before="20" w:after="40"/>
      </w:pPr>
      <w:r>
        <w:rPr>
          <w:rFonts w:ascii="Arial" w:hAnsi="Arial"/>
          <w:b/>
          <w:color w:val="000000"/>
          <w:sz w:val="21"/>
        </w:rPr>
        <w:t xml:space="preserve">Modelo: </w:t>
      </w:r>
      <w:r>
        <w:rPr>
          <w:rFonts w:ascii="Arial" w:hAnsi="Arial"/>
          <w:color w:val="000000"/>
          <w:sz w:val="21"/>
        </w:rPr>
        <w:t>No son prescriptores de producto. Son co-creadores del movimiento.</w:t>
      </w:r>
    </w:p>
    <w:p>
      <w:pPr>
        <w:spacing w:before="0" w:after="120"/>
        <w:jc w:val="left"/>
      </w:pPr>
    </w:p>
    <w:p>
      <w:pPr>
        <w:spacing w:before="280" w:after="120"/>
        <w:jc w:val="left"/>
      </w:pPr>
      <w:r>
        <w:rPr>
          <w:rFonts w:ascii="Arial" w:hAnsi="Arial"/>
          <w:b/>
          <w:i w:val="0"/>
          <w:color w:val="1A2E4A"/>
          <w:sz w:val="24"/>
        </w:rPr>
        <w:t>Proyección — 5 influencers, perfil 40k seguidores</w:t>
      </w:r>
    </w:p>
    <w:tbl>
      <w:tblPr>
        <w:tblStyle w:val="TableGrid"/>
        <w:tblW w:type="auto" w:w="0"/>
        <w:jc w:val="left"/>
        <w:tblLook w:firstColumn="1" w:firstRow="1" w:lastColumn="0" w:lastRow="0" w:noHBand="0" w:noVBand="1" w:val="04A0"/>
      </w:tblPr>
      <w:tblGrid>
        <w:gridCol w:w="3135"/>
        <w:gridCol w:w="3135"/>
        <w:gridCol w:w="3135"/>
      </w:tblGrid>
      <w:tr>
        <w:tc>
          <w:tcPr>
            <w:tcW w:type="dxa" w:w="4819"/>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Métrica</w:t>
            </w:r>
          </w:p>
        </w:tc>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Realista</w:t>
            </w:r>
          </w:p>
        </w:tc>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Optimista</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Seguidores promedio</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40.000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60.000</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Posts / influencer / año</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4</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6</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Reach por post (15% seg.)</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6.000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9.000</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Total impresiones anuales</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120.000</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324.000</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Click rate</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Conv. click → registro</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6%</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10%</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Conv. registro → pago</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25%</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35%</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left"/>
            </w:pPr>
            <w:r>
              <w:rPr>
                <w:rFonts w:ascii="Arial" w:hAnsi="Arial"/>
                <w:b/>
                <w:color w:val="000000"/>
                <w:sz w:val="19"/>
              </w:rPr>
              <w:t>Usuarios pagantes totales</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36</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182</w:t>
            </w:r>
          </w:p>
        </w:tc>
      </w:tr>
      <w:tr>
        <w:tc>
          <w:tcPr>
            <w:tcW w:type="dxa" w:w="481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CAC producción (€/usuario)</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556 €</w:t>
            </w:r>
          </w:p>
        </w:tc>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110 €</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8E6F5"/>
            <w:tcBorders>
              <w:top w:val="single" w:sz="4" w:space="0" w:color="AAAAAA"/>
              <w:left w:val="single" w:sz="4" w:space="0" w:color="AAAAAA"/>
              <w:bottom w:val="single" w:sz="4" w:space="0" w:color="AAAAAA"/>
              <w:right w:val="single" w:sz="4" w:space="0" w:color="AAAAAA"/>
            </w:tcBorders>
          </w:tcPr>
          <w:p>
            <w:pPr>
              <w:spacing w:before="80" w:after="80"/>
            </w:pPr>
            <w:r>
              <w:rPr>
                <w:rFonts w:ascii="Arial" w:hAnsi="Arial"/>
                <w:i/>
                <w:color w:val="222222"/>
                <w:sz w:val="19"/>
              </w:rPr>
              <w:t>El CAC real del canal influencer no es el de producción: es el valor del equity cedido (5% × 300.000€ = 15.000€) amortizado entre todos los usuarios que traigan durante el período de vesting. Si traen 300 usuarios en 2 años, el CAC equity es 50€ por usuario.</w:t>
            </w:r>
          </w:p>
        </w:tc>
      </w:tr>
    </w:tbl>
    <w:p>
      <w:pPr>
        <w:spacing w:before="160" w:after="120"/>
        <w:jc w:val="left"/>
      </w:pPr>
      <w:r>
        <w:rPr>
          <w:rFonts w:ascii="Arial" w:hAnsi="Arial"/>
          <w:b/>
          <w:i w:val="0"/>
          <w:color w:val="1A2E4A"/>
          <w:sz w:val="24"/>
        </w:rPr>
        <w:t>Valor más allá de la conversión directa</w:t>
      </w:r>
    </w:p>
    <w:p>
      <w:pPr>
        <w:pStyle w:val="ListBullet"/>
        <w:spacing w:before="20" w:after="40"/>
      </w:pPr>
      <w:r>
        <w:rPr>
          <w:rFonts w:ascii="Arial" w:hAnsi="Arial"/>
          <w:b/>
          <w:color w:val="000000"/>
          <w:sz w:val="21"/>
        </w:rPr>
        <w:t xml:space="preserve">Credibilidad editorial: </w:t>
      </w:r>
      <w:r>
        <w:rPr>
          <w:rFonts w:ascii="Arial" w:hAnsi="Arial"/>
          <w:color w:val="000000"/>
          <w:sz w:val="21"/>
        </w:rPr>
        <w:t>Un filósofo-influencer que habla de Aristomas transfiere autoridad. No es publicidad, es endorsement.</w:t>
      </w:r>
    </w:p>
    <w:p>
      <w:pPr>
        <w:pStyle w:val="ListBullet"/>
        <w:spacing w:before="20" w:after="40"/>
      </w:pPr>
      <w:r>
        <w:rPr>
          <w:rFonts w:ascii="Arial" w:hAnsi="Arial"/>
          <w:b/>
          <w:color w:val="000000"/>
          <w:sz w:val="21"/>
        </w:rPr>
        <w:t xml:space="preserve">Efecto halo: </w:t>
      </w:r>
      <w:r>
        <w:rPr>
          <w:rFonts w:ascii="Arial" w:hAnsi="Arial"/>
          <w:color w:val="000000"/>
          <w:sz w:val="21"/>
        </w:rPr>
        <w:t>Usuarios que ven el contenido sin convertir recuerdan la marca. La conversión puede ocurrir meses después.</w:t>
      </w:r>
    </w:p>
    <w:p>
      <w:pPr>
        <w:pStyle w:val="ListBullet"/>
        <w:spacing w:before="20" w:after="40"/>
      </w:pPr>
      <w:r>
        <w:rPr>
          <w:rFonts w:ascii="Arial" w:hAnsi="Arial"/>
          <w:b/>
          <w:color w:val="000000"/>
          <w:sz w:val="21"/>
        </w:rPr>
        <w:t xml:space="preserve">Generación de contenido: </w:t>
      </w:r>
      <w:r>
        <w:rPr>
          <w:rFonts w:ascii="Arial" w:hAnsi="Arial"/>
          <w:color w:val="000000"/>
          <w:sz w:val="21"/>
        </w:rPr>
        <w:t>Sus posts son activos reutilizables para las redes propias y ads de retargeting.</w:t>
      </w:r>
    </w:p>
    <w:p>
      <w:r>
        <w:br w:type="page"/>
      </w:r>
    </w:p>
    <w:p>
      <w:pPr>
        <w:spacing w:before="280" w:after="120"/>
        <w:jc w:val="left"/>
        <w:pBdr>
          <w:bottom w:val="single" w:sz="4" w:space="1" w:color="C8A45A"/>
        </w:pBdr>
      </w:pPr>
      <w:r>
        <w:rPr>
          <w:rFonts w:ascii="Arial" w:hAnsi="Arial"/>
          <w:b/>
          <w:i w:val="0"/>
          <w:color w:val="1A2E4A"/>
          <w:sz w:val="36"/>
        </w:rPr>
        <w:t>03 · Redes Propias y Contenido Orgánico</w:t>
      </w:r>
    </w:p>
    <w:p>
      <w:pPr>
        <w:spacing w:before="0" w:after="120"/>
        <w:jc w:val="both"/>
      </w:pPr>
      <w:r>
        <w:rPr>
          <w:rFonts w:ascii="Arial" w:hAnsi="Arial"/>
          <w:b w:val="0"/>
          <w:i w:val="0"/>
          <w:color w:val="000000"/>
          <w:sz w:val="21"/>
        </w:rPr>
        <w:t>El canal más lento en arrancar y el más eficiente a largo plazo. Presupuesto: 10.000€ (Año 1) destinados a producción de contenido propio, herramientas de email y gestión de comunidad. En Año 2 y 3 este canal debería generar el mayor retorno por euro invertido.</w:t>
      </w:r>
    </w:p>
    <w:p>
      <w:pPr>
        <w:spacing w:before="280" w:after="120"/>
        <w:jc w:val="left"/>
      </w:pPr>
      <w:r>
        <w:rPr>
          <w:rFonts w:ascii="Arial" w:hAnsi="Arial"/>
          <w:b/>
          <w:i w:val="0"/>
          <w:color w:val="1A2E4A"/>
          <w:sz w:val="24"/>
        </w:rPr>
        <w:t>Subcanales y proyección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268"/>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Canal</w:t>
            </w:r>
          </w:p>
        </w:tc>
        <w:tc>
          <w:tcPr>
            <w:tcW w:type="dxa" w:w="3685"/>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Descripción</w:t>
            </w:r>
          </w:p>
        </w:tc>
        <w:tc>
          <w:tcPr>
            <w:tcW w:type="dxa" w:w="1417"/>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Usuarios Año 1 (R)</w:t>
            </w:r>
          </w:p>
        </w:tc>
        <w:tc>
          <w:tcPr>
            <w:tcW w:type="dxa" w:w="1417"/>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Usuarios Año 1 (O)</w:t>
            </w:r>
          </w:p>
        </w:tc>
        <w:tc>
          <w:tcPr>
            <w:tcW w:type="dxa" w:w="1417"/>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Tendencia Año 3</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Newsletter / Email</w:t>
            </w:r>
          </w:p>
        </w:tc>
        <w:tc>
          <w:tcPr>
            <w:tcW w:type="dxa" w:w="368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Lista construida en beta. Conv. email→pago 8–12%</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8</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18</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 80–150</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Instagram propio</w:t>
            </w:r>
          </w:p>
        </w:tc>
        <w:tc>
          <w:tcPr>
            <w:tcW w:type="dxa" w:w="3685"/>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Contenido filosófico diario. 2.000–5.000 seg. en Y1</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12</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25</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 60–120</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LinkedIn</w:t>
            </w:r>
          </w:p>
        </w:tc>
        <w:tc>
          <w:tcPr>
            <w:tcW w:type="dxa" w:w="368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Liderazgo y carácter. Decisores en empresas.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12</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 40–80</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SEO / Blog</w:t>
            </w:r>
          </w:p>
        </w:tc>
        <w:tc>
          <w:tcPr>
            <w:tcW w:type="dxa" w:w="3685"/>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Posts sobre virtudes + filosofía práctica. Largo plazo.</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5</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10</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 100–200</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Beta boca a boca</w:t>
            </w:r>
          </w:p>
        </w:tc>
        <w:tc>
          <w:tcPr>
            <w:tcW w:type="dxa" w:w="368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30–40 beta users que recomiendan activamente</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15</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50</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 estable</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left"/>
            </w:pPr>
            <w:r>
              <w:rPr>
                <w:rFonts w:ascii="Arial" w:hAnsi="Arial"/>
                <w:b/>
                <w:color w:val="000000"/>
                <w:sz w:val="19"/>
              </w:rPr>
              <w:t>TOTAL ORGÁNICO</w:t>
            </w:r>
          </w:p>
        </w:tc>
        <w:tc>
          <w:tcPr>
            <w:tcW w:type="dxa" w:w="3685"/>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45</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115</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 280–550</w:t>
            </w:r>
          </w:p>
        </w:tc>
      </w:tr>
    </w:tbl>
    <w:p>
      <w:pPr>
        <w:spacing w:before="0" w:after="120"/>
        <w:jc w:val="left"/>
      </w:pPr>
    </w:p>
    <w:p>
      <w:pPr>
        <w:spacing w:before="280" w:after="120"/>
        <w:jc w:val="left"/>
      </w:pPr>
      <w:r>
        <w:rPr>
          <w:rFonts w:ascii="Arial" w:hAnsi="Arial"/>
          <w:b/>
          <w:i w:val="0"/>
          <w:color w:val="1A2E4A"/>
          <w:sz w:val="24"/>
        </w:rPr>
        <w:t>Estrategia de contenido orgánico</w:t>
      </w:r>
    </w:p>
    <w:p>
      <w:pPr>
        <w:pStyle w:val="ListBullet"/>
        <w:spacing w:before="20" w:after="40"/>
      </w:pPr>
      <w:r>
        <w:rPr>
          <w:rFonts w:ascii="Arial" w:hAnsi="Arial"/>
          <w:b/>
          <w:color w:val="000000"/>
          <w:sz w:val="21"/>
        </w:rPr>
        <w:t xml:space="preserve">Tono: </w:t>
      </w:r>
      <w:r>
        <w:rPr>
          <w:rFonts w:ascii="Arial" w:hAnsi="Arial"/>
          <w:color w:val="000000"/>
          <w:sz w:val="21"/>
        </w:rPr>
        <w:t>Filosófico pero accesible. Aristotélico sin ser académico. Nunca motivacional vacío.</w:t>
      </w:r>
    </w:p>
    <w:p>
      <w:pPr>
        <w:pStyle w:val="ListBullet"/>
        <w:spacing w:before="20" w:after="40"/>
      </w:pPr>
      <w:r>
        <w:rPr>
          <w:rFonts w:ascii="Arial" w:hAnsi="Arial"/>
          <w:b/>
          <w:color w:val="000000"/>
          <w:sz w:val="21"/>
        </w:rPr>
        <w:t xml:space="preserve">Frecuencia: </w:t>
      </w:r>
      <w:r>
        <w:rPr>
          <w:rFonts w:ascii="Arial" w:hAnsi="Arial"/>
          <w:color w:val="000000"/>
          <w:sz w:val="21"/>
        </w:rPr>
        <w:t>Instagram: 4–5 posts/semana. Newsletter: semanal. Blog: 2 posts/mes.</w:t>
      </w:r>
    </w:p>
    <w:p>
      <w:pPr>
        <w:pStyle w:val="ListBullet"/>
        <w:spacing w:before="20" w:after="40"/>
      </w:pPr>
      <w:r>
        <w:rPr>
          <w:rFonts w:ascii="Arial" w:hAnsi="Arial"/>
          <w:b/>
          <w:color w:val="000000"/>
          <w:sz w:val="21"/>
        </w:rPr>
        <w:t xml:space="preserve">Tipo de contenido: </w:t>
      </w:r>
      <w:r>
        <w:rPr>
          <w:rFonts w:ascii="Arial" w:hAnsi="Arial"/>
          <w:color w:val="000000"/>
          <w:sz w:val="21"/>
        </w:rPr>
        <w:t>Citas, dilemas morales del día a día, explicaciones de virtudes, historias reales.</w:t>
      </w:r>
    </w:p>
    <w:p>
      <w:pPr>
        <w:pStyle w:val="ListBullet"/>
        <w:spacing w:before="20" w:after="40"/>
      </w:pPr>
      <w:r>
        <w:rPr>
          <w:rFonts w:ascii="Arial" w:hAnsi="Arial"/>
          <w:b/>
          <w:color w:val="000000"/>
          <w:sz w:val="21"/>
        </w:rPr>
        <w:t xml:space="preserve">Funnel: </w:t>
      </w:r>
      <w:r>
        <w:rPr>
          <w:rFonts w:ascii="Arial" w:hAnsi="Arial"/>
          <w:color w:val="000000"/>
          <w:sz w:val="21"/>
        </w:rPr>
        <w:t>Contenido gratuito → lista de espera beta → ciclo de prueba → suscripción.</w:t>
      </w:r>
    </w:p>
    <w:p>
      <w:pPr>
        <w:pStyle w:val="ListBullet"/>
        <w:spacing w:before="20" w:after="40"/>
      </w:pPr>
      <w:r>
        <w:rPr>
          <w:rFonts w:ascii="Arial" w:hAnsi="Arial"/>
          <w:b/>
          <w:color w:val="000000"/>
          <w:sz w:val="21"/>
        </w:rPr>
        <w:t xml:space="preserve">Podcast appearances: </w:t>
      </w:r>
      <w:r>
        <w:rPr>
          <w:rFonts w:ascii="Arial" w:hAnsi="Arial"/>
          <w:color w:val="000000"/>
          <w:sz w:val="21"/>
        </w:rPr>
        <w:t>El fundador como invitado en podcasts de filosofía, liderazgo y desarrollo personal. Coste cero.</w:t>
      </w:r>
    </w:p>
    <w:p>
      <w:r>
        <w:br w:type="page"/>
      </w:r>
    </w:p>
    <w:p>
      <w:pPr>
        <w:spacing w:before="280" w:after="120"/>
        <w:jc w:val="left"/>
        <w:pBdr>
          <w:bottom w:val="single" w:sz="4" w:space="1" w:color="C8A45A"/>
        </w:pBdr>
      </w:pPr>
      <w:r>
        <w:rPr>
          <w:rFonts w:ascii="Arial" w:hAnsi="Arial"/>
          <w:b/>
          <w:i w:val="0"/>
          <w:color w:val="1A2E4A"/>
          <w:sz w:val="36"/>
        </w:rPr>
        <w:t>04 · Acuerdos B2B Institucionales</w:t>
      </w:r>
    </w:p>
    <w:p>
      <w:pPr>
        <w:spacing w:before="0" w:after="120"/>
        <w:jc w:val="both"/>
      </w:pPr>
      <w:r>
        <w:rPr>
          <w:rFonts w:ascii="Arial" w:hAnsi="Arial"/>
          <w:b w:val="0"/>
          <w:i w:val="0"/>
          <w:color w:val="000000"/>
          <w:sz w:val="21"/>
        </w:rPr>
        <w:t>Venta de paquetes de acceso a organizaciones, empresas e instituciones. El posicionamiento no es 'bienestar corporativo' —ese mercado está saturado y devalúa la marca—, sino 'formación en carácter y liderazgo'. La diferencia de framing es estratégicamente importante.</w:t>
      </w:r>
    </w:p>
    <w:p>
      <w:pPr>
        <w:spacing w:before="280" w:after="120"/>
        <w:jc w:val="left"/>
      </w:pPr>
      <w:r>
        <w:rPr>
          <w:rFonts w:ascii="Arial" w:hAnsi="Arial"/>
          <w:b/>
          <w:i w:val="0"/>
          <w:color w:val="1A2E4A"/>
          <w:sz w:val="24"/>
        </w:rPr>
        <w:t>Perfil de cliente institucional (por prioridad)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Tipo</w:t>
            </w:r>
          </w:p>
        </w:tc>
        <w:tc>
          <w:tcPr>
            <w:tcW w:type="dxa" w:w="3402"/>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Por qué funcionan</w:t>
            </w:r>
          </w:p>
        </w:tc>
        <w:tc>
          <w:tcPr>
            <w:tcW w:type="dxa" w:w="1417"/>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Tamaño medio</w:t>
            </w:r>
          </w:p>
        </w:tc>
        <w:tc>
          <w:tcPr>
            <w:tcW w:type="dxa" w:w="1417"/>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Riesgo de marca</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Colegios profesionales</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Formación continua obligatoria. Líderes con poder adquisitivo.</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50–300 usuarios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Muy bajo</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Escuelas de negocio / MBA</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Asignatura 'Liderazgo y carácter'. Alumnos premium.</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30–150 usuarios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Muy bajo</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Fundaciones y ONG</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Misión alineada. Prescriptores ideológicos.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10–80 usuarios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Muy bajo</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Empresas familiares</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El fundador busca exactamente esto para su equipo directivo.</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10–50 usuarios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Bajo</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Comunidades religiosas</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Mercado natural para virtudes. Alta fidelización.</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20–200 usuarios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Bajo</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Empresas RRHH / bienestar</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Pueden actuar como distribuidores.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50–500 usuarios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Medio</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Grandes corporaciones</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Presupuesto grande, proceso de venta muy largo.</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200+ usuarios</w:t>
            </w:r>
          </w:p>
        </w:tc>
        <w:tc>
          <w:tcPr>
            <w:tcW w:type="dxa" w:w="1417"/>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Alto</w:t>
            </w:r>
          </w:p>
        </w:tc>
      </w:tr>
    </w:tbl>
    <w:p>
      <w:pPr>
        <w:spacing w:before="0" w:after="120"/>
        <w:jc w:val="left"/>
      </w:pPr>
    </w:p>
    <w:p>
      <w:pPr>
        <w:spacing w:before="280" w:after="120"/>
        <w:jc w:val="left"/>
      </w:pPr>
      <w:r>
        <w:rPr>
          <w:rFonts w:ascii="Arial" w:hAnsi="Arial"/>
          <w:b/>
          <w:i w:val="0"/>
          <w:color w:val="1A2E4A"/>
          <w:sz w:val="24"/>
        </w:rPr>
        <w:t>Precios B2B</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E4A6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Pack</w:t>
            </w:r>
          </w:p>
        </w:tc>
        <w:tc>
          <w:tcPr>
            <w:tcW w:type="dxa" w:w="1984"/>
            <w:shd w:val="clear" w:color="auto" w:fill="2E4A6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Rango de usuarios</w:t>
            </w:r>
          </w:p>
        </w:tc>
        <w:tc>
          <w:tcPr>
            <w:tcW w:type="dxa" w:w="2268"/>
            <w:shd w:val="clear" w:color="auto" w:fill="2E4A6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Precio / usuario / mes</w:t>
            </w:r>
          </w:p>
        </w:tc>
        <w:tc>
          <w:tcPr>
            <w:tcW w:type="dxa" w:w="2268"/>
            <w:shd w:val="clear" w:color="auto" w:fill="2E4A6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Equivalente anual (25u)</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Pack Equipo</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5–25</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7 €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2.100 €</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Pack Organización</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26–100</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5 €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6.000 € (100u)</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Pack Institución</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100+</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Negociable</w:t>
            </w:r>
          </w:p>
        </w:tc>
      </w:tr>
      <w:tr>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left"/>
            </w:pPr>
            <w:r>
              <w:rPr>
                <w:rFonts w:ascii="Arial" w:hAnsi="Arial"/>
                <w:b/>
                <w:color w:val="000000"/>
                <w:sz w:val="19"/>
              </w:rPr>
              <w:t>Ahorro vs. precio individual</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46–69%</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Individual = 12,99€/mes</w:t>
            </w:r>
          </w:p>
        </w:tc>
      </w:tr>
    </w:tbl>
    <w:p>
      <w:pPr>
        <w:spacing w:before="0" w:after="120"/>
        <w:jc w:val="left"/>
      </w:pPr>
    </w:p>
    <w:p>
      <w:pPr>
        <w:spacing w:before="280" w:after="120"/>
        <w:jc w:val="left"/>
      </w:pPr>
      <w:r>
        <w:rPr>
          <w:rFonts w:ascii="Arial" w:hAnsi="Arial"/>
          <w:b/>
          <w:i w:val="0"/>
          <w:color w:val="1A2E4A"/>
          <w:sz w:val="24"/>
        </w:rPr>
        <w:t>Cómo venderlo — El proceso</w:t>
      </w:r>
    </w:p>
    <w:p>
      <w:pPr>
        <w:pStyle w:val="ListBullet"/>
        <w:spacing w:before="20" w:after="40"/>
      </w:pPr>
      <w:r>
        <w:rPr>
          <w:rFonts w:ascii="Arial" w:hAnsi="Arial"/>
          <w:b/>
          <w:color w:val="000000"/>
          <w:sz w:val="21"/>
        </w:rPr>
        <w:t xml:space="preserve">Paso 1 — Identificar </w:t>
      </w:r>
      <w:r>
        <w:rPr>
          <w:rFonts w:ascii="Arial" w:hAnsi="Arial"/>
          <w:color w:val="000000"/>
          <w:sz w:val="21"/>
        </w:rPr>
        <w:t>Contacto directo con el fundador o red cercana. No cold outreach en Año 1. El primer cliente institucional debe ser alguien de confianza.</w:t>
      </w:r>
    </w:p>
    <w:p>
      <w:pPr>
        <w:pStyle w:val="ListBullet"/>
        <w:spacing w:before="20" w:after="40"/>
      </w:pPr>
      <w:r>
        <w:rPr>
          <w:rFonts w:ascii="Arial" w:hAnsi="Arial"/>
          <w:b/>
          <w:color w:val="000000"/>
          <w:sz w:val="21"/>
        </w:rPr>
        <w:t xml:space="preserve">Paso 2 — Propuesta </w:t>
      </w:r>
      <w:r>
        <w:rPr>
          <w:rFonts w:ascii="Arial" w:hAnsi="Arial"/>
          <w:color w:val="000000"/>
          <w:sz w:val="21"/>
        </w:rPr>
        <w:t>Email de 3 párrafos máximo: qué es Aristomas, qué ofreces a su organización, precio orientativo. Adjuntas el Teaser (no el one-pager financiero).</w:t>
      </w:r>
    </w:p>
    <w:p>
      <w:pPr>
        <w:pStyle w:val="ListBullet"/>
        <w:spacing w:before="20" w:after="40"/>
      </w:pPr>
      <w:r>
        <w:rPr>
          <w:rFonts w:ascii="Arial" w:hAnsi="Arial"/>
          <w:b/>
          <w:color w:val="000000"/>
          <w:sz w:val="21"/>
        </w:rPr>
        <w:t xml:space="preserve">Paso 3 — Demo </w:t>
      </w:r>
      <w:r>
        <w:rPr>
          <w:rFonts w:ascii="Arial" w:hAnsi="Arial"/>
          <w:color w:val="000000"/>
          <w:sz w:val="21"/>
        </w:rPr>
        <w:t>El fundador presenta el ciclo de Paciencia a 2–3 responsables. 20 minutos. Si no lo viven, no lo venden.</w:t>
      </w:r>
    </w:p>
    <w:p>
      <w:pPr>
        <w:pStyle w:val="ListBullet"/>
        <w:spacing w:before="20" w:after="40"/>
      </w:pPr>
      <w:r>
        <w:rPr>
          <w:rFonts w:ascii="Arial" w:hAnsi="Arial"/>
          <w:b/>
          <w:color w:val="000000"/>
          <w:sz w:val="21"/>
        </w:rPr>
        <w:t xml:space="preserve">Paso 4 — Prueba piloto </w:t>
      </w:r>
      <w:r>
        <w:rPr>
          <w:rFonts w:ascii="Arial" w:hAnsi="Arial"/>
          <w:color w:val="000000"/>
          <w:sz w:val="21"/>
        </w:rPr>
        <w:t>5–10 usuarios gratuitos durante 21 días (un ciclo). El coste es cero. El resultado es fidelización o feedback.</w:t>
      </w:r>
    </w:p>
    <w:p>
      <w:pPr>
        <w:pStyle w:val="ListBullet"/>
        <w:spacing w:before="20" w:after="40"/>
      </w:pPr>
      <w:r>
        <w:rPr>
          <w:rFonts w:ascii="Arial" w:hAnsi="Arial"/>
          <w:b/>
          <w:color w:val="000000"/>
          <w:sz w:val="21"/>
        </w:rPr>
        <w:t xml:space="preserve">Paso 5 — Contrato </w:t>
      </w:r>
      <w:r>
        <w:rPr>
          <w:rFonts w:ascii="Arial" w:hAnsi="Arial"/>
          <w:color w:val="000000"/>
          <w:sz w:val="21"/>
        </w:rPr>
        <w:t>Mínimo anual. Con cláusula de comunicación: la organización envía al menos 1 email interno presentando Aristomas a sus miembros.</w:t>
      </w:r>
    </w:p>
    <w:p>
      <w:pPr>
        <w:pStyle w:val="ListBullet"/>
        <w:spacing w:before="20" w:after="40"/>
      </w:pPr>
      <w:r>
        <w:rPr>
          <w:rFonts w:ascii="Arial" w:hAnsi="Arial"/>
          <w:b/>
          <w:color w:val="000000"/>
          <w:sz w:val="21"/>
        </w:rPr>
        <w:t xml:space="preserve">Paso 6 — Difusión </w:t>
      </w:r>
      <w:r>
        <w:rPr>
          <w:rFonts w:ascii="Arial" w:hAnsi="Arial"/>
          <w:color w:val="000000"/>
          <w:sz w:val="21"/>
        </w:rPr>
        <w:t>La cláusula de comunicación es el verdadero valor: un colegio con 3.000 socios que manda un email equivale a 15.000€ en Meta Ads.</w:t>
      </w:r>
    </w:p>
    <w:p>
      <w:pPr>
        <w:spacing w:before="0" w:after="120"/>
        <w:jc w:val="left"/>
      </w:pPr>
    </w:p>
    <w:p>
      <w:pPr>
        <w:spacing w:before="280" w:after="120"/>
        <w:jc w:val="left"/>
      </w:pPr>
      <w:r>
        <w:rPr>
          <w:rFonts w:ascii="Arial" w:hAnsi="Arial"/>
          <w:b/>
          <w:i w:val="0"/>
          <w:color w:val="1A2E4A"/>
          <w:sz w:val="24"/>
        </w:rPr>
        <w:t>Proyección B2B a 3 años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969"/>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r>
          </w:p>
        </w:tc>
        <w:tc>
          <w:tcPr>
            <w:tcW w:type="dxa" w:w="2268"/>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1</w:t>
            </w:r>
          </w:p>
        </w:tc>
        <w:tc>
          <w:tcPr>
            <w:tcW w:type="dxa" w:w="2268"/>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2</w:t>
            </w:r>
          </w:p>
        </w:tc>
        <w:tc>
          <w:tcPr>
            <w:tcW w:type="dxa" w:w="2268"/>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3</w:t>
            </w:r>
          </w:p>
        </w:tc>
      </w:tr>
      <w:tr>
        <w:tc>
          <w:tcPr>
            <w:tcW w:type="dxa" w:w="396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Clientes institucionales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1–3</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5–10</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12–20</w:t>
            </w:r>
          </w:p>
        </w:tc>
      </w:tr>
      <w:tr>
        <w:tc>
          <w:tcPr>
            <w:tcW w:type="dxa" w:w="3969"/>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Usuarios promedio por cliente</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15</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30</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40</w:t>
            </w:r>
          </w:p>
        </w:tc>
      </w:tr>
      <w:tr>
        <w:tc>
          <w:tcPr>
            <w:tcW w:type="dxa" w:w="396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Precio medio /usuario/mes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6 €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5,5 €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5 €</w:t>
            </w:r>
          </w:p>
        </w:tc>
      </w:tr>
      <w:tr>
        <w:tc>
          <w:tcPr>
            <w:tcW w:type="dxa" w:w="3969"/>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left"/>
            </w:pPr>
            <w:r>
              <w:rPr>
                <w:rFonts w:ascii="Arial" w:hAnsi="Arial"/>
                <w:b/>
                <w:color w:val="000000"/>
                <w:sz w:val="19"/>
              </w:rPr>
              <w:t>Ingresos B2B anuales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1.620–2.916 €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9.900–19.800 €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28.800–48.000 €</w:t>
            </w:r>
          </w:p>
        </w:tc>
      </w:tr>
      <w:tr>
        <w:tc>
          <w:tcPr>
            <w:tcW w:type="dxa" w:w="3969"/>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Difusión estimada (emails internos)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3.000–15.000 personas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20.000–50.000</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50.000–150.000</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8E6F5"/>
            <w:tcBorders>
              <w:top w:val="single" w:sz="4" w:space="0" w:color="AAAAAA"/>
              <w:left w:val="single" w:sz="4" w:space="0" w:color="AAAAAA"/>
              <w:bottom w:val="single" w:sz="4" w:space="0" w:color="AAAAAA"/>
              <w:right w:val="single" w:sz="4" w:space="0" w:color="AAAAAA"/>
            </w:tcBorders>
          </w:tcPr>
          <w:p>
            <w:pPr>
              <w:spacing w:before="80" w:after="80"/>
            </w:pPr>
            <w:r>
              <w:rPr>
                <w:rFonts w:ascii="Arial" w:hAnsi="Arial"/>
                <w:i/>
                <w:color w:val="222222"/>
                <w:sz w:val="19"/>
              </w:rPr>
              <w:t>El ingreso directo del B2B en Año 1 es modesto. El valor real es la difusión: una organización que compra y comunica Aristomas a sus miembros genera leads individuales gratuitos a escala. Tratar los clientes B2B como socios de distribución, no solo como clientes.</w:t>
            </w:r>
          </w:p>
        </w:tc>
      </w:tr>
    </w:tbl>
    <w:p>
      <w:r>
        <w:br w:type="page"/>
      </w:r>
    </w:p>
    <w:p>
      <w:pPr>
        <w:spacing w:before="280" w:after="120"/>
        <w:jc w:val="left"/>
        <w:pBdr>
          <w:bottom w:val="single" w:sz="4" w:space="1" w:color="C8A45A"/>
        </w:pBdr>
      </w:pPr>
      <w:r>
        <w:rPr>
          <w:rFonts w:ascii="Arial" w:hAnsi="Arial"/>
          <w:b/>
          <w:i w:val="0"/>
          <w:color w:val="1A2E4A"/>
          <w:sz w:val="36"/>
        </w:rPr>
        <w:t>05 · Patrocinio de Virtud</w:t>
      </w:r>
    </w:p>
    <w:p>
      <w:pPr>
        <w:spacing w:before="0" w:after="120"/>
        <w:jc w:val="both"/>
      </w:pPr>
      <w:r>
        <w:rPr>
          <w:rFonts w:ascii="Arial" w:hAnsi="Arial"/>
          <w:b w:val="0"/>
          <w:i w:val="0"/>
          <w:color w:val="000000"/>
          <w:sz w:val="21"/>
        </w:rPr>
        <w:t>Una empresa o marca patrocina un ciclo completo de 21 días. No es publicidad convencional: es asociación filosófica exclusiva. No existe ningún otro vehículo en el mercado hispanohablante donde una marca quede vinculada a una virtud con rigor aristotélico y audiencia cautiva durante 21 días.</w:t>
      </w:r>
    </w:p>
    <w:p>
      <w:pPr>
        <w:spacing w:before="280" w:after="120"/>
        <w:jc w:val="left"/>
      </w:pPr>
      <w:r>
        <w:rPr>
          <w:rFonts w:ascii="Arial" w:hAnsi="Arial"/>
          <w:b/>
          <w:i w:val="0"/>
          <w:color w:val="1A2E4A"/>
          <w:sz w:val="24"/>
        </w:rPr>
        <w:t>Qué incluye el patrocinio</w:t>
      </w:r>
    </w:p>
    <w:p>
      <w:pPr>
        <w:pStyle w:val="ListBullet"/>
        <w:spacing w:before="20" w:after="40"/>
      </w:pPr>
      <w:r>
        <w:rPr>
          <w:rFonts w:ascii="Arial" w:hAnsi="Arial"/>
          <w:b/>
          <w:color w:val="000000"/>
          <w:sz w:val="21"/>
        </w:rPr>
        <w:t xml:space="preserve">Logo discreto en 21 vídeos: </w:t>
      </w:r>
      <w:r>
        <w:rPr>
          <w:rFonts w:ascii="Arial" w:hAnsi="Arial"/>
          <w:color w:val="000000"/>
          <w:sz w:val="21"/>
        </w:rPr>
        <w:t>Marca de ciclo integrada en el diseño, no sobreimpresionada.</w:t>
      </w:r>
    </w:p>
    <w:p>
      <w:pPr>
        <w:pStyle w:val="ListBullet"/>
        <w:spacing w:before="20" w:after="40"/>
      </w:pPr>
      <w:r>
        <w:rPr>
          <w:rFonts w:ascii="Arial" w:hAnsi="Arial"/>
          <w:b/>
          <w:color w:val="000000"/>
          <w:sz w:val="21"/>
        </w:rPr>
        <w:t xml:space="preserve">Vídeo integrado (día 10–14): </w:t>
      </w:r>
      <w:r>
        <w:rPr>
          <w:rFonts w:ascii="Arial" w:hAnsi="Arial"/>
          <w:color w:val="000000"/>
          <w:sz w:val="21"/>
        </w:rPr>
        <w:t>3–5 minutos de 'la historia de la marca y esta virtud'. No es un ad: es contenido editorial coordinado con el Manager de la Virtud.</w:t>
      </w:r>
    </w:p>
    <w:p>
      <w:pPr>
        <w:pStyle w:val="ListBullet"/>
        <w:spacing w:before="20" w:after="40"/>
      </w:pPr>
      <w:r>
        <w:rPr>
          <w:rFonts w:ascii="Arial" w:hAnsi="Arial"/>
          <w:b/>
          <w:color w:val="000000"/>
          <w:sz w:val="21"/>
        </w:rPr>
        <w:t xml:space="preserve">Presencia web / app: </w:t>
      </w:r>
      <w:r>
        <w:rPr>
          <w:rFonts w:ascii="Arial" w:hAnsi="Arial"/>
          <w:color w:val="000000"/>
          <w:sz w:val="21"/>
        </w:rPr>
        <w:t>Mención discreta en la página de la virtud. Ejemplo: 'Paciencia · En colaboración con X'.</w:t>
      </w:r>
    </w:p>
    <w:p>
      <w:pPr>
        <w:pStyle w:val="ListBullet"/>
        <w:spacing w:before="20" w:after="40"/>
      </w:pPr>
      <w:r>
        <w:rPr>
          <w:rFonts w:ascii="Arial" w:hAnsi="Arial"/>
          <w:b/>
          <w:color w:val="000000"/>
          <w:sz w:val="21"/>
        </w:rPr>
        <w:t xml:space="preserve">Redes sociales de Aristomas: </w:t>
      </w:r>
      <w:r>
        <w:rPr>
          <w:rFonts w:ascii="Arial" w:hAnsi="Arial"/>
          <w:color w:val="000000"/>
          <w:sz w:val="21"/>
        </w:rPr>
        <w:t>2 menciones orgánicas en el mes de lanzamiento del ciclo.</w:t>
      </w:r>
    </w:p>
    <w:p>
      <w:pPr>
        <w:pStyle w:val="ListBullet"/>
        <w:spacing w:before="20" w:after="40"/>
      </w:pPr>
      <w:r>
        <w:rPr>
          <w:rFonts w:ascii="Arial" w:hAnsi="Arial"/>
          <w:b/>
          <w:color w:val="000000"/>
          <w:sz w:val="21"/>
        </w:rPr>
        <w:t xml:space="preserve">Exclusividad total: </w:t>
      </w:r>
      <w:r>
        <w:rPr>
          <w:rFonts w:ascii="Arial" w:hAnsi="Arial"/>
          <w:color w:val="000000"/>
          <w:sz w:val="21"/>
        </w:rPr>
        <w:t>Un único patrocinador por virtud por año. Nadie más puede aparecer en ese ciclo.</w:t>
      </w:r>
    </w:p>
    <w:p>
      <w:pPr>
        <w:pStyle w:val="ListBullet"/>
        <w:spacing w:before="20" w:after="40"/>
      </w:pPr>
      <w:r>
        <w:rPr>
          <w:rFonts w:ascii="Arial" w:hAnsi="Arial"/>
          <w:b/>
          <w:color w:val="000000"/>
          <w:sz w:val="21"/>
        </w:rPr>
        <w:t xml:space="preserve">Duración: </w:t>
      </w:r>
      <w:r>
        <w:rPr>
          <w:rFonts w:ascii="Arial" w:hAnsi="Arial"/>
          <w:color w:val="000000"/>
          <w:sz w:val="21"/>
        </w:rPr>
        <w:t>12 meses o hasta que la virtud se retire de programación.</w:t>
      </w:r>
    </w:p>
    <w:p>
      <w:pPr>
        <w:spacing w:before="0" w:after="120"/>
        <w:jc w:val="left"/>
      </w:pPr>
    </w:p>
    <w:p>
      <w:pPr>
        <w:spacing w:before="280" w:after="120"/>
        <w:jc w:val="left"/>
      </w:pPr>
      <w:r>
        <w:rPr>
          <w:rFonts w:ascii="Arial" w:hAnsi="Arial"/>
          <w:b/>
          <w:i w:val="0"/>
          <w:color w:val="1A2E4A"/>
          <w:sz w:val="24"/>
        </w:rPr>
        <w:t>Filtro de curación — Las tres preguntas</w:t>
      </w:r>
    </w:p>
    <w:tbl>
      <w:tblPr>
        <w:tblStyle w:val="TableGrid"/>
        <w:tblW w:type="auto" w:w="0"/>
        <w:tblLook w:firstColumn="1" w:firstRow="1" w:lastColumn="0" w:lastRow="0" w:noHBand="0" w:noVBand="1" w:val="04A0"/>
      </w:tblPr>
      <w:tblGrid>
        <w:gridCol w:w="9406"/>
      </w:tblGrid>
      <w:tr>
        <w:tc>
          <w:tcPr>
            <w:tcW w:type="dxa" w:w="9406"/>
            <w:shd w:val="clear" w:color="auto" w:fill="FFF0CC"/>
            <w:tcBorders>
              <w:top w:val="single" w:sz="4" w:space="0" w:color="AAAAAA"/>
              <w:left w:val="single" w:sz="4" w:space="0" w:color="AAAAAA"/>
              <w:bottom w:val="single" w:sz="4" w:space="0" w:color="AAAAAA"/>
              <w:right w:val="single" w:sz="4" w:space="0" w:color="AAAAAA"/>
            </w:tcBorders>
          </w:tcPr>
          <w:p>
            <w:pPr>
              <w:spacing w:before="80" w:after="80"/>
            </w:pPr>
            <w:r>
              <w:rPr>
                <w:rFonts w:ascii="Arial" w:hAnsi="Arial"/>
                <w:i/>
                <w:color w:val="222222"/>
                <w:sz w:val="19"/>
              </w:rPr>
              <w:t>Antes de cualquier conversación con un posible patrocinador, debe responder SÍ a estas tres preguntas:</w:t>
              <w:br/>
              <w:t>1. ¿Tiene esta empresa algo genuino que decir sobre esta virtud?</w:t>
              <w:br/>
              <w:t>2. ¿Estaría Aristóteles razonablemente cómodo con esta asociación?</w:t>
              <w:br/>
              <w:t>3. ¿Se lo contarías orgulloso a tus primeros 50 usuarios?</w:t>
              <w:br/>
              <w:t>Cualquier duda en cualquiera de las tres: no se hace.</w:t>
            </w:r>
          </w:p>
        </w:tc>
      </w:tr>
    </w:tbl>
    <w:p>
      <w:pPr>
        <w:spacing w:before="0" w:after="120"/>
        <w:jc w:val="left"/>
      </w:pPr>
    </w:p>
    <w:p>
      <w:pPr>
        <w:spacing w:before="280" w:after="120"/>
        <w:jc w:val="left"/>
      </w:pPr>
      <w:r>
        <w:rPr>
          <w:rFonts w:ascii="Arial" w:hAnsi="Arial"/>
          <w:b/>
          <w:i w:val="0"/>
          <w:color w:val="1A2E4A"/>
          <w:sz w:val="24"/>
        </w:rPr>
        <w:t>Alineación virtud–marca — Ejemplos orientativos</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Virtud</w:t>
            </w:r>
          </w:p>
        </w:tc>
        <w:tc>
          <w:tcPr>
            <w:tcW w:type="dxa" w:w="3402"/>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Marcas alineadas</w:t>
            </w:r>
          </w:p>
        </w:tc>
        <w:tc>
          <w:tcPr>
            <w:tcW w:type="dxa" w:w="3402"/>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Marcas descartables</w:t>
            </w:r>
          </w:p>
        </w:tc>
      </w:tr>
      <w:tr>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Paciencia</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Seguros, banca ética, meditación, té</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Apuestas, fast food, urgencias digitales</w:t>
            </w:r>
          </w:p>
        </w:tc>
      </w:tr>
      <w:tr>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Laboriosidad</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Software productividad, café premium, formación profesional</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Entretenimiento pasivo</w:t>
            </w:r>
          </w:p>
        </w:tc>
      </w:tr>
      <w:tr>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Templanza</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Alimentación saludable, deporte, minimalismo</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Alcohol, lujo ostentoso</w:t>
            </w:r>
          </w:p>
        </w:tc>
      </w:tr>
      <w:tr>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Justicia</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Asesorías legales, B-corps, ONGs</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Empresas con controversias</w:t>
            </w:r>
          </w:p>
        </w:tc>
      </w:tr>
      <w:tr>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Generosidad</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Fundaciones, banca social, filantropía</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Marcas extractivas</w:t>
            </w:r>
          </w:p>
        </w:tc>
      </w:tr>
      <w:tr>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Humildad</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Educación, comunidades religiosas</w:t>
            </w:r>
          </w:p>
        </w:tc>
        <w:tc>
          <w:tcPr>
            <w:tcW w:type="dxa" w:w="3402"/>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Marcas de status</w:t>
            </w:r>
          </w:p>
        </w:tc>
      </w:tr>
    </w:tbl>
    <w:p>
      <w:pPr>
        <w:spacing w:before="0" w:after="120"/>
        <w:jc w:val="left"/>
      </w:pPr>
    </w:p>
    <w:p>
      <w:pPr>
        <w:spacing w:before="280" w:after="120"/>
        <w:jc w:val="left"/>
      </w:pPr>
      <w:r>
        <w:rPr>
          <w:rFonts w:ascii="Arial" w:hAnsi="Arial"/>
          <w:b/>
          <w:i w:val="0"/>
          <w:color w:val="1A2E4A"/>
          <w:sz w:val="24"/>
        </w:rPr>
        <w:t>Precio y proyección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Fase</w:t>
            </w:r>
          </w:p>
        </w:tc>
        <w:tc>
          <w:tcPr>
            <w:tcW w:type="dxa" w:w="1984"/>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Audiencia activa</w:t>
            </w:r>
          </w:p>
        </w:tc>
        <w:tc>
          <w:tcPr>
            <w:tcW w:type="dxa" w:w="2268"/>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Precio / virtud / año</w:t>
            </w:r>
          </w:p>
        </w:tc>
        <w:tc>
          <w:tcPr>
            <w:tcW w:type="dxa" w:w="2268"/>
            <w:shd w:val="clear" w:color="auto" w:fill="1A2E4A"/>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Patrocinadores posibles</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Año 1 — Patrocinador Fundador</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200–700 usuarios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6.000–10.000 €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 (prueba de concepto)</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Año 2</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1.000–2.000 usuarios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15.000–25.000 €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2–4</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Año 3</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2.000–4.000 usuarios</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30.000–50.000 €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4–8</w:t>
            </w:r>
          </w:p>
        </w:tc>
      </w:tr>
      <w:tr>
        <w:tc>
          <w:tcPr>
            <w:tcW w:type="dxa" w:w="2551"/>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left"/>
            </w:pPr>
            <w:r>
              <w:rPr>
                <w:rFonts w:ascii="Arial" w:hAnsi="Arial"/>
                <w:b/>
                <w:color w:val="000000"/>
                <w:sz w:val="19"/>
              </w:rPr>
              <w:t>Ingresos patrocinio Año 3</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120.000–400.000 €</w:t>
            </w:r>
          </w:p>
        </w:tc>
        <w:tc>
          <w:tcPr>
            <w:tcW w:type="dxa" w:w="2268"/>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Con 8 virtudes activas</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8E6F5"/>
            <w:tcBorders>
              <w:top w:val="single" w:sz="4" w:space="0" w:color="AAAAAA"/>
              <w:left w:val="single" w:sz="4" w:space="0" w:color="AAAAAA"/>
              <w:bottom w:val="single" w:sz="4" w:space="0" w:color="AAAAAA"/>
              <w:right w:val="single" w:sz="4" w:space="0" w:color="AAAAAA"/>
            </w:tcBorders>
          </w:tcPr>
          <w:p>
            <w:pPr>
              <w:spacing w:before="80" w:after="80"/>
            </w:pPr>
            <w:r>
              <w:rPr>
                <w:rFonts w:ascii="Arial" w:hAnsi="Arial"/>
                <w:i/>
                <w:color w:val="222222"/>
                <w:sz w:val="19"/>
              </w:rPr>
              <w:t>El precio en Año 1 parece bajo para el valor ofrecido. Lo es deliberadamente: el primer patrocinador define el estándar, aparece como 'Socio Fundador' en toda la comunicación histórica de la virtud, y tiene derecho preferente de renovación para siempre. Eso tiene un valor diferido muy alto para marcas con visión de largo plazo.</w:t>
            </w:r>
          </w:p>
        </w:tc>
      </w:tr>
    </w:tbl>
    <w:p>
      <w:r>
        <w:br w:type="page"/>
      </w:r>
    </w:p>
    <w:p>
      <w:pPr>
        <w:spacing w:before="280" w:after="120"/>
        <w:jc w:val="left"/>
        <w:pBdr>
          <w:bottom w:val="single" w:sz="4" w:space="1" w:color="C8A45A"/>
        </w:pBdr>
      </w:pPr>
      <w:r>
        <w:rPr>
          <w:rFonts w:ascii="Arial" w:hAnsi="Arial"/>
          <w:b/>
          <w:i w:val="0"/>
          <w:color w:val="1A2E4A"/>
          <w:sz w:val="36"/>
        </w:rPr>
        <w:t>06 · Líneas de Ingreso Adicionales</w:t>
      </w:r>
    </w:p>
    <w:p>
      <w:pPr>
        <w:spacing w:before="0" w:after="120"/>
        <w:jc w:val="both"/>
      </w:pPr>
      <w:r>
        <w:rPr>
          <w:rFonts w:ascii="Arial" w:hAnsi="Arial"/>
          <w:b w:val="0"/>
          <w:i w:val="0"/>
          <w:color w:val="000000"/>
          <w:sz w:val="21"/>
        </w:rPr>
        <w:t>Más allá de los cinco canales principales, existen fuentes de ingreso compatibles con el modelo y el posicionamiento de Aristomas. Se presentan ordenadas de mayor a menor afinidad y facilidad de implementación.</w:t>
      </w:r>
    </w:p>
    <w:tbl>
      <w:tblPr>
        <w:tblStyle w:val="TableGrid"/>
        <w:tblW w:type="auto" w:w="0"/>
        <w:tblLook w:firstColumn="1" w:firstRow="1" w:lastColumn="0" w:lastRow="0" w:noHBand="0" w:noVBand="1" w:val="04A0"/>
      </w:tblPr>
      <w:tblGrid>
        <w:gridCol w:w="9406"/>
      </w:tblGrid>
      <w:tr>
        <w:tc>
          <w:tcPr>
            <w:tcW w:type="dxa" w:w="9406"/>
            <w:shd w:val="clear" w:color="auto" w:fill="D0EDD8"/>
            <w:tcBorders>
              <w:top w:val="single" w:sz="4" w:space="0" w:color="AAAAAA"/>
              <w:left w:val="single" w:sz="4" w:space="0" w:color="AAAAAA"/>
              <w:bottom w:val="single" w:sz="4" w:space="0" w:color="AAAAAA"/>
              <w:right w:val="single" w:sz="4" w:space="0" w:color="AAAAAA"/>
            </w:tcBorders>
          </w:tcPr>
          <w:p>
            <w:pPr>
              <w:spacing w:before="80" w:after="40"/>
            </w:pPr>
            <w:r>
              <w:rPr>
                <w:rFonts w:ascii="Arial" w:hAnsi="Arial"/>
                <w:b/>
                <w:color w:val="1A2E4A"/>
                <w:sz w:val="22"/>
              </w:rPr>
              <w:t>A · Certificación de Ciclo Completado</w:t>
            </w:r>
          </w:p>
          <w:p>
            <w:pPr>
              <w:spacing w:after="60"/>
            </w:pPr>
            <w:r>
              <w:rPr>
                <w:rFonts w:ascii="Arial" w:hAnsi="Arial"/>
                <w:color w:val="000000"/>
                <w:sz w:val="19"/>
              </w:rPr>
              <w:t>Al terminar un ciclo de 21 días, el usuario puede solicitar un certificado digital (PDF o badge NFT) que acredita la práctica. Precio: 9,99–14,99€. Opcional, nunca obligatorio.</w:t>
            </w:r>
          </w:p>
          <w:p>
            <w:pPr>
              <w:pStyle w:val="ListBullet"/>
              <w:spacing w:before="20" w:after="20"/>
            </w:pPr>
            <w:r>
              <w:rPr>
                <w:rFonts w:ascii="Arial" w:hAnsi="Arial"/>
                <w:color w:val="333333"/>
                <w:sz w:val="18"/>
              </w:rPr>
              <w:t>Implementación: inmediata con diseño PDF.</w:t>
            </w:r>
          </w:p>
          <w:p>
            <w:pPr>
              <w:pStyle w:val="ListBullet"/>
              <w:spacing w:before="20" w:after="20"/>
            </w:pPr>
            <w:r>
              <w:rPr>
                <w:rFonts w:ascii="Arial" w:hAnsi="Arial"/>
                <w:color w:val="333333"/>
                <w:sz w:val="18"/>
              </w:rPr>
              <w:t>Potencial: si el 20% de los usuarios pagan el certificado → +1,66€/usuario al año de media.</w:t>
            </w:r>
          </w:p>
          <w:p>
            <w:pPr>
              <w:pStyle w:val="ListBullet"/>
              <w:spacing w:before="20" w:after="20"/>
            </w:pPr>
            <w:r>
              <w:rPr>
                <w:rFonts w:ascii="Arial" w:hAnsi="Arial"/>
                <w:color w:val="333333"/>
                <w:sz w:val="18"/>
              </w:rPr>
              <w:t>Valor: credencial de carácter, compartible en LinkedIn.</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8E6F5"/>
            <w:tcBorders>
              <w:top w:val="single" w:sz="4" w:space="0" w:color="AAAAAA"/>
              <w:left w:val="single" w:sz="4" w:space="0" w:color="AAAAAA"/>
              <w:bottom w:val="single" w:sz="4" w:space="0" w:color="AAAAAA"/>
              <w:right w:val="single" w:sz="4" w:space="0" w:color="AAAAAA"/>
            </w:tcBorders>
          </w:tcPr>
          <w:p>
            <w:pPr>
              <w:spacing w:before="80" w:after="40"/>
            </w:pPr>
            <w:r>
              <w:rPr>
                <w:rFonts w:ascii="Arial" w:hAnsi="Arial"/>
                <w:b/>
                <w:color w:val="1A2E4A"/>
                <w:sz w:val="22"/>
              </w:rPr>
              <w:t>B · Retiro Aristomas (evento anual presencial)</w:t>
            </w:r>
          </w:p>
          <w:p>
            <w:pPr>
              <w:spacing w:after="60"/>
            </w:pPr>
            <w:r>
              <w:rPr>
                <w:rFonts w:ascii="Arial" w:hAnsi="Arial"/>
                <w:color w:val="000000"/>
                <w:sz w:val="19"/>
              </w:rPr>
              <w:t>Un retiro de 2 días en un entorno especial (monasterio, finca rural, espacio cultural) con el fundador, los VirtuManagers y alumni destacados. Filosofía práctica en formato intensivo.</w:t>
            </w:r>
          </w:p>
          <w:p>
            <w:pPr>
              <w:pStyle w:val="ListBullet"/>
              <w:spacing w:before="20" w:after="20"/>
            </w:pPr>
            <w:r>
              <w:rPr>
                <w:rFonts w:ascii="Arial" w:hAnsi="Arial"/>
                <w:color w:val="333333"/>
                <w:sz w:val="18"/>
              </w:rPr>
              <w:t>Precio: 500–1.500€ por asistente.</w:t>
            </w:r>
          </w:p>
          <w:p>
            <w:pPr>
              <w:pStyle w:val="ListBullet"/>
              <w:spacing w:before="20" w:after="20"/>
            </w:pPr>
            <w:r>
              <w:rPr>
                <w:rFonts w:ascii="Arial" w:hAnsi="Arial"/>
                <w:color w:val="333333"/>
                <w:sz w:val="18"/>
              </w:rPr>
              <w:t>Capacidad inicial: 30–50 personas.</w:t>
            </w:r>
          </w:p>
          <w:p>
            <w:pPr>
              <w:pStyle w:val="ListBullet"/>
              <w:spacing w:before="20" w:after="20"/>
            </w:pPr>
            <w:r>
              <w:rPr>
                <w:rFonts w:ascii="Arial" w:hAnsi="Arial"/>
                <w:color w:val="333333"/>
                <w:sz w:val="18"/>
              </w:rPr>
              <w:t>Ingresos estimados: 20.000–60.000€ por edición.</w:t>
            </w:r>
          </w:p>
          <w:p>
            <w:pPr>
              <w:pStyle w:val="ListBullet"/>
              <w:spacing w:before="20" w:after="20"/>
            </w:pPr>
            <w:r>
              <w:rPr>
                <w:rFonts w:ascii="Arial" w:hAnsi="Arial"/>
                <w:color w:val="333333"/>
                <w:sz w:val="18"/>
              </w:rPr>
              <w:t>Valor: la experiencia presencial consolida la comunidad y genera contenido para todo el año.</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FFF0CC"/>
            <w:tcBorders>
              <w:top w:val="single" w:sz="4" w:space="0" w:color="AAAAAA"/>
              <w:left w:val="single" w:sz="4" w:space="0" w:color="AAAAAA"/>
              <w:bottom w:val="single" w:sz="4" w:space="0" w:color="AAAAAA"/>
              <w:right w:val="single" w:sz="4" w:space="0" w:color="AAAAAA"/>
            </w:tcBorders>
          </w:tcPr>
          <w:p>
            <w:pPr>
              <w:spacing w:before="80" w:after="40"/>
            </w:pPr>
            <w:r>
              <w:rPr>
                <w:rFonts w:ascii="Arial" w:hAnsi="Arial"/>
                <w:b/>
                <w:color w:val="1A2E4A"/>
                <w:sz w:val="22"/>
              </w:rPr>
              <w:t>C · Comunidad Premium (foro de práctica)</w:t>
            </w:r>
          </w:p>
          <w:p>
            <w:pPr>
              <w:spacing w:after="60"/>
            </w:pPr>
            <w:r>
              <w:rPr>
                <w:rFonts w:ascii="Arial" w:hAnsi="Arial"/>
                <w:color w:val="000000"/>
                <w:sz w:val="19"/>
              </w:rPr>
              <w:t>Un espacio privado —Discord, Slack o foro propio— donde los suscriptores activos comparten su práctica diaria, se retroalimentan y acceden a sesiones de grupo con VirtuManagers. Precio: 2,99–4,99€/mes adicional.</w:t>
            </w:r>
          </w:p>
          <w:p>
            <w:pPr>
              <w:pStyle w:val="ListBullet"/>
              <w:spacing w:before="20" w:after="20"/>
            </w:pPr>
            <w:r>
              <w:rPr>
                <w:rFonts w:ascii="Arial" w:hAnsi="Arial"/>
                <w:color w:val="333333"/>
                <w:sz w:val="18"/>
              </w:rPr>
              <w:t>No compite con la suscripción principal: la complementa.</w:t>
            </w:r>
          </w:p>
          <w:p>
            <w:pPr>
              <w:pStyle w:val="ListBullet"/>
              <w:spacing w:before="20" w:after="20"/>
            </w:pPr>
            <w:r>
              <w:rPr>
                <w:rFonts w:ascii="Arial" w:hAnsi="Arial"/>
                <w:color w:val="333333"/>
                <w:sz w:val="18"/>
              </w:rPr>
              <w:t>Genera datos de comportamiento de usuario muy valiosos.</w:t>
            </w:r>
          </w:p>
          <w:p>
            <w:pPr>
              <w:pStyle w:val="ListBullet"/>
              <w:spacing w:before="20" w:after="20"/>
            </w:pPr>
            <w:r>
              <w:rPr>
                <w:rFonts w:ascii="Arial" w:hAnsi="Arial"/>
                <w:color w:val="333333"/>
                <w:sz w:val="18"/>
              </w:rPr>
              <w:t>El sentido de comunidad reduce el churn significativamente.</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0EDD8"/>
            <w:tcBorders>
              <w:top w:val="single" w:sz="4" w:space="0" w:color="AAAAAA"/>
              <w:left w:val="single" w:sz="4" w:space="0" w:color="AAAAAA"/>
              <w:bottom w:val="single" w:sz="4" w:space="0" w:color="AAAAAA"/>
              <w:right w:val="single" w:sz="4" w:space="0" w:color="AAAAAA"/>
            </w:tcBorders>
          </w:tcPr>
          <w:p>
            <w:pPr>
              <w:spacing w:before="80" w:after="40"/>
            </w:pPr>
            <w:r>
              <w:rPr>
                <w:rFonts w:ascii="Arial" w:hAnsi="Arial"/>
                <w:b/>
                <w:color w:val="1A2E4A"/>
                <w:sz w:val="22"/>
              </w:rPr>
              <w:t>D · Licencia del Método para Coaches y Terapeutas</w:t>
            </w:r>
          </w:p>
          <w:p>
            <w:pPr>
              <w:spacing w:after="60"/>
            </w:pPr>
            <w:r>
              <w:rPr>
                <w:rFonts w:ascii="Arial" w:hAnsi="Arial"/>
                <w:color w:val="000000"/>
                <w:sz w:val="19"/>
              </w:rPr>
              <w:t>Coaches de vida, psicólogos y directores espirituales pueden obtener una licencia para usar el Método Aristomas con sus clientes. Incluye materiales, acceso para sus clientes y formación en el sistema.</w:t>
            </w:r>
          </w:p>
          <w:p>
            <w:pPr>
              <w:pStyle w:val="ListBullet"/>
              <w:spacing w:before="20" w:after="20"/>
            </w:pPr>
            <w:r>
              <w:rPr>
                <w:rFonts w:ascii="Arial" w:hAnsi="Arial"/>
                <w:color w:val="333333"/>
                <w:sz w:val="18"/>
              </w:rPr>
              <w:t>Precio: 150–500€/año por licencia profesional.</w:t>
            </w:r>
          </w:p>
          <w:p>
            <w:pPr>
              <w:pStyle w:val="ListBullet"/>
              <w:spacing w:before="20" w:after="20"/>
            </w:pPr>
            <w:r>
              <w:rPr>
                <w:rFonts w:ascii="Arial" w:hAnsi="Arial"/>
                <w:color w:val="333333"/>
                <w:sz w:val="18"/>
              </w:rPr>
              <w:t>El coach se convierte en distribuidor indirecto.</w:t>
            </w:r>
          </w:p>
          <w:p>
            <w:pPr>
              <w:pStyle w:val="ListBullet"/>
              <w:spacing w:before="20" w:after="20"/>
            </w:pPr>
            <w:r>
              <w:rPr>
                <w:rFonts w:ascii="Arial" w:hAnsi="Arial"/>
                <w:color w:val="333333"/>
                <w:sz w:val="18"/>
              </w:rPr>
              <w:t>Potencial: 200 coaches × 300€/año = 60.000€ anuales en Año 3.</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8E6F5"/>
            <w:tcBorders>
              <w:top w:val="single" w:sz="4" w:space="0" w:color="AAAAAA"/>
              <w:left w:val="single" w:sz="4" w:space="0" w:color="AAAAAA"/>
              <w:bottom w:val="single" w:sz="4" w:space="0" w:color="AAAAAA"/>
              <w:right w:val="single" w:sz="4" w:space="0" w:color="AAAAAA"/>
            </w:tcBorders>
          </w:tcPr>
          <w:p>
            <w:pPr>
              <w:spacing w:before="80" w:after="40"/>
            </w:pPr>
            <w:r>
              <w:rPr>
                <w:rFonts w:ascii="Arial" w:hAnsi="Arial"/>
                <w:b/>
                <w:color w:val="1A2E4A"/>
                <w:sz w:val="22"/>
              </w:rPr>
              <w:t>E · Aristomas en Inglés</w:t>
            </w:r>
          </w:p>
          <w:p>
            <w:pPr>
              <w:spacing w:after="60"/>
            </w:pPr>
            <w:r>
              <w:rPr>
                <w:rFonts w:ascii="Arial" w:hAnsi="Arial"/>
                <w:color w:val="000000"/>
                <w:sz w:val="19"/>
              </w:rPr>
              <w:t>La misma plataforma en inglés abre el mercado anglosajón (1.500 millones de hablantes). El Método no pierde nada en traducción: Aristotle y Aquinas tienen incluso más arraigo académico en el mundo anglosajón.</w:t>
            </w:r>
          </w:p>
          <w:p>
            <w:pPr>
              <w:pStyle w:val="ListBullet"/>
              <w:spacing w:before="20" w:after="20"/>
            </w:pPr>
            <w:r>
              <w:rPr>
                <w:rFonts w:ascii="Arial" w:hAnsi="Arial"/>
                <w:color w:val="333333"/>
                <w:sz w:val="18"/>
              </w:rPr>
              <w:t>Coste: traducción + adaptación cultural del Manager.</w:t>
            </w:r>
          </w:p>
          <w:p>
            <w:pPr>
              <w:pStyle w:val="ListBullet"/>
              <w:spacing w:before="20" w:after="20"/>
            </w:pPr>
            <w:r>
              <w:rPr>
                <w:rFonts w:ascii="Arial" w:hAnsi="Arial"/>
                <w:color w:val="333333"/>
                <w:sz w:val="18"/>
              </w:rPr>
              <w:t>Sin este canal: mercado limitado a 500M hispanohablantes.</w:t>
            </w:r>
          </w:p>
          <w:p>
            <w:pPr>
              <w:pStyle w:val="ListBullet"/>
              <w:spacing w:before="20" w:after="20"/>
            </w:pPr>
            <w:r>
              <w:rPr>
                <w:rFonts w:ascii="Arial" w:hAnsi="Arial"/>
                <w:color w:val="333333"/>
                <w:sz w:val="18"/>
              </w:rPr>
              <w:t>Con este canal: mercado total ×4.</w:t>
            </w:r>
          </w:p>
          <w:p>
            <w:pPr>
              <w:pStyle w:val="ListBullet"/>
              <w:spacing w:before="20" w:after="20"/>
            </w:pPr>
            <w:r>
              <w:rPr>
                <w:rFonts w:ascii="Arial" w:hAnsi="Arial"/>
                <w:color w:val="333333"/>
                <w:sz w:val="18"/>
              </w:rPr>
              <w:t>Timing sugerido: Año 3, cuando el modelo esté probado en español.</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FFF0CC"/>
            <w:tcBorders>
              <w:top w:val="single" w:sz="4" w:space="0" w:color="AAAAAA"/>
              <w:left w:val="single" w:sz="4" w:space="0" w:color="AAAAAA"/>
              <w:bottom w:val="single" w:sz="4" w:space="0" w:color="AAAAAA"/>
              <w:right w:val="single" w:sz="4" w:space="0" w:color="AAAAAA"/>
            </w:tcBorders>
          </w:tcPr>
          <w:p>
            <w:pPr>
              <w:spacing w:before="80" w:after="40"/>
            </w:pPr>
            <w:r>
              <w:rPr>
                <w:rFonts w:ascii="Arial" w:hAnsi="Arial"/>
                <w:b/>
                <w:color w:val="1A2E4A"/>
                <w:sz w:val="22"/>
              </w:rPr>
              <w:t>F · Libro 'El Método Aristomas'</w:t>
            </w:r>
          </w:p>
          <w:p>
            <w:pPr>
              <w:spacing w:after="60"/>
            </w:pPr>
            <w:r>
              <w:rPr>
                <w:rFonts w:ascii="Arial" w:hAnsi="Arial"/>
                <w:color w:val="000000"/>
                <w:sz w:val="19"/>
              </w:rPr>
              <w:t>Un libro (físico y digital) que introduce el método, explica su fundamento filosófico y actúa como funnel de captación hacia la plataforma. No el guion del ciclo: la filosofía detrás del método.</w:t>
            </w:r>
          </w:p>
          <w:p>
            <w:pPr>
              <w:pStyle w:val="ListBullet"/>
              <w:spacing w:before="20" w:after="20"/>
            </w:pPr>
            <w:r>
              <w:rPr>
                <w:rFonts w:ascii="Arial" w:hAnsi="Arial"/>
                <w:color w:val="333333"/>
                <w:sz w:val="18"/>
              </w:rPr>
              <w:t>Precio: 14,99€ ebook / 22,99€ físico.</w:t>
            </w:r>
          </w:p>
          <w:p>
            <w:pPr>
              <w:pStyle w:val="ListBullet"/>
              <w:spacing w:before="20" w:after="20"/>
            </w:pPr>
            <w:r>
              <w:rPr>
                <w:rFonts w:ascii="Arial" w:hAnsi="Arial"/>
                <w:color w:val="333333"/>
                <w:sz w:val="18"/>
              </w:rPr>
              <w:t>El libro es marketing: cada lector es un lead.</w:t>
            </w:r>
          </w:p>
          <w:p>
            <w:pPr>
              <w:pStyle w:val="ListBullet"/>
              <w:spacing w:before="20" w:after="20"/>
            </w:pPr>
            <w:r>
              <w:rPr>
                <w:rFonts w:ascii="Arial" w:hAnsi="Arial"/>
                <w:color w:val="333333"/>
                <w:sz w:val="18"/>
              </w:rPr>
              <w:t>Distribución: Amazon + librerías especializadas.</w:t>
            </w:r>
          </w:p>
          <w:p>
            <w:pPr>
              <w:pStyle w:val="ListBullet"/>
              <w:spacing w:before="20" w:after="20"/>
            </w:pPr>
            <w:r>
              <w:rPr>
                <w:rFonts w:ascii="Arial" w:hAnsi="Arial"/>
                <w:color w:val="333333"/>
                <w:sz w:val="18"/>
              </w:rPr>
              <w:t>Editorial propia o acuerdo con sello filosófico/espiritual.</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D0EDD8"/>
            <w:tcBorders>
              <w:top w:val="single" w:sz="4" w:space="0" w:color="AAAAAA"/>
              <w:left w:val="single" w:sz="4" w:space="0" w:color="AAAAAA"/>
              <w:bottom w:val="single" w:sz="4" w:space="0" w:color="AAAAAA"/>
              <w:right w:val="single" w:sz="4" w:space="0" w:color="AAAAAA"/>
            </w:tcBorders>
          </w:tcPr>
          <w:p>
            <w:pPr>
              <w:spacing w:before="80" w:after="40"/>
            </w:pPr>
            <w:r>
              <w:rPr>
                <w:rFonts w:ascii="Arial" w:hAnsi="Arial"/>
                <w:b/>
                <w:color w:val="1A2E4A"/>
                <w:sz w:val="22"/>
              </w:rPr>
              <w:t>G · Aristomas para Jóvenes (escuelas y familias)</w:t>
            </w:r>
          </w:p>
          <w:p>
            <w:pPr>
              <w:spacing w:after="60"/>
            </w:pPr>
            <w:r>
              <w:rPr>
                <w:rFonts w:ascii="Arial" w:hAnsi="Arial"/>
                <w:color w:val="000000"/>
                <w:sz w:val="19"/>
              </w:rPr>
              <w:t>Versión adaptada del método para adolescentes (14–18 años), con contenido ajustado a su lenguaje y contexto. Venta directa a colegios concertados, privados y familias homeschool.</w:t>
            </w:r>
          </w:p>
          <w:p>
            <w:pPr>
              <w:pStyle w:val="ListBullet"/>
              <w:spacing w:before="20" w:after="20"/>
            </w:pPr>
            <w:r>
              <w:rPr>
                <w:rFonts w:ascii="Arial" w:hAnsi="Arial"/>
                <w:color w:val="333333"/>
                <w:sz w:val="18"/>
              </w:rPr>
              <w:t>Precio: 4,99€/mes familia / 3€/alumno en colegios.</w:t>
            </w:r>
          </w:p>
          <w:p>
            <w:pPr>
              <w:pStyle w:val="ListBullet"/>
              <w:spacing w:before="20" w:after="20"/>
            </w:pPr>
            <w:r>
              <w:rPr>
                <w:rFonts w:ascii="Arial" w:hAnsi="Arial"/>
                <w:color w:val="333333"/>
                <w:sz w:val="18"/>
              </w:rPr>
              <w:t>Colegios concertados y privados: mercado con presupuesto.</w:t>
            </w:r>
          </w:p>
          <w:p>
            <w:pPr>
              <w:pStyle w:val="ListBullet"/>
              <w:spacing w:before="20" w:after="20"/>
            </w:pPr>
            <w:r>
              <w:rPr>
                <w:rFonts w:ascii="Arial" w:hAnsi="Arial"/>
                <w:color w:val="333333"/>
                <w:sz w:val="18"/>
              </w:rPr>
              <w:t>Posible alianza con proyectos de educación en virtudes ya existentes.</w:t>
            </w:r>
          </w:p>
          <w:p>
            <w:pPr>
              <w:pStyle w:val="ListBullet"/>
              <w:spacing w:before="20" w:after="20"/>
            </w:pPr>
            <w:r>
              <w:rPr>
                <w:rFonts w:ascii="Arial" w:hAnsi="Arial"/>
                <w:color w:val="333333"/>
                <w:sz w:val="18"/>
              </w:rPr>
              <w:t>Timing: Año 2–3.</w:t>
            </w:r>
          </w:p>
        </w:tc>
      </w:tr>
    </w:tbl>
    <w:p>
      <w:pPr>
        <w:spacing w:before="0" w:after="120"/>
        <w:jc w:val="left"/>
      </w:pPr>
    </w:p>
    <w:p>
      <w:r>
        <w:br w:type="page"/>
      </w:r>
    </w:p>
    <w:p>
      <w:pPr>
        <w:spacing w:before="280" w:after="120"/>
        <w:jc w:val="left"/>
        <w:pBdr>
          <w:bottom w:val="single" w:sz="4" w:space="1" w:color="C8A45A"/>
        </w:pBdr>
      </w:pPr>
      <w:r>
        <w:rPr>
          <w:rFonts w:ascii="Arial" w:hAnsi="Arial"/>
          <w:b/>
          <w:i w:val="0"/>
          <w:color w:val="1A2E4A"/>
          <w:sz w:val="36"/>
        </w:rPr>
        <w:t>Resumen Consolidado — Proyección de Ingresos por Canal</w:t>
      </w:r>
    </w:p>
    <w:p>
      <w:pPr>
        <w:spacing w:before="0" w:after="120"/>
        <w:jc w:val="both"/>
      </w:pPr>
      <w:r>
        <w:rPr>
          <w:rFonts w:ascii="Arial" w:hAnsi="Arial"/>
          <w:b w:val="0"/>
          <w:i w:val="0"/>
          <w:color w:val="000000"/>
          <w:sz w:val="21"/>
        </w:rPr>
        <w:t>Los ingresos de suscripción individual son el núcleo. Los canales complementarios (B2B, patrocinio) pueden superar en Año 3 a los ingresos directos de suscripción, y lo hacen sin comprometer el modelo si la curación es rigurosa.</w:t>
      </w:r>
    </w:p>
    <w:p>
      <w:pPr>
        <w:spacing w:before="0" w:after="120"/>
        <w:jc w:val="left"/>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835"/>
            <w:shd w:val="clear" w:color="auto" w:fill="08080F"/>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Fuente de ingresos</w:t>
            </w:r>
          </w:p>
        </w:tc>
        <w:tc>
          <w:tcPr>
            <w:tcW w:type="dxa" w:w="1701"/>
            <w:shd w:val="clear" w:color="auto" w:fill="08080F"/>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1 (€)</w:t>
            </w:r>
          </w:p>
        </w:tc>
        <w:tc>
          <w:tcPr>
            <w:tcW w:type="dxa" w:w="1984"/>
            <w:shd w:val="clear" w:color="auto" w:fill="08080F"/>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2 (€)</w:t>
            </w:r>
          </w:p>
        </w:tc>
        <w:tc>
          <w:tcPr>
            <w:tcW w:type="dxa" w:w="1984"/>
            <w:shd w:val="clear" w:color="auto" w:fill="08080F"/>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Año 3 (€)</w:t>
            </w:r>
          </w:p>
        </w:tc>
        <w:tc>
          <w:tcPr>
            <w:tcW w:type="dxa" w:w="1984"/>
            <w:shd w:val="clear" w:color="auto" w:fill="08080F"/>
            <w:tcBorders>
              <w:top w:val="single" w:sz="4" w:space="0" w:color="888888"/>
              <w:left w:val="single" w:sz="4" w:space="0" w:color="888888"/>
              <w:bottom w:val="single" w:sz="4" w:space="0" w:color="888888"/>
              <w:right w:val="single" w:sz="4" w:space="0" w:color="888888"/>
            </w:tcBorders>
            <w:vAlign w:val="center"/>
          </w:tcPr>
          <w:p>
            <w:pPr>
              <w:spacing w:before="60" w:after="60"/>
              <w:jc w:val="center"/>
            </w:pPr>
            <w:r>
              <w:rPr>
                <w:rFonts w:ascii="Arial" w:hAnsi="Arial"/>
                <w:b/>
                <w:color w:val="FFFFFF"/>
                <w:sz w:val="19"/>
              </w:rPr>
              <w:t>Notas</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Suscripción individual (opt.)</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42.745</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83.000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138.000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700→515 usuarios, ARPU 83€</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B2B Institucional</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0–3.000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10.000–20.000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30.000–50.000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1–20 organizaciones</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Patrocinio de Virtud</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0–10.000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30.000–75.000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80.000–200.000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0–1 / 2–3 / 4–8 sponsors</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Certificación digital</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2.000–5.000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8.000–15.000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20% usuarios × 9,99€</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Comunidad premium</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3.000–8.000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10.000–25.000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2,99€/mes extra</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left"/>
            </w:pPr>
            <w:r>
              <w:rPr>
                <w:rFonts w:ascii="Arial" w:hAnsi="Arial"/>
                <w:b/>
                <w:color w:val="000000"/>
                <w:sz w:val="19"/>
              </w:rPr>
              <w:t>Retiro anual</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0–20.000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20.000–60.000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30–50 personas</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left"/>
            </w:pPr>
            <w:r>
              <w:rPr>
                <w:rFonts w:ascii="Arial" w:hAnsi="Arial"/>
                <w:b/>
                <w:color w:val="000000"/>
                <w:sz w:val="19"/>
              </w:rPr>
              <w:t>Licencia coaches</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0–5.000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15.000–60.000</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4F4F4"/>
          </w:tcPr>
          <w:p>
            <w:pPr>
              <w:spacing w:before="40" w:after="40"/>
              <w:jc w:val="center"/>
            </w:pPr>
            <w:r>
              <w:rPr>
                <w:rFonts w:ascii="Arial" w:hAnsi="Arial"/>
                <w:b w:val="0"/>
                <w:color w:val="000000"/>
                <w:sz w:val="19"/>
              </w:rPr>
              <w:t>Año 2–3</w:t>
            </w:r>
          </w:p>
        </w:tc>
      </w:tr>
      <w:tr>
        <w:tc>
          <w:tcPr>
            <w:tcW w:type="dxa" w:w="2835"/>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left"/>
            </w:pPr>
            <w:r>
              <w:rPr>
                <w:rFonts w:ascii="Arial" w:hAnsi="Arial"/>
                <w:b/>
                <w:color w:val="000000"/>
                <w:sz w:val="19"/>
              </w:rPr>
              <w:t>TOTAL POTENCIAL</w:t>
            </w:r>
          </w:p>
        </w:tc>
        <w:tc>
          <w:tcPr>
            <w:tcW w:type="dxa" w:w="1701"/>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43.000–56.000 €</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128.000–216.000 €</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0CC"/>
          </w:tcPr>
          <w:p>
            <w:pPr>
              <w:spacing w:before="40" w:after="40"/>
              <w:jc w:val="center"/>
            </w:pPr>
            <w:r>
              <w:rPr>
                <w:rFonts w:ascii="Arial" w:hAnsi="Arial"/>
                <w:b/>
                <w:color w:val="000000"/>
                <w:sz w:val="19"/>
              </w:rPr>
              <w:t>301.000–548.000 €</w:t>
            </w:r>
          </w:p>
        </w:tc>
        <w:tc>
          <w:tcPr>
            <w:tcW w:type="dxa" w:w="1984"/>
            <w:tcBorders>
              <w:top w:val="single" w:sz="4" w:space="0" w:color="CCCCCC"/>
              <w:left w:val="single" w:sz="4" w:space="0" w:color="CCCCCC"/>
              <w:bottom w:val="single" w:sz="4" w:space="0" w:color="CCCCCC"/>
              <w:right w:val="single" w:sz="4" w:space="0" w:color="CCCCCC"/>
            </w:tcBorders>
            <w:vAlign w:val="center"/>
            <w:shd w:val="clear" w:color="auto" w:fill="FFFFFF"/>
          </w:tcPr>
          <w:p>
            <w:pPr>
              <w:spacing w:before="40" w:after="40"/>
              <w:jc w:val="center"/>
            </w:pPr>
            <w:r>
              <w:rPr>
                <w:rFonts w:ascii="Arial" w:hAnsi="Arial"/>
                <w:b w:val="0"/>
                <w:color w:val="000000"/>
                <w:sz w:val="19"/>
              </w:rPr>
              <w:t>Escenario optimista</w:t>
            </w:r>
          </w:p>
        </w:tc>
      </w:tr>
    </w:tbl>
    <w:p>
      <w:pPr>
        <w:spacing w:before="0" w:after="120"/>
        <w:jc w:val="left"/>
      </w:pPr>
    </w:p>
    <w:tbl>
      <w:tblPr>
        <w:tblStyle w:val="TableGrid"/>
        <w:tblW w:type="auto" w:w="0"/>
        <w:tblLook w:firstColumn="1" w:firstRow="1" w:lastColumn="0" w:lastRow="0" w:noHBand="0" w:noVBand="1" w:val="04A0"/>
      </w:tblPr>
      <w:tblGrid>
        <w:gridCol w:w="9406"/>
      </w:tblGrid>
      <w:tr>
        <w:tc>
          <w:tcPr>
            <w:tcW w:type="dxa" w:w="9406"/>
            <w:shd w:val="clear" w:color="auto" w:fill="FFF0CC"/>
            <w:tcBorders>
              <w:top w:val="single" w:sz="4" w:space="0" w:color="AAAAAA"/>
              <w:left w:val="single" w:sz="4" w:space="0" w:color="AAAAAA"/>
              <w:bottom w:val="single" w:sz="4" w:space="0" w:color="AAAAAA"/>
              <w:right w:val="single" w:sz="4" w:space="0" w:color="AAAAAA"/>
            </w:tcBorders>
          </w:tcPr>
          <w:p>
            <w:pPr>
              <w:spacing w:before="80" w:after="80"/>
            </w:pPr>
            <w:r>
              <w:rPr>
                <w:rFonts w:ascii="Arial" w:hAnsi="Arial"/>
                <w:i/>
                <w:color w:val="222222"/>
                <w:sz w:val="19"/>
              </w:rPr>
              <w:t>Nota metodológica: estas proyecciones asumen ejecución consistente y calidad de producto mantenida. Los ingresos de patrocinio en Año 3 dependen de que la audiencia haya crecido de forma verificable. No vender patrocinios sin datos reales de usuarios activos y engagement.</w:t>
            </w:r>
          </w:p>
        </w:tc>
      </w:tr>
    </w:tbl>
    <w:p>
      <w:pPr>
        <w:spacing w:before="0" w:after="120"/>
        <w:jc w:val="left"/>
      </w:pPr>
    </w:p>
    <w:p>
      <w:pPr>
        <w:spacing w:before="280" w:after="120"/>
        <w:jc w:val="left"/>
      </w:pPr>
      <w:r>
        <w:rPr>
          <w:rFonts w:ascii="Arial" w:hAnsi="Arial"/>
          <w:b/>
          <w:i w:val="0"/>
          <w:color w:val="1A2E4A"/>
          <w:sz w:val="24"/>
        </w:rPr>
        <w:t>Lo que llevar al Teaser (no al One-Pager financiero)</w:t>
      </w:r>
    </w:p>
    <w:p>
      <w:pPr>
        <w:pStyle w:val="ListBullet"/>
        <w:spacing w:before="20" w:after="40"/>
      </w:pPr>
      <w:r>
        <w:rPr>
          <w:rFonts w:ascii="Arial" w:hAnsi="Arial"/>
          <w:color w:val="000000"/>
          <w:sz w:val="21"/>
        </w:rPr>
        <w:t>El modelo de ingresos no depende solo de suscripciones. Tiene 3 líneas diversificadas desde el primer año.</w:t>
      </w:r>
    </w:p>
    <w:p>
      <w:pPr>
        <w:pStyle w:val="ListBullet"/>
        <w:spacing w:before="20" w:after="40"/>
      </w:pPr>
      <w:r>
        <w:rPr>
          <w:rFonts w:ascii="Arial" w:hAnsi="Arial"/>
          <w:color w:val="000000"/>
          <w:sz w:val="21"/>
        </w:rPr>
        <w:t>El patrocinio de virtud es un formato único en el mercado. Sin competidor directo en español.</w:t>
      </w:r>
    </w:p>
    <w:p>
      <w:pPr>
        <w:pStyle w:val="ListBullet"/>
        <w:spacing w:before="20" w:after="40"/>
      </w:pPr>
      <w:r>
        <w:rPr>
          <w:rFonts w:ascii="Arial" w:hAnsi="Arial"/>
          <w:color w:val="000000"/>
          <w:sz w:val="21"/>
        </w:rPr>
        <w:t>El B2B institucional convierte a los clientes en distribuidores: cada organización es un canal de difusión.</w:t>
      </w:r>
    </w:p>
    <w:p>
      <w:pPr>
        <w:pStyle w:val="ListBullet"/>
        <w:spacing w:before="20" w:after="40"/>
      </w:pPr>
      <w:r>
        <w:rPr>
          <w:rFonts w:ascii="Arial" w:hAnsi="Arial"/>
          <w:color w:val="000000"/>
          <w:sz w:val="21"/>
        </w:rPr>
        <w:t>Las líneas adicionales (certificación, retiro, comunidad) no requieren inversión adicional significativa.</w:t>
      </w:r>
    </w:p>
    <w:p>
      <w:pPr>
        <w:pStyle w:val="ListBullet"/>
        <w:spacing w:before="20" w:after="40"/>
      </w:pPr>
      <w:r>
        <w:rPr>
          <w:rFonts w:ascii="Arial" w:hAnsi="Arial"/>
          <w:color w:val="000000"/>
          <w:sz w:val="21"/>
        </w:rPr>
        <w:t>El modelo escala sin costes proporcionales: los vídeos producidos sirven para todos los canales.</w:t>
      </w:r>
    </w:p>
    <w:p>
      <w:pPr>
        <w:spacing w:before="0" w:after="120"/>
        <w:jc w:val="left"/>
      </w:pPr>
    </w:p>
    <w:p>
      <w:pPr>
        <w:spacing w:before="0" w:after="120"/>
        <w:jc w:val="center"/>
      </w:pPr>
      <w:r>
        <w:rPr>
          <w:rFonts w:ascii="Arial" w:hAnsi="Arial"/>
          <w:b w:val="0"/>
          <w:i/>
          <w:color w:val="CCCCCC"/>
          <w:sz w:val="16"/>
        </w:rPr>
        <w:t>ARISTOMAS® · Documento interno · Mayo 2026 · Confidencial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