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5D96A825" w:rsidR="00CC4E95" w:rsidRPr="00CC4E95" w:rsidRDefault="008C7AA0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Qubit</w:t>
      </w:r>
    </w:p>
    <w:p w14:paraId="57B8A88B" w14:textId="0A3915DC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8F34C8">
        <w:rPr>
          <w:rFonts w:ascii="Helvetica" w:hAnsi="Helvetica"/>
          <w:i/>
          <w:iCs/>
          <w:sz w:val="28"/>
          <w:szCs w:val="28"/>
        </w:rPr>
        <w:t>03/23/2023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C9409FC" w14:textId="0C8BA2B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76BA903F" w14:textId="50F15411" w:rsidR="00207AF7" w:rsidRPr="00207AF7" w:rsidRDefault="00207AF7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Qubit</w:t>
      </w:r>
    </w:p>
    <w:p w14:paraId="629FB864" w14:textId="4946712F" w:rsidR="00151552" w:rsidRDefault="00151552" w:rsidP="00151552">
      <w:pPr>
        <w:rPr>
          <w:rFonts w:ascii="Helvetica" w:hAnsi="Helvetica"/>
        </w:rPr>
      </w:pPr>
    </w:p>
    <w:p w14:paraId="2E71041F" w14:textId="335A4740" w:rsidR="00151552" w:rsidRP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3A70C982" w14:textId="10E4A2B7" w:rsidR="00CC4E95" w:rsidRPr="00207AF7" w:rsidRDefault="00207AF7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Qubit tubes</w:t>
      </w:r>
    </w:p>
    <w:p w14:paraId="3EAC1BFB" w14:textId="77777777" w:rsidR="00207AF7" w:rsidRDefault="00207AF7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1CC1EBF7" w14:textId="77777777" w:rsidR="00207AF7" w:rsidRDefault="00207AF7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Qubit buffer and loading dye</w:t>
      </w:r>
    </w:p>
    <w:p w14:paraId="4F8C8149" w14:textId="752BF668" w:rsidR="00CC4E95" w:rsidRDefault="00207AF7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Qubit standards</w:t>
      </w:r>
      <w:r w:rsidR="00A3288C">
        <w:rPr>
          <w:rFonts w:ascii="Helvetica" w:hAnsi="Helvetica"/>
        </w:rPr>
        <w:t xml:space="preserve"> (</w:t>
      </w:r>
      <w:r w:rsidR="00A3288C" w:rsidRPr="00A3288C">
        <w:rPr>
          <w:rFonts w:ascii="Helvetica" w:hAnsi="Helvetica"/>
        </w:rPr>
        <w:t>at</w:t>
      </w:r>
      <w:r w:rsidR="00A3288C" w:rsidRPr="00A3288C">
        <w:rPr>
          <w:rFonts w:ascii="Helvetica" w:hAnsi="Helvetica"/>
          <w:b/>
          <w:bCs/>
        </w:rPr>
        <w:t xml:space="preserve"> 4°C</w:t>
      </w:r>
      <w:r w:rsidR="00A3288C">
        <w:rPr>
          <w:rFonts w:ascii="Helvetica" w:hAnsi="Helvetica"/>
        </w:rPr>
        <w:t>)</w:t>
      </w:r>
    </w:p>
    <w:p w14:paraId="2750866D" w14:textId="11BCC4E6" w:rsidR="00A3288C" w:rsidRDefault="00A3288C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DNA samples to be quantified</w:t>
      </w:r>
    </w:p>
    <w:p w14:paraId="1F0E98B2" w14:textId="77777777" w:rsidR="00207AF7" w:rsidRDefault="00207AF7" w:rsidP="00207AF7">
      <w:pPr>
        <w:rPr>
          <w:rFonts w:ascii="Helvetica" w:hAnsi="Helvetica"/>
        </w:rPr>
      </w:pPr>
    </w:p>
    <w:p w14:paraId="593D24FF" w14:textId="48FA56F4" w:rsidR="00207AF7" w:rsidRDefault="00207AF7" w:rsidP="00207AF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Workflow</w:t>
      </w:r>
    </w:p>
    <w:p w14:paraId="1C1EEE3C" w14:textId="54C1C310" w:rsidR="00207AF7" w:rsidRPr="00207AF7" w:rsidRDefault="00207AF7" w:rsidP="00207AF7">
      <w:pPr>
        <w:rPr>
          <w:rFonts w:ascii="Helvetica" w:hAnsi="Helvetica"/>
        </w:rPr>
      </w:pPr>
      <w:r>
        <w:rPr>
          <w:rFonts w:ascii="Helvetica" w:hAnsi="Helvetica"/>
        </w:rPr>
        <w:t>~15 minutes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486EB32E" w14:textId="2928CA44" w:rsidR="00207AF7" w:rsidRDefault="00207AF7">
      <w:pPr>
        <w:rPr>
          <w:rFonts w:ascii="Helvetica" w:hAnsi="Helvetica"/>
        </w:rPr>
      </w:pPr>
      <w:r>
        <w:rPr>
          <w:rFonts w:ascii="Helvetica" w:hAnsi="Helvetica"/>
        </w:rPr>
        <w:t>For plasmid DNA, you will generally use the BR (“broad range”) kit which goes from 1-1000 ng DNA. If your sample is &lt;1000 ng/µL, use 1 µL sample in 199 µL loading buffer.</w:t>
      </w:r>
    </w:p>
    <w:p w14:paraId="4DC09989" w14:textId="77777777" w:rsidR="00B66F93" w:rsidRDefault="00B66F93">
      <w:pPr>
        <w:rPr>
          <w:rFonts w:ascii="Helvetica" w:hAnsi="Helvetica"/>
        </w:rPr>
      </w:pPr>
    </w:p>
    <w:p w14:paraId="6CC34467" w14:textId="1A2423C6" w:rsidR="00DA177C" w:rsidRDefault="00DA177C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2208CD10" w:rsidR="00342C96" w:rsidRPr="00CE65A6" w:rsidRDefault="008C7AA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Setup the Qubit for your desired number of samples, plus two standards</w:t>
            </w:r>
            <w:r w:rsidR="00A56852">
              <w:rPr>
                <w:rFonts w:ascii="Helvetica" w:hAnsi="Helvetica"/>
              </w:rPr>
              <w:t xml:space="preserve"> and allowance for overage</w:t>
            </w:r>
            <w:r>
              <w:rPr>
                <w:rFonts w:ascii="Helvetica" w:hAnsi="Helvetica"/>
              </w:rPr>
              <w:t>. The machine will calculate the amount of buffer and dye you need to mix. Mix this to make loading buffer.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2645038F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C66AB7" w:rsidRPr="00CE65A6" w14:paraId="3EFCEC5B" w14:textId="77777777" w:rsidTr="00CE65A6">
        <w:tc>
          <w:tcPr>
            <w:tcW w:w="5760" w:type="dxa"/>
          </w:tcPr>
          <w:p w14:paraId="1DC24C75" w14:textId="4FC814DD" w:rsidR="00C66AB7" w:rsidRDefault="00C66AB7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Make sure your DNA samples are well mixed. Pipette up and down or vortex and spin.</w:t>
            </w:r>
          </w:p>
        </w:tc>
        <w:tc>
          <w:tcPr>
            <w:tcW w:w="270" w:type="dxa"/>
          </w:tcPr>
          <w:p w14:paraId="41FBF73A" w14:textId="77777777" w:rsidR="00C66AB7" w:rsidRPr="00CE65A6" w:rsidRDefault="00C66AB7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A4833EC" w14:textId="77777777" w:rsidR="00C66AB7" w:rsidRPr="00CE65A6" w:rsidRDefault="00C66AB7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0A7CFB88" w:rsidR="00342C96" w:rsidRPr="00CE65A6" w:rsidRDefault="008C7AA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each standard: add </w:t>
            </w:r>
            <w:r w:rsidRPr="00DA177C">
              <w:rPr>
                <w:rFonts w:ascii="Helvetica" w:hAnsi="Helvetica"/>
                <w:b/>
                <w:bCs/>
              </w:rPr>
              <w:t>190 µL</w:t>
            </w:r>
            <w:r>
              <w:rPr>
                <w:rFonts w:ascii="Helvetica" w:hAnsi="Helvetica"/>
              </w:rPr>
              <w:t xml:space="preserve"> loading buffer and 10 µL standard to a Qubit tube.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955BFA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64356D1E" w:rsidR="00342C96" w:rsidRPr="00CE65A6" w:rsidRDefault="008C7AA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each sample: add </w:t>
            </w:r>
            <w:r w:rsidRPr="00DA177C">
              <w:rPr>
                <w:rFonts w:ascii="Helvetica" w:hAnsi="Helvetica"/>
                <w:b/>
                <w:bCs/>
              </w:rPr>
              <w:t>199 µL</w:t>
            </w:r>
            <w:r>
              <w:rPr>
                <w:rFonts w:ascii="Helvetica" w:hAnsi="Helvetica"/>
              </w:rPr>
              <w:t xml:space="preserve"> loading buffer and </w:t>
            </w:r>
            <w:r w:rsidRPr="00DA177C">
              <w:rPr>
                <w:rFonts w:ascii="Helvetica" w:hAnsi="Helvetica"/>
                <w:b/>
                <w:bCs/>
              </w:rPr>
              <w:t>1 µL</w:t>
            </w:r>
            <w:r>
              <w:rPr>
                <w:rFonts w:ascii="Helvetica" w:hAnsi="Helvetica"/>
              </w:rPr>
              <w:t xml:space="preserve"> </w:t>
            </w:r>
            <w:r w:rsidR="00C66AB7">
              <w:rPr>
                <w:rFonts w:ascii="Helvetica" w:hAnsi="Helvetica"/>
              </w:rPr>
              <w:t>DNA sample</w:t>
            </w:r>
            <w:r>
              <w:rPr>
                <w:rFonts w:ascii="Helvetica" w:hAnsi="Helvetica"/>
              </w:rPr>
              <w:t xml:space="preserve"> to a Qubit tube. In general, add an amount of DNA whose estimated concentration falls within the range stipulated by the standard kit being used</w:t>
            </w:r>
            <w:r w:rsidR="00DA177C">
              <w:rPr>
                <w:rFonts w:ascii="Helvetica" w:hAnsi="Helvetica"/>
              </w:rPr>
              <w:t xml:space="preserve"> and adjust buffer as needed to reach </w:t>
            </w:r>
            <w:r w:rsidR="00DA177C" w:rsidRPr="00DA177C">
              <w:rPr>
                <w:rFonts w:ascii="Helvetica" w:hAnsi="Helvetica"/>
                <w:b/>
                <w:bCs/>
              </w:rPr>
              <w:t>200 µL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59BAE733" w:rsidR="00342C96" w:rsidRPr="00CE65A6" w:rsidRDefault="008C7AA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Mix </w:t>
            </w:r>
            <w:r w:rsidR="00C66AB7">
              <w:rPr>
                <w:rFonts w:ascii="Helvetica" w:hAnsi="Helvetica"/>
              </w:rPr>
              <w:t xml:space="preserve">standards and </w:t>
            </w:r>
            <w:r>
              <w:rPr>
                <w:rFonts w:ascii="Helvetica" w:hAnsi="Helvetica"/>
              </w:rPr>
              <w:t>samples. For plasmid DNA, vortexing is OK.</w:t>
            </w:r>
            <w:r w:rsidR="00A56852">
              <w:rPr>
                <w:rFonts w:ascii="Helvetica" w:hAnsi="Helvetica"/>
              </w:rPr>
              <w:t xml:space="preserve"> Let stand </w:t>
            </w:r>
            <w:r w:rsidR="00A56852" w:rsidRPr="00DA177C">
              <w:rPr>
                <w:rFonts w:ascii="Helvetica" w:hAnsi="Helvetica"/>
                <w:b/>
                <w:bCs/>
              </w:rPr>
              <w:t>2 minutes</w:t>
            </w:r>
            <w:r w:rsidR="00A56852">
              <w:rPr>
                <w:rFonts w:ascii="Helvetica" w:hAnsi="Helvetica"/>
              </w:rPr>
              <w:t xml:space="preserve"> to stabilize before measuring.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1531931D" w:rsidR="00342C96" w:rsidRPr="00CE65A6" w:rsidRDefault="008C7AA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Measure </w:t>
            </w:r>
            <w:r w:rsidR="00C66AB7">
              <w:rPr>
                <w:rFonts w:ascii="Helvetica" w:hAnsi="Helvetica"/>
              </w:rPr>
              <w:t xml:space="preserve">standards and </w:t>
            </w:r>
            <w:r>
              <w:rPr>
                <w:rFonts w:ascii="Helvetica" w:hAnsi="Helvetica"/>
              </w:rPr>
              <w:t>samples on the Qubit.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8D76" w14:textId="77777777" w:rsidR="00FD09E4" w:rsidRDefault="00FD09E4" w:rsidP="00342C96">
      <w:r>
        <w:separator/>
      </w:r>
    </w:p>
  </w:endnote>
  <w:endnote w:type="continuationSeparator" w:id="0">
    <w:p w14:paraId="3921582F" w14:textId="77777777" w:rsidR="00FD09E4" w:rsidRDefault="00FD09E4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A01B" w14:textId="77777777" w:rsidR="00FD09E4" w:rsidRDefault="00FD09E4" w:rsidP="00342C96">
      <w:r>
        <w:separator/>
      </w:r>
    </w:p>
  </w:footnote>
  <w:footnote w:type="continuationSeparator" w:id="0">
    <w:p w14:paraId="7BCCBE01" w14:textId="77777777" w:rsidR="00FD09E4" w:rsidRDefault="00FD09E4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3354636" w:rsidR="008B664F" w:rsidRDefault="008B664F" w:rsidP="008B664F">
          <w:pPr>
            <w:pStyle w:val="Header"/>
          </w:pPr>
          <w:r>
            <w:t>SOP #WEO</w:t>
          </w:r>
          <w:r w:rsidR="009C673A">
            <w:t>-0005</w:t>
          </w:r>
          <w:r>
            <w:t xml:space="preserve">                   </w:t>
          </w:r>
        </w:p>
      </w:tc>
      <w:tc>
        <w:tcPr>
          <w:tcW w:w="5395" w:type="dxa"/>
        </w:tcPr>
        <w:p w14:paraId="56817437" w14:textId="21DCCE16" w:rsidR="008B664F" w:rsidRDefault="008B664F" w:rsidP="008B664F">
          <w:pPr>
            <w:pStyle w:val="Header"/>
            <w:jc w:val="right"/>
          </w:pPr>
          <w:r>
            <w:t>v1.</w:t>
          </w:r>
          <w:r w:rsidR="00BB1A18">
            <w:t>1</w:t>
          </w:r>
        </w:p>
        <w:p w14:paraId="1E9DF4E0" w14:textId="1BB7351E" w:rsidR="009C772D" w:rsidRDefault="00000000" w:rsidP="008B664F">
          <w:pPr>
            <w:pStyle w:val="Header"/>
            <w:jc w:val="right"/>
          </w:pPr>
          <w:fldSimple w:instr=" LASTSAVEDBY  \* MERGEFORMAT ">
            <w:r w:rsidR="00A8292A">
              <w:rPr>
                <w:noProof/>
              </w:rPr>
              <w:t>Orr, Walker (NIH/NIAID) [F]</w:t>
            </w:r>
          </w:fldSimple>
        </w:p>
        <w:p w14:paraId="6D480877" w14:textId="05BF3A6A" w:rsidR="009C772D" w:rsidRDefault="00000000" w:rsidP="008B664F">
          <w:pPr>
            <w:pStyle w:val="Header"/>
            <w:jc w:val="right"/>
          </w:pPr>
          <w:fldSimple w:instr=" SAVEDATE  \* MERGEFORMAT ">
            <w:r w:rsidR="00BB1A18">
              <w:rPr>
                <w:noProof/>
              </w:rPr>
              <w:t>3/23/23 3:16:00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72A32"/>
    <w:multiLevelType w:val="hybridMultilevel"/>
    <w:tmpl w:val="84C03A88"/>
    <w:lvl w:ilvl="0" w:tplc="F474C88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  <w:num w:numId="5" w16cid:durableId="55981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07AF7"/>
    <w:rsid w:val="002E3F6C"/>
    <w:rsid w:val="003242FB"/>
    <w:rsid w:val="00342C96"/>
    <w:rsid w:val="003761D8"/>
    <w:rsid w:val="00380427"/>
    <w:rsid w:val="00410C40"/>
    <w:rsid w:val="00431FB8"/>
    <w:rsid w:val="004F02C9"/>
    <w:rsid w:val="00564733"/>
    <w:rsid w:val="006B39BF"/>
    <w:rsid w:val="00712DA1"/>
    <w:rsid w:val="007441B2"/>
    <w:rsid w:val="00765A35"/>
    <w:rsid w:val="008B664F"/>
    <w:rsid w:val="008C458C"/>
    <w:rsid w:val="008C7AA0"/>
    <w:rsid w:val="008D61BF"/>
    <w:rsid w:val="008F34C8"/>
    <w:rsid w:val="009532DF"/>
    <w:rsid w:val="009C673A"/>
    <w:rsid w:val="009C772D"/>
    <w:rsid w:val="00A3288C"/>
    <w:rsid w:val="00A56852"/>
    <w:rsid w:val="00A8292A"/>
    <w:rsid w:val="00AB6CEE"/>
    <w:rsid w:val="00B57C07"/>
    <w:rsid w:val="00B66F93"/>
    <w:rsid w:val="00B9093A"/>
    <w:rsid w:val="00BB1A18"/>
    <w:rsid w:val="00C26BF7"/>
    <w:rsid w:val="00C66AB7"/>
    <w:rsid w:val="00C90EDB"/>
    <w:rsid w:val="00CC4E95"/>
    <w:rsid w:val="00CE65A6"/>
    <w:rsid w:val="00DA177C"/>
    <w:rsid w:val="00E632C8"/>
    <w:rsid w:val="00E7472B"/>
    <w:rsid w:val="00F35C54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19</cp:revision>
  <cp:lastPrinted>2023-03-23T19:09:00Z</cp:lastPrinted>
  <dcterms:created xsi:type="dcterms:W3CDTF">2023-03-23T17:34:00Z</dcterms:created>
  <dcterms:modified xsi:type="dcterms:W3CDTF">2023-03-23T19:17:00Z</dcterms:modified>
</cp:coreProperties>
</file>