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Metadata/LabelInfo.xml" ContentType="application/vnd.ms-office.classificationlabel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B6C3" w14:textId="2C95824C" w:rsidR="00993F28" w:rsidRPr="00060CFE" w:rsidRDefault="00993F28" w:rsidP="00060CFE">
      <w:pPr>
        <w:pStyle w:val="Heading2"/>
      </w:pPr>
      <w:r w:rsidRPr="00060CFE">
        <w:t>Required DNA Components</w:t>
      </w:r>
    </w:p>
    <w:p w14:paraId="71A5B5C5" w14:textId="5659892A" w:rsidR="00993F28" w:rsidRPr="00060CFE" w:rsidRDefault="00993F28" w:rsidP="00060CFE">
      <w:pPr>
        <w:rPr>
          <w:rFonts w:cs="Baghdad"/>
        </w:rPr>
      </w:pPr>
      <w:r w:rsidRPr="00060CFE">
        <w:rPr>
          <w:rFonts w:cs="Baghdad"/>
        </w:rPr>
        <w:t xml:space="preserve">The SPINE/DIMPLE algorithm will generate a list of synthetic oligos representing the diversity that will be encoded in the library, a list of primers for amplifying individual </w:t>
      </w:r>
      <w:proofErr w:type="spellStart"/>
      <w:r w:rsidRPr="00060CFE">
        <w:rPr>
          <w:rFonts w:cs="Baghdad"/>
        </w:rPr>
        <w:t>subpools</w:t>
      </w:r>
      <w:proofErr w:type="spellEnd"/>
      <w:r w:rsidRPr="00060CFE">
        <w:rPr>
          <w:rFonts w:cs="Baghdad"/>
        </w:rPr>
        <w:t xml:space="preserve"> from the oligopool, and a list of primers for amplifying the rest of the plasmid with </w:t>
      </w:r>
      <w:proofErr w:type="spellStart"/>
      <w:r w:rsidRPr="00060CFE">
        <w:rPr>
          <w:rFonts w:cs="Baghdad"/>
        </w:rPr>
        <w:t>BsmBI</w:t>
      </w:r>
      <w:proofErr w:type="spellEnd"/>
      <w:r w:rsidRPr="00060CFE">
        <w:rPr>
          <w:rFonts w:cs="Baghdad"/>
        </w:rPr>
        <w:t xml:space="preserve"> adapters</w:t>
      </w:r>
      <w:r w:rsidR="00060CFE" w:rsidRPr="00060CFE">
        <w:rPr>
          <w:rFonts w:cs="Baghdad"/>
        </w:rPr>
        <w:t xml:space="preserve"> for each subpool.</w:t>
      </w:r>
    </w:p>
    <w:p w14:paraId="7435BF2F" w14:textId="77777777" w:rsidR="00993F28" w:rsidRPr="00060CFE" w:rsidRDefault="00993F28" w:rsidP="00060CFE"/>
    <w:p w14:paraId="454DBFA4" w14:textId="5D167224" w:rsidR="00993F28" w:rsidRPr="00060CFE" w:rsidRDefault="00060CFE" w:rsidP="00060CFE">
      <w:r w:rsidRPr="00060CFE">
        <w:t>Before use, the oligopool should be suspended in elution buffer (10 mM Tris-Cl, pH 8.5)</w:t>
      </w:r>
      <w:r>
        <w:t xml:space="preserve"> to a concentration of 20 ng/</w:t>
      </w:r>
      <w:r w:rsidR="00812710">
        <w:t>µ</w:t>
      </w:r>
      <w:r>
        <w:t>l</w:t>
      </w:r>
      <w:r w:rsidRPr="00060CFE">
        <w:t>. Make every effort to minimize freeze-thaw cycles.</w:t>
      </w:r>
    </w:p>
    <w:p w14:paraId="0424C294" w14:textId="77777777" w:rsidR="00993F28" w:rsidRDefault="00993F28" w:rsidP="00060CFE"/>
    <w:p w14:paraId="10C49C90" w14:textId="7A024CEB" w:rsidR="00261043" w:rsidRPr="00993F28" w:rsidRDefault="00993F28" w:rsidP="00060CFE">
      <w:pPr>
        <w:pStyle w:val="Heading2"/>
      </w:pPr>
      <w:r w:rsidRPr="00993F28">
        <w:t>Sublibrary Preparation</w:t>
      </w:r>
    </w:p>
    <w:p w14:paraId="0382F59D" w14:textId="571FC8CD" w:rsidR="00993F28" w:rsidRDefault="00993F28" w:rsidP="00060CFE">
      <w:r>
        <w:t xml:space="preserve">Each </w:t>
      </w:r>
      <w:r w:rsidR="00060CFE">
        <w:t>s</w:t>
      </w:r>
      <w:r>
        <w:t>ublibrary includes two pieces: a diversified insert which must be amplified from a synthetic oligopool, and a fixed backbone fragment comprising the remainder of the plasmid.</w:t>
      </w:r>
    </w:p>
    <w:p w14:paraId="086E5E27" w14:textId="77777777" w:rsidR="00060CFE" w:rsidRDefault="00060CFE" w:rsidP="00060CFE"/>
    <w:p w14:paraId="63428F59" w14:textId="06EF12C7" w:rsidR="00993F28" w:rsidRPr="00060CFE" w:rsidRDefault="00060CFE" w:rsidP="00060CFE">
      <w:pPr>
        <w:pStyle w:val="Heading3"/>
      </w:pPr>
      <w:r w:rsidRPr="00060CFE">
        <w:t>For the backbone:</w:t>
      </w:r>
    </w:p>
    <w:p w14:paraId="407D3478" w14:textId="00F4EFEE" w:rsidR="00060CFE" w:rsidRDefault="00060CFE" w:rsidP="00060CFE">
      <w:r>
        <w:t>Begin with a high-quality template plasmid (prepared via silica-resin column purification and isopropanol precipitation; not just a miniprep). This should be stored undiluted at -20C. Before use, dilute to the desired concentration range and quantitate using Qubit High-Sensitivity assay.</w:t>
      </w:r>
      <w:r w:rsidR="00812710">
        <w:t xml:space="preserve"> Minimize the amount of template DNA used in inverse PCR reactions, as any template carried over to subsequent steps may result in unwanted wild-type virus contamination. For these inverse PCR reactions, 100 </w:t>
      </w:r>
      <w:proofErr w:type="spellStart"/>
      <w:r w:rsidR="00812710">
        <w:t>pg</w:t>
      </w:r>
      <w:proofErr w:type="spellEnd"/>
      <w:r w:rsidR="00812710">
        <w:t xml:space="preserve"> per reaction is generally sufficient.</w:t>
      </w:r>
    </w:p>
    <w:p w14:paraId="389C98BC" w14:textId="77777777" w:rsidR="00060CFE" w:rsidRDefault="00060CFE" w:rsidP="00060CFE"/>
    <w:p w14:paraId="348248E6" w14:textId="3E669E2A" w:rsidR="00812710" w:rsidRDefault="00812710" w:rsidP="00060CFE">
      <w:r>
        <w:t>Inverse PCR is performed using Q5 high-fidelity polymerase (New England Biolabs). Use 50 µl reactions.</w:t>
      </w:r>
    </w:p>
    <w:p w14:paraId="1F5DF08D" w14:textId="77777777" w:rsidR="00812710" w:rsidRDefault="00812710" w:rsidP="00060CFE"/>
    <w:p w14:paraId="10161944" w14:textId="4628EBF3" w:rsidR="00812710" w:rsidRDefault="00812710" w:rsidP="00060CFE">
      <w:r>
        <w:t>Set up reactions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2710" w14:paraId="4B1A1DAE" w14:textId="77777777" w:rsidTr="00812710">
        <w:tc>
          <w:tcPr>
            <w:tcW w:w="3116" w:type="dxa"/>
          </w:tcPr>
          <w:p w14:paraId="57C4348C" w14:textId="748DF642" w:rsidR="00812710" w:rsidRPr="00812710" w:rsidRDefault="00812710" w:rsidP="00060CFE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1D20B0FC" w14:textId="16FAE423" w:rsidR="00812710" w:rsidRPr="00812710" w:rsidRDefault="00812710" w:rsidP="00060CFE">
            <w:pPr>
              <w:rPr>
                <w:b/>
                <w:bCs/>
              </w:rPr>
            </w:pPr>
            <w:r>
              <w:rPr>
                <w:b/>
                <w:bCs/>
              </w:rPr>
              <w:t>Per 50 µl Reaction</w:t>
            </w:r>
          </w:p>
        </w:tc>
        <w:tc>
          <w:tcPr>
            <w:tcW w:w="3117" w:type="dxa"/>
          </w:tcPr>
          <w:p w14:paraId="0A326A06" w14:textId="4E531614" w:rsidR="00812710" w:rsidRPr="00812710" w:rsidRDefault="00812710" w:rsidP="00060CFE">
            <w:pPr>
              <w:rPr>
                <w:b/>
                <w:bCs/>
              </w:rPr>
            </w:pPr>
            <w:r w:rsidRPr="00812710">
              <w:rPr>
                <w:b/>
                <w:bCs/>
              </w:rPr>
              <w:t>Final Concentration</w:t>
            </w:r>
          </w:p>
        </w:tc>
      </w:tr>
      <w:tr w:rsidR="00812710" w14:paraId="2DBC31D2" w14:textId="77777777" w:rsidTr="00812710">
        <w:tc>
          <w:tcPr>
            <w:tcW w:w="3116" w:type="dxa"/>
          </w:tcPr>
          <w:p w14:paraId="43F16A36" w14:textId="4CA60AA8" w:rsidR="00812710" w:rsidRDefault="00812710" w:rsidP="00060CFE">
            <w:r>
              <w:t>5x Q5 reaction buffer</w:t>
            </w:r>
          </w:p>
        </w:tc>
        <w:tc>
          <w:tcPr>
            <w:tcW w:w="3117" w:type="dxa"/>
          </w:tcPr>
          <w:p w14:paraId="1F8476D5" w14:textId="30B9C8CC" w:rsidR="00812710" w:rsidRDefault="00812710" w:rsidP="00060CFE">
            <w:r>
              <w:t>10 µl</w:t>
            </w:r>
          </w:p>
        </w:tc>
        <w:tc>
          <w:tcPr>
            <w:tcW w:w="3117" w:type="dxa"/>
          </w:tcPr>
          <w:p w14:paraId="37CF7B5B" w14:textId="505491F0" w:rsidR="00812710" w:rsidRDefault="00212B70" w:rsidP="00060CFE">
            <w:r>
              <w:t>(1x)</w:t>
            </w:r>
          </w:p>
        </w:tc>
      </w:tr>
      <w:tr w:rsidR="00812710" w14:paraId="742D39F2" w14:textId="77777777" w:rsidTr="00812710">
        <w:tc>
          <w:tcPr>
            <w:tcW w:w="3116" w:type="dxa"/>
          </w:tcPr>
          <w:p w14:paraId="1EB11158" w14:textId="74334482" w:rsidR="00812710" w:rsidRDefault="00812710" w:rsidP="00060CFE">
            <w:r>
              <w:t>dNTPs (10 mM)</w:t>
            </w:r>
          </w:p>
        </w:tc>
        <w:tc>
          <w:tcPr>
            <w:tcW w:w="3117" w:type="dxa"/>
          </w:tcPr>
          <w:p w14:paraId="09F31A57" w14:textId="3B86583C" w:rsidR="00812710" w:rsidRDefault="00812710" w:rsidP="00060CFE">
            <w:r>
              <w:t>1 µl</w:t>
            </w:r>
          </w:p>
        </w:tc>
        <w:tc>
          <w:tcPr>
            <w:tcW w:w="3117" w:type="dxa"/>
          </w:tcPr>
          <w:p w14:paraId="4E462604" w14:textId="6188BCE3" w:rsidR="00812710" w:rsidRDefault="00212B70" w:rsidP="00060CFE">
            <w:r>
              <w:t>200 µM</w:t>
            </w:r>
          </w:p>
        </w:tc>
      </w:tr>
      <w:tr w:rsidR="00812710" w14:paraId="4BEADB3E" w14:textId="77777777" w:rsidTr="00812710">
        <w:tc>
          <w:tcPr>
            <w:tcW w:w="3116" w:type="dxa"/>
          </w:tcPr>
          <w:p w14:paraId="7BD957EA" w14:textId="4E12306A" w:rsidR="00812710" w:rsidRDefault="00812710" w:rsidP="00060CFE">
            <w:r>
              <w:t>Forward primer (10 µM)</w:t>
            </w:r>
          </w:p>
        </w:tc>
        <w:tc>
          <w:tcPr>
            <w:tcW w:w="3117" w:type="dxa"/>
          </w:tcPr>
          <w:p w14:paraId="5C0E9E59" w14:textId="36336FAF" w:rsidR="00812710" w:rsidRDefault="00812710" w:rsidP="00060CFE">
            <w:r>
              <w:t>2.5 µl</w:t>
            </w:r>
          </w:p>
        </w:tc>
        <w:tc>
          <w:tcPr>
            <w:tcW w:w="3117" w:type="dxa"/>
          </w:tcPr>
          <w:p w14:paraId="37DD9D5D" w14:textId="7F5F499C" w:rsidR="00812710" w:rsidRDefault="00212B70" w:rsidP="00060CFE">
            <w:r>
              <w:t>0.5 µM</w:t>
            </w:r>
          </w:p>
        </w:tc>
      </w:tr>
      <w:tr w:rsidR="00812710" w14:paraId="340962C2" w14:textId="77777777" w:rsidTr="00812710">
        <w:tc>
          <w:tcPr>
            <w:tcW w:w="3116" w:type="dxa"/>
          </w:tcPr>
          <w:p w14:paraId="0BE9A6EE" w14:textId="44BF4642" w:rsidR="00812710" w:rsidRDefault="00812710" w:rsidP="00060CFE">
            <w:r>
              <w:t>Reverse primer (10 µM)</w:t>
            </w:r>
          </w:p>
        </w:tc>
        <w:tc>
          <w:tcPr>
            <w:tcW w:w="3117" w:type="dxa"/>
          </w:tcPr>
          <w:p w14:paraId="1DB59DED" w14:textId="373E602C" w:rsidR="00812710" w:rsidRDefault="00812710" w:rsidP="00060CFE">
            <w:r>
              <w:t>2.5 µl</w:t>
            </w:r>
          </w:p>
        </w:tc>
        <w:tc>
          <w:tcPr>
            <w:tcW w:w="3117" w:type="dxa"/>
          </w:tcPr>
          <w:p w14:paraId="5B78600B" w14:textId="3DEAB475" w:rsidR="00812710" w:rsidRDefault="00212B70" w:rsidP="00060CFE">
            <w:r>
              <w:t>05 µM</w:t>
            </w:r>
          </w:p>
        </w:tc>
      </w:tr>
      <w:tr w:rsidR="00812710" w14:paraId="59CB75CC" w14:textId="77777777" w:rsidTr="00812710">
        <w:tc>
          <w:tcPr>
            <w:tcW w:w="3116" w:type="dxa"/>
          </w:tcPr>
          <w:p w14:paraId="671E815E" w14:textId="74DFDC86" w:rsidR="00812710" w:rsidRDefault="00812710" w:rsidP="00060CFE">
            <w:r>
              <w:t>Template DNA</w:t>
            </w:r>
          </w:p>
        </w:tc>
        <w:tc>
          <w:tcPr>
            <w:tcW w:w="3117" w:type="dxa"/>
          </w:tcPr>
          <w:p w14:paraId="1855EBA3" w14:textId="116CC0AE" w:rsidR="00812710" w:rsidRDefault="00812710" w:rsidP="00060CFE">
            <w:r>
              <w:t>100 pg</w:t>
            </w:r>
          </w:p>
        </w:tc>
        <w:tc>
          <w:tcPr>
            <w:tcW w:w="3117" w:type="dxa"/>
          </w:tcPr>
          <w:p w14:paraId="333D82B0" w14:textId="594F6CF9" w:rsidR="00812710" w:rsidRDefault="00212B70" w:rsidP="00060CFE">
            <w:r>
              <w:t xml:space="preserve">2 </w:t>
            </w:r>
            <w:proofErr w:type="spellStart"/>
            <w:r>
              <w:t>pg</w:t>
            </w:r>
            <w:proofErr w:type="spellEnd"/>
            <w:r>
              <w:t>/µl</w:t>
            </w:r>
          </w:p>
        </w:tc>
      </w:tr>
      <w:tr w:rsidR="00812710" w14:paraId="5D284DA9" w14:textId="77777777" w:rsidTr="00812710">
        <w:tc>
          <w:tcPr>
            <w:tcW w:w="3116" w:type="dxa"/>
          </w:tcPr>
          <w:p w14:paraId="71C92024" w14:textId="163A4B57" w:rsidR="00812710" w:rsidRDefault="00812710" w:rsidP="00060CFE">
            <w:r>
              <w:t>Q5 DNA polymerase</w:t>
            </w:r>
          </w:p>
        </w:tc>
        <w:tc>
          <w:tcPr>
            <w:tcW w:w="3117" w:type="dxa"/>
          </w:tcPr>
          <w:p w14:paraId="4BE2F3F9" w14:textId="6666243E" w:rsidR="00812710" w:rsidRDefault="00812710" w:rsidP="00060CFE">
            <w:r>
              <w:t>.5 µl</w:t>
            </w:r>
          </w:p>
        </w:tc>
        <w:tc>
          <w:tcPr>
            <w:tcW w:w="3117" w:type="dxa"/>
          </w:tcPr>
          <w:p w14:paraId="5CB66AB3" w14:textId="576F96C0" w:rsidR="00812710" w:rsidRDefault="00212B70" w:rsidP="00060CFE">
            <w:r>
              <w:t>0.02 U/µl</w:t>
            </w:r>
          </w:p>
        </w:tc>
      </w:tr>
      <w:tr w:rsidR="00812710" w14:paraId="67297737" w14:textId="77777777" w:rsidTr="00812710">
        <w:tc>
          <w:tcPr>
            <w:tcW w:w="3116" w:type="dxa"/>
          </w:tcPr>
          <w:p w14:paraId="17F7A8AD" w14:textId="3E63C0F6" w:rsidR="00812710" w:rsidRDefault="00812710" w:rsidP="00060CFE">
            <w:r>
              <w:t>Nuclease-free water</w:t>
            </w:r>
          </w:p>
        </w:tc>
        <w:tc>
          <w:tcPr>
            <w:tcW w:w="3117" w:type="dxa"/>
          </w:tcPr>
          <w:p w14:paraId="130EAAF3" w14:textId="22661CB7" w:rsidR="00812710" w:rsidRDefault="00812710" w:rsidP="00060CFE">
            <w:r>
              <w:t>To 50 µl</w:t>
            </w:r>
          </w:p>
        </w:tc>
        <w:tc>
          <w:tcPr>
            <w:tcW w:w="3117" w:type="dxa"/>
          </w:tcPr>
          <w:p w14:paraId="34C0E54C" w14:textId="77777777" w:rsidR="00812710" w:rsidRDefault="00812710" w:rsidP="00060CFE"/>
        </w:tc>
      </w:tr>
    </w:tbl>
    <w:p w14:paraId="6DCDFAA3" w14:textId="77777777" w:rsidR="00812710" w:rsidRDefault="00812710" w:rsidP="00060CFE"/>
    <w:p w14:paraId="59D904BE" w14:textId="0E5C55B1" w:rsidR="00812710" w:rsidRDefault="00212B70" w:rsidP="00060CFE">
      <w:r>
        <w:t>Run reactions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3117"/>
        <w:gridCol w:w="3117"/>
      </w:tblGrid>
      <w:tr w:rsidR="00212B70" w14:paraId="0613D6A4" w14:textId="77777777" w:rsidTr="00BD59A8">
        <w:tc>
          <w:tcPr>
            <w:tcW w:w="3116" w:type="dxa"/>
            <w:gridSpan w:val="2"/>
          </w:tcPr>
          <w:p w14:paraId="461A74C4" w14:textId="30C29B20" w:rsidR="00212B70" w:rsidRPr="00812710" w:rsidRDefault="00212B70" w:rsidP="00BD59A8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117" w:type="dxa"/>
          </w:tcPr>
          <w:p w14:paraId="7FFE68A7" w14:textId="655FC8CE" w:rsidR="00212B70" w:rsidRPr="00812710" w:rsidRDefault="00212B70" w:rsidP="00BD59A8">
            <w:pPr>
              <w:rPr>
                <w:b/>
                <w:bCs/>
              </w:rPr>
            </w:pPr>
            <w:r>
              <w:rPr>
                <w:b/>
                <w:bCs/>
              </w:rPr>
              <w:t>Temperature</w:t>
            </w:r>
          </w:p>
        </w:tc>
        <w:tc>
          <w:tcPr>
            <w:tcW w:w="3117" w:type="dxa"/>
          </w:tcPr>
          <w:p w14:paraId="5E01CC9F" w14:textId="3E1BACD4" w:rsidR="00212B70" w:rsidRPr="00812710" w:rsidRDefault="00212B70" w:rsidP="00BD59A8">
            <w:pPr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</w:tr>
      <w:tr w:rsidR="00212B70" w14:paraId="7E2B3DA0" w14:textId="77777777" w:rsidTr="00BD59A8">
        <w:tc>
          <w:tcPr>
            <w:tcW w:w="3116" w:type="dxa"/>
            <w:gridSpan w:val="2"/>
          </w:tcPr>
          <w:p w14:paraId="421E141D" w14:textId="1AA67D5E" w:rsidR="00212B70" w:rsidRDefault="00212B70" w:rsidP="00BD59A8">
            <w:r>
              <w:t>Initial denaturation</w:t>
            </w:r>
          </w:p>
        </w:tc>
        <w:tc>
          <w:tcPr>
            <w:tcW w:w="3117" w:type="dxa"/>
          </w:tcPr>
          <w:p w14:paraId="16F681C4" w14:textId="78F861E5" w:rsidR="00212B70" w:rsidRDefault="00212B70" w:rsidP="00BD59A8">
            <w:r>
              <w:t>90°C</w:t>
            </w:r>
          </w:p>
        </w:tc>
        <w:tc>
          <w:tcPr>
            <w:tcW w:w="3117" w:type="dxa"/>
          </w:tcPr>
          <w:p w14:paraId="09DCFEE5" w14:textId="351A4CA0" w:rsidR="00212B70" w:rsidRDefault="00212B70" w:rsidP="00BD59A8">
            <w:r>
              <w:t>1 min.</w:t>
            </w:r>
          </w:p>
        </w:tc>
      </w:tr>
      <w:tr w:rsidR="00212B70" w14:paraId="3E44AF40" w14:textId="77777777" w:rsidTr="00212B70">
        <w:tc>
          <w:tcPr>
            <w:tcW w:w="1558" w:type="dxa"/>
            <w:vMerge w:val="restart"/>
            <w:vAlign w:val="center"/>
          </w:tcPr>
          <w:p w14:paraId="2F48377C" w14:textId="56DADB25" w:rsidR="00212B70" w:rsidRDefault="00212B70" w:rsidP="00212B70">
            <w:pPr>
              <w:jc w:val="center"/>
            </w:pPr>
            <w:r>
              <w:t>35 cycles</w:t>
            </w:r>
          </w:p>
        </w:tc>
        <w:tc>
          <w:tcPr>
            <w:tcW w:w="1558" w:type="dxa"/>
            <w:vMerge w:val="restart"/>
          </w:tcPr>
          <w:p w14:paraId="3013A854" w14:textId="386821B6" w:rsidR="00212B70" w:rsidRDefault="00212B70" w:rsidP="00212B70">
            <w:r>
              <w:t>Denature</w:t>
            </w:r>
          </w:p>
          <w:p w14:paraId="695CFA65" w14:textId="77777777" w:rsidR="00212B70" w:rsidRDefault="00212B70" w:rsidP="00212B70">
            <w:r>
              <w:t>Anneal</w:t>
            </w:r>
          </w:p>
          <w:p w14:paraId="5BE82A4B" w14:textId="76CD2DEF" w:rsidR="00212B70" w:rsidRDefault="00212B70" w:rsidP="00212B70">
            <w:r>
              <w:t>Extend</w:t>
            </w:r>
          </w:p>
        </w:tc>
        <w:tc>
          <w:tcPr>
            <w:tcW w:w="3117" w:type="dxa"/>
          </w:tcPr>
          <w:p w14:paraId="74AB7328" w14:textId="404748DE" w:rsidR="00212B70" w:rsidRDefault="00212B70" w:rsidP="00BD59A8">
            <w:r>
              <w:t>98°C</w:t>
            </w:r>
          </w:p>
        </w:tc>
        <w:tc>
          <w:tcPr>
            <w:tcW w:w="3117" w:type="dxa"/>
          </w:tcPr>
          <w:p w14:paraId="706DC5A8" w14:textId="6D80B6C5" w:rsidR="00212B70" w:rsidRDefault="00212B70" w:rsidP="00BD59A8">
            <w:r>
              <w:t>10 sec.</w:t>
            </w:r>
          </w:p>
        </w:tc>
      </w:tr>
      <w:tr w:rsidR="00212B70" w14:paraId="7A278FE6" w14:textId="77777777" w:rsidTr="00794EF2">
        <w:tc>
          <w:tcPr>
            <w:tcW w:w="1558" w:type="dxa"/>
            <w:vMerge/>
          </w:tcPr>
          <w:p w14:paraId="0DBCF29D" w14:textId="77777777" w:rsidR="00212B70" w:rsidRDefault="00212B70" w:rsidP="00BD59A8"/>
        </w:tc>
        <w:tc>
          <w:tcPr>
            <w:tcW w:w="1558" w:type="dxa"/>
            <w:vMerge/>
          </w:tcPr>
          <w:p w14:paraId="6C03EF68" w14:textId="26E72D2E" w:rsidR="00212B70" w:rsidRDefault="00212B70" w:rsidP="00BD59A8"/>
        </w:tc>
        <w:tc>
          <w:tcPr>
            <w:tcW w:w="3117" w:type="dxa"/>
          </w:tcPr>
          <w:p w14:paraId="6E045BB8" w14:textId="4663E330" w:rsidR="00212B70" w:rsidRDefault="00212B70" w:rsidP="00BD59A8">
            <w:r>
              <w:t>65°C</w:t>
            </w:r>
          </w:p>
        </w:tc>
        <w:tc>
          <w:tcPr>
            <w:tcW w:w="3117" w:type="dxa"/>
          </w:tcPr>
          <w:p w14:paraId="383F9443" w14:textId="23B6A58D" w:rsidR="00212B70" w:rsidRDefault="00212B70" w:rsidP="00BD59A8">
            <w:r>
              <w:t>30 sec.</w:t>
            </w:r>
          </w:p>
        </w:tc>
      </w:tr>
      <w:tr w:rsidR="00212B70" w14:paraId="351B5E7B" w14:textId="77777777" w:rsidTr="00794EF2">
        <w:tc>
          <w:tcPr>
            <w:tcW w:w="1558" w:type="dxa"/>
            <w:vMerge/>
          </w:tcPr>
          <w:p w14:paraId="077176CC" w14:textId="77777777" w:rsidR="00212B70" w:rsidRDefault="00212B70" w:rsidP="00BD59A8"/>
        </w:tc>
        <w:tc>
          <w:tcPr>
            <w:tcW w:w="1558" w:type="dxa"/>
            <w:vMerge/>
          </w:tcPr>
          <w:p w14:paraId="5AC86848" w14:textId="6DBD04E3" w:rsidR="00212B70" w:rsidRDefault="00212B70" w:rsidP="00BD59A8"/>
        </w:tc>
        <w:tc>
          <w:tcPr>
            <w:tcW w:w="3117" w:type="dxa"/>
          </w:tcPr>
          <w:p w14:paraId="55558A91" w14:textId="5CA94A1D" w:rsidR="00212B70" w:rsidRDefault="00212B70" w:rsidP="00BD59A8">
            <w:r>
              <w:t>72°C</w:t>
            </w:r>
          </w:p>
        </w:tc>
        <w:tc>
          <w:tcPr>
            <w:tcW w:w="3117" w:type="dxa"/>
          </w:tcPr>
          <w:p w14:paraId="4DB1B28B" w14:textId="1C7B4A12" w:rsidR="00212B70" w:rsidRDefault="00212B70" w:rsidP="00BD59A8">
            <w:r>
              <w:t>10 min.</w:t>
            </w:r>
          </w:p>
        </w:tc>
      </w:tr>
      <w:tr w:rsidR="00212B70" w14:paraId="6179E309" w14:textId="77777777" w:rsidTr="00BD59A8">
        <w:tc>
          <w:tcPr>
            <w:tcW w:w="3116" w:type="dxa"/>
            <w:gridSpan w:val="2"/>
          </w:tcPr>
          <w:p w14:paraId="7604624E" w14:textId="56ADB4F7" w:rsidR="00212B70" w:rsidRDefault="00212B70" w:rsidP="00BD59A8">
            <w:r>
              <w:t>Final extension</w:t>
            </w:r>
          </w:p>
        </w:tc>
        <w:tc>
          <w:tcPr>
            <w:tcW w:w="3117" w:type="dxa"/>
          </w:tcPr>
          <w:p w14:paraId="213C516F" w14:textId="2DF99211" w:rsidR="00212B70" w:rsidRDefault="00212B70" w:rsidP="00BD59A8">
            <w:r>
              <w:t>72°C</w:t>
            </w:r>
          </w:p>
        </w:tc>
        <w:tc>
          <w:tcPr>
            <w:tcW w:w="3117" w:type="dxa"/>
          </w:tcPr>
          <w:p w14:paraId="220CD5FC" w14:textId="5CB8864A" w:rsidR="00212B70" w:rsidRDefault="00212B70" w:rsidP="00BD59A8">
            <w:r>
              <w:t>10 min.</w:t>
            </w:r>
          </w:p>
        </w:tc>
      </w:tr>
      <w:tr w:rsidR="00212B70" w14:paraId="1CD3C0EB" w14:textId="77777777" w:rsidTr="00BD59A8">
        <w:tc>
          <w:tcPr>
            <w:tcW w:w="3116" w:type="dxa"/>
            <w:gridSpan w:val="2"/>
          </w:tcPr>
          <w:p w14:paraId="1C07BCD8" w14:textId="304548BE" w:rsidR="00212B70" w:rsidRDefault="00212B70" w:rsidP="00BD59A8">
            <w:r>
              <w:t>Hold</w:t>
            </w:r>
          </w:p>
        </w:tc>
        <w:tc>
          <w:tcPr>
            <w:tcW w:w="3117" w:type="dxa"/>
          </w:tcPr>
          <w:p w14:paraId="6FE46582" w14:textId="409FC494" w:rsidR="00212B70" w:rsidRDefault="00212B70" w:rsidP="00BD59A8">
            <w:r>
              <w:t>10°C</w:t>
            </w:r>
          </w:p>
        </w:tc>
        <w:tc>
          <w:tcPr>
            <w:tcW w:w="3117" w:type="dxa"/>
          </w:tcPr>
          <w:p w14:paraId="28173187" w14:textId="3C3BA2A1" w:rsidR="00212B70" w:rsidRDefault="00212B70" w:rsidP="00BD59A8">
            <w:r>
              <w:t>Until use</w:t>
            </w:r>
          </w:p>
        </w:tc>
      </w:tr>
    </w:tbl>
    <w:p w14:paraId="6FF4A38A" w14:textId="77777777" w:rsidR="00212B70" w:rsidRDefault="00212B70" w:rsidP="00060CFE"/>
    <w:p w14:paraId="5865510B" w14:textId="599B1958" w:rsidR="00212B70" w:rsidRDefault="00212B70" w:rsidP="00060CFE">
      <w:r>
        <w:t xml:space="preserve">After PCR, reactions should be cleaned up using NEB Monarch PCR &amp; DNA Cleanup kit (5 µg). Since this is a large amplicon, use a 2:1 ratio of binding buffer to PCR reaction. </w:t>
      </w:r>
    </w:p>
    <w:p w14:paraId="35471C31" w14:textId="77777777" w:rsidR="00812710" w:rsidRDefault="00812710" w:rsidP="00060CFE"/>
    <w:p w14:paraId="798901D1" w14:textId="77777777" w:rsidR="00060CFE" w:rsidRDefault="00060CFE" w:rsidP="00060CFE"/>
    <w:p w14:paraId="6097CBDF" w14:textId="621ABF73" w:rsidR="00060CFE" w:rsidRPr="00993F28" w:rsidRDefault="00060CFE" w:rsidP="00060CFE">
      <w:pPr>
        <w:pStyle w:val="Heading3"/>
      </w:pPr>
      <w:r>
        <w:t>For the insert:</w:t>
      </w:r>
    </w:p>
    <w:sectPr w:rsidR="00060CFE" w:rsidRPr="00993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C1E3E"/>
    <w:multiLevelType w:val="hybridMultilevel"/>
    <w:tmpl w:val="908A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37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28"/>
    <w:rsid w:val="00032D04"/>
    <w:rsid w:val="00060CFE"/>
    <w:rsid w:val="00212B70"/>
    <w:rsid w:val="00261043"/>
    <w:rsid w:val="003978C5"/>
    <w:rsid w:val="00812710"/>
    <w:rsid w:val="008727F6"/>
    <w:rsid w:val="00970BFF"/>
    <w:rsid w:val="00993F28"/>
    <w:rsid w:val="00E1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D2C56"/>
  <w15:chartTrackingRefBased/>
  <w15:docId w15:val="{B24FF254-71DD-2E4D-AC66-BFBBA02B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CFE"/>
    <w:rPr>
      <w:rFonts w:ascii="Helvetica Neue" w:hAnsi="Helvetica Neue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CFE"/>
    <w:pPr>
      <w:spacing w:after="4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CFE"/>
    <w:pPr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0CFE"/>
    <w:rPr>
      <w:rFonts w:ascii="Helvetica Neue" w:hAnsi="Helvetica Neue"/>
      <w:b/>
      <w:bCs/>
      <w:sz w:val="22"/>
      <w:szCs w:val="22"/>
      <w:u w:val="single"/>
    </w:rPr>
  </w:style>
  <w:style w:type="paragraph" w:styleId="ListParagraph">
    <w:name w:val="List Paragraph"/>
    <w:basedOn w:val="Normal"/>
    <w:uiPriority w:val="34"/>
    <w:qFormat/>
    <w:rsid w:val="00993F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60CFE"/>
    <w:rPr>
      <w:rFonts w:ascii="Helvetica Neue" w:hAnsi="Helvetica Neue"/>
      <w:sz w:val="22"/>
      <w:szCs w:val="22"/>
      <w:u w:val="single"/>
    </w:rPr>
  </w:style>
  <w:style w:type="table" w:styleId="TableGrid">
    <w:name w:val="Table Grid"/>
    <w:basedOn w:val="TableNormal"/>
    <w:uiPriority w:val="39"/>
    <w:rsid w:val="00812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48DEE733AF04192B157ECF79C5E35" ma:contentTypeVersion="7" ma:contentTypeDescription="Create a new document." ma:contentTypeScope="" ma:versionID="e11fc6f678d70b08482bb7e14427a58b">
  <xsd:schema xmlns:xsd="http://www.w3.org/2001/XMLSchema" xmlns:xs="http://www.w3.org/2001/XMLSchema" xmlns:p="http://schemas.microsoft.com/office/2006/metadata/properties" xmlns:ns2="2b9f3051-f016-4ec6-af80-03c0c1ea8671" targetNamespace="http://schemas.microsoft.com/office/2006/metadata/properties" ma:root="true" ma:fieldsID="064545d608b64e8d6806af4ead58eb9c" ns2:_="">
    <xsd:import namespace="2b9f3051-f016-4ec6-af80-03c0c1ea8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f3051-f016-4ec6-af80-03c0c1ea86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B070F4-6142-42BA-AC65-349E775D32D8}"/>
</file>

<file path=customXml/itemProps2.xml><?xml version="1.0" encoding="utf-8"?>
<ds:datastoreItem xmlns:ds="http://schemas.openxmlformats.org/officeDocument/2006/customXml" ds:itemID="{096A37B6-4E2F-4E48-9862-8C20D902BBF9}"/>
</file>

<file path=customXml/itemProps3.xml><?xml version="1.0" encoding="utf-8"?>
<ds:datastoreItem xmlns:ds="http://schemas.openxmlformats.org/officeDocument/2006/customXml" ds:itemID="{73AC0F04-591B-4ED9-9292-FC065BB2BC66}"/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2</cp:revision>
  <dcterms:created xsi:type="dcterms:W3CDTF">2023-05-16T23:46:00Z</dcterms:created>
  <dcterms:modified xsi:type="dcterms:W3CDTF">2023-05-17T00:24:00Z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0x010100A9548DEE733AF04192B157ECF79C5E35</vt:lpwstr>
  </property>
</Properties>
</file>