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5D69" w:rsidRDefault="00000000" w:rsidP="00990E79">
      <w:pPr>
        <w:spacing w:after="80"/>
        <w:jc w:val="center"/>
        <w:rPr>
          <w:rFonts w:hint="eastAsia"/>
          <w:lang w:eastAsia="zh-CN"/>
        </w:rPr>
      </w:pPr>
      <w:r>
        <w:rPr>
          <w:b/>
          <w:color w:val="0B2545"/>
          <w:sz w:val="34"/>
          <w:lang w:eastAsia="zh-CN"/>
        </w:rPr>
        <w:t>OREP 在线路演评审平台技术参数 V1.0</w:t>
      </w:r>
    </w:p>
    <w:tbl>
      <w:tblPr>
        <w:tblStyle w:val="aff1"/>
        <w:tblW w:w="1608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1250"/>
        <w:gridCol w:w="2100"/>
        <w:gridCol w:w="10080"/>
        <w:gridCol w:w="1150"/>
      </w:tblGrid>
      <w:tr w:rsidR="00D25D69">
        <w:trPr>
          <w:tblHeader/>
          <w:jc w:val="center"/>
        </w:trPr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25D69" w:rsidRDefault="00000000">
            <w:pPr>
              <w:spacing w:after="40" w:line="247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名称</w:t>
            </w:r>
            <w:proofErr w:type="spellEnd"/>
          </w:p>
        </w:tc>
        <w:tc>
          <w:tcPr>
            <w:tcW w:w="125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25D69" w:rsidRDefault="00000000">
            <w:pPr>
              <w:spacing w:after="40" w:line="247" w:lineRule="auto"/>
              <w:jc w:val="center"/>
            </w:pPr>
            <w:r>
              <w:rPr>
                <w:b/>
                <w:color w:val="0B2545"/>
                <w:sz w:val="18"/>
              </w:rPr>
              <w:t>型号</w:t>
            </w:r>
          </w:p>
        </w:tc>
        <w:tc>
          <w:tcPr>
            <w:tcW w:w="21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25D69" w:rsidRDefault="00000000">
            <w:pPr>
              <w:spacing w:after="40" w:line="247" w:lineRule="auto"/>
              <w:jc w:val="center"/>
            </w:pPr>
            <w:r>
              <w:rPr>
                <w:b/>
                <w:color w:val="0B2545"/>
                <w:sz w:val="18"/>
              </w:rPr>
              <w:t>模块名称</w:t>
            </w:r>
          </w:p>
        </w:tc>
        <w:tc>
          <w:tcPr>
            <w:tcW w:w="1008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25D69" w:rsidRDefault="00000000">
            <w:pPr>
              <w:spacing w:after="40" w:line="247" w:lineRule="auto"/>
              <w:jc w:val="center"/>
            </w:pPr>
            <w:r>
              <w:rPr>
                <w:b/>
                <w:color w:val="0B2545"/>
                <w:sz w:val="18"/>
              </w:rPr>
              <w:t>技术参数</w:t>
            </w:r>
          </w:p>
        </w:tc>
        <w:tc>
          <w:tcPr>
            <w:tcW w:w="115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25D69" w:rsidRDefault="00000000">
            <w:pPr>
              <w:spacing w:after="40" w:line="247" w:lineRule="auto"/>
              <w:jc w:val="center"/>
            </w:pPr>
            <w:r>
              <w:rPr>
                <w:b/>
                <w:color w:val="0B2545"/>
                <w:sz w:val="18"/>
              </w:rPr>
              <w:t>价格</w:t>
            </w:r>
          </w:p>
        </w:tc>
      </w:tr>
      <w:tr w:rsidR="00990E79">
        <w:trPr>
          <w:jc w:val="center"/>
        </w:trPr>
        <w:tc>
          <w:tcPr>
            <w:tcW w:w="1500" w:type="dxa"/>
            <w:vMerge w:val="restart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OREP 在线路演评审平台</w:t>
            </w:r>
          </w:p>
        </w:tc>
        <w:tc>
          <w:tcPr>
            <w:tcW w:w="1250" w:type="dxa"/>
            <w:vMerge w:val="restart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</w:pPr>
            <w:r>
              <w:t>OREP-ORP-001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t>模块一：平台基础与多租户管理</w:t>
            </w:r>
          </w:p>
        </w:tc>
        <w:tc>
          <w:tcPr>
            <w:tcW w:w="10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【项目信息】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OREP面向职业院校项目路演、技能竞赛备赛、创新创业展示、毕业答辩和就业展示等场景，提供学校级多租户在线路演评审平台，支持从路演准备、在线展示、评委评分、问题追踪、AI复盘到再次改进的闭环管理。</w:t>
            </w:r>
          </w:p>
          <w:p w:rsidR="00990E79" w:rsidRDefault="00990E79">
            <w:pPr>
              <w:spacing w:before="20" w:after="20" w:line="247" w:lineRule="auto"/>
            </w:pPr>
            <w:r>
              <w:rPr>
                <w:b/>
                <w:color w:val="1F4D78"/>
                <w:sz w:val="15"/>
              </w:rPr>
              <w:t>【</w:t>
            </w:r>
            <w:proofErr w:type="spellStart"/>
            <w:r>
              <w:rPr>
                <w:b/>
                <w:color w:val="1F4D78"/>
                <w:sz w:val="15"/>
              </w:rPr>
              <w:t>技术架构</w:t>
            </w:r>
            <w:proofErr w:type="spellEnd"/>
            <w:r>
              <w:rPr>
                <w:b/>
                <w:color w:val="1F4D78"/>
                <w:sz w:val="15"/>
              </w:rPr>
              <w:t>】</w:t>
            </w:r>
          </w:p>
          <w:p w:rsidR="00990E79" w:rsidRDefault="00990E79">
            <w:pPr>
              <w:spacing w:after="40" w:line="247" w:lineRule="auto"/>
            </w:pPr>
            <w:r>
              <w:rPr>
                <w:sz w:val="15"/>
              </w:rPr>
              <w:t>1.后端采用Spring Boot 3.x、Java 21、MyBatis-Plus、JWT认证与统一REST API返回格式；前端采用Vue 3、Vite、Element Plus、Pinia、Vue Router和Axios。</w:t>
            </w:r>
          </w:p>
          <w:p w:rsidR="00990E79" w:rsidRDefault="00990E79">
            <w:pPr>
              <w:spacing w:after="40" w:line="247" w:lineRule="auto"/>
            </w:pPr>
            <w:r>
              <w:rPr>
                <w:sz w:val="15"/>
              </w:rPr>
              <w:t>2.平台支持学校租户、用户、角色、权限与基础数据隔离，内置ADMIN、SCHOOL_ADMIN、TEACHER、STUDENT、REVIEWER、EXPERT等角色。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3.支持邮箱验证码注册、账号登录、Token鉴权、角色权限校验、用户信息管理、资源管理和系统基础配置。</w:t>
            </w:r>
          </w:p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【验收要点】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1.不同学校租户数据互相隔离；2.不同角色登录后进入相应业务入口；3.用户、资源、模板、会议等基础信息可进行新增、查询、编辑和删除。</w:t>
            </w:r>
          </w:p>
        </w:tc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</w:pPr>
            <w:proofErr w:type="spellStart"/>
            <w:r>
              <w:t>按项目配置报价</w:t>
            </w:r>
            <w:proofErr w:type="spellEnd"/>
          </w:p>
        </w:tc>
      </w:tr>
      <w:tr w:rsidR="00990E79">
        <w:trPr>
          <w:jc w:val="center"/>
        </w:trPr>
        <w:tc>
          <w:tcPr>
            <w:tcW w:w="1500" w:type="dxa"/>
            <w:vMerge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</w:pPr>
          </w:p>
        </w:tc>
        <w:tc>
          <w:tcPr>
            <w:tcW w:w="1250" w:type="dxa"/>
            <w:vMerge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</w:pP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t>模块二：在线路演会议与实时互动</w:t>
            </w:r>
          </w:p>
        </w:tc>
        <w:tc>
          <w:tcPr>
            <w:tcW w:w="10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【项目信息】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平台提供在线路演会议能力，支持教师或管理员创建会议，学生、评委、专家通过会议号和密码加入，实现远程项目展示、评审互动和会议过程记录。</w:t>
            </w:r>
          </w:p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【技术参数】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1.会议支持CREATED、RUNNING、ENDED状态管理，支持会议标题、会议编号、会议密码、创建人、开始时间、结束时间、倒计时结束时间和路演时长记录。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2.实时互动支持WebRTC兼容的视频会议能力，具备屏幕共享、音视频接入、房间加入/离开、会议参与者记录、聊天消息和会议历史查询。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3.支持会议录制任务管理，记录录制状态、文件路径、音视频轨道、文件大小、时长、失败原因等信息，为后续AI评分分析提供素材。</w:t>
            </w:r>
          </w:p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【验收要点】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1.可创建并加入会议；2.会议内可完成路演展示、倒计时和互动；3.会议结束后可查询会议历史、聊天记录和录制状态。</w:t>
            </w:r>
          </w:p>
        </w:tc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</w:tr>
      <w:tr w:rsidR="00990E79">
        <w:trPr>
          <w:jc w:val="center"/>
        </w:trPr>
        <w:tc>
          <w:tcPr>
            <w:tcW w:w="1500" w:type="dxa"/>
            <w:vMerge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  <w:tc>
          <w:tcPr>
            <w:tcW w:w="1250" w:type="dxa"/>
            <w:vMerge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t>模块三：评分模板与专家评审管理</w:t>
            </w:r>
          </w:p>
        </w:tc>
        <w:tc>
          <w:tcPr>
            <w:tcW w:w="10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【项目信息】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平台内置世界职业院校技能大赛总决赛评分模板，围绕技能水平、职业素养、应用价值、团队合作、创新创意五个维度进行量化评分，适用于比赛训练、课程展示和项目答辩评价。</w:t>
            </w:r>
          </w:p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【技术参数】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1.评分模板总分100分，包含15个评分观测点：操作规范性、技能熟练度、任务难易度、技术先进性、现场讲解效果、职业道德与行为规范、工匠精神、安全意识、实用性、经济性、可持续性、团队精神、沟通协作、创新意识、创新成效。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2.支持评分项配置、评分记录提交、评分详情保存、每会议每评分人防重复提交、评语记录、总分计算、结果查看和统计汇总。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3.支持评分结果与问题追踪联动，可依据低分项和评语形成待整改问题，供后续训练复盘。</w:t>
            </w:r>
          </w:p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lastRenderedPageBreak/>
              <w:t>【验收要点】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1.评分模板和评分项完整展示；2.评委可按项打分并提交评语；3.系统能生成总分、明细和问题记录。</w:t>
            </w:r>
          </w:p>
        </w:tc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</w:tr>
      <w:tr w:rsidR="00990E79">
        <w:trPr>
          <w:jc w:val="center"/>
        </w:trPr>
        <w:tc>
          <w:tcPr>
            <w:tcW w:w="1500" w:type="dxa"/>
            <w:vMerge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  <w:tc>
          <w:tcPr>
            <w:tcW w:w="1250" w:type="dxa"/>
            <w:vMerge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t>模块四：AI多模态评分分析</w:t>
            </w:r>
          </w:p>
        </w:tc>
        <w:tc>
          <w:tcPr>
            <w:tcW w:w="10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【项目信息】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平台集成AI评分分析服务，对路演录音、视频、屏幕内容和转写文本进行综合分析，形成客观、可解释的路演能力评估报告。AI定位为复盘教练与辅助评审，不替代最终专家裁决。</w:t>
            </w:r>
          </w:p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【技术参数】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1.AI微服务采用Python </w:t>
            </w:r>
            <w:proofErr w:type="spellStart"/>
            <w:r>
              <w:rPr>
                <w:sz w:val="15"/>
                <w:lang w:eastAsia="zh-CN"/>
              </w:rPr>
              <w:t>FastAPI</w:t>
            </w:r>
            <w:proofErr w:type="spellEnd"/>
            <w:r>
              <w:rPr>
                <w:sz w:val="15"/>
                <w:lang w:eastAsia="zh-CN"/>
              </w:rPr>
              <w:t>架构，支持音频上传、视频抽帧、音频提取、ASR转写、语音质量分析、视频帧分析、多模态融合、能力画像和报告生成。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2.大模型评分支持通用大模型服务接入，按五维15观测点梯度规则输出结构化JSON结果，要求引用语音转录、PPT画面、屏幕演示或关键帧证据。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3.支持语速、停顿、填充词、转写覆盖率、关键帧识别、视觉证据、综合得分、维度得分、亮点、关键问题、改进优先级和PDF/JSON报告下载。</w:t>
            </w:r>
          </w:p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【验收要点】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1.上传或关联会议录制后可触发AI分析；2.前端可查询分析进度和报告状态；3.报告包含总分、维度、证据、问题和改进建议。</w:t>
            </w:r>
          </w:p>
        </w:tc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</w:tr>
      <w:tr w:rsidR="00990E79">
        <w:trPr>
          <w:jc w:val="center"/>
        </w:trPr>
        <w:tc>
          <w:tcPr>
            <w:tcW w:w="1500" w:type="dxa"/>
            <w:vMerge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  <w:tc>
          <w:tcPr>
            <w:tcW w:w="1250" w:type="dxa"/>
            <w:vMerge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t>模块五：问题闭环与路演复盘中心</w:t>
            </w:r>
          </w:p>
        </w:tc>
        <w:tc>
          <w:tcPr>
            <w:tcW w:w="10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【项目信息】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平台将每次路演的评分、AI分析、专家评语和问题记录沉淀为复盘数据，帮助学生明确改进方向，帮助教师追踪训练过程，帮助学校形成项目化学习评价资产。</w:t>
            </w:r>
          </w:p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【技术参数】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1.支持问题分类、问题描述、来源会议、来源评分项、来源评分人、待解决/已解决状态、解决时间和解决会议记录。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2.复盘中心支持分数趋势、五维评分聚合、问题排行、最近路演对比、闭环分析和AI复盘问答入口，支撑“路演-评分-问题-整改-再路演”的过程管理。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3.支持AI对话服务，围绕评分报告、转写稿、关键问题和能力画像进行追问、解释和改进建议生成。</w:t>
            </w:r>
          </w:p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【验收要点】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1.评分或AI分析后能形成可跟踪的问题；2.问题状态可更新；3.学生和教师可查看趋势、排行、对比和复盘建议。</w:t>
            </w:r>
          </w:p>
        </w:tc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</w:tr>
      <w:tr w:rsidR="00990E79">
        <w:trPr>
          <w:jc w:val="center"/>
        </w:trPr>
        <w:tc>
          <w:tcPr>
            <w:tcW w:w="1500" w:type="dxa"/>
            <w:vMerge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  <w:tc>
          <w:tcPr>
            <w:tcW w:w="1250" w:type="dxa"/>
            <w:vMerge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t>模块六：讲稿编辑与模板管理</w:t>
            </w:r>
          </w:p>
        </w:tc>
        <w:tc>
          <w:tcPr>
            <w:tcW w:w="10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【项目信息】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平台提供路演讲稿管理能力，支持学生围绕项目背景、技术方案、现场演示、应用价值、团队协作和未来规划编写讲稿，并与PPT生成和路演复盘形成联动。</w:t>
            </w:r>
          </w:p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【技术参数】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1.支持我的讲稿、讲稿详情、讲稿编辑、模板管理、从模板新建、另存为模板、讲稿与PPT页面同步等功能。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2.讲稿内容可结合评分体系进行结构化组织，覆盖五维评分要素，支持后续用于PPT大纲生成、路演练习和AI复盘。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3.支持脚本页管理，可保存每页标题、讲稿内容、页面顺序、关联PPT项目或页面信息，便于学生按页准备展示话术。</w:t>
            </w:r>
          </w:p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【验收要点】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1.用户可创建、编辑和保存讲稿；2.管理员或教师可维护讲稿模板；3.讲稿页面可与PPT页面建立同步关系。</w:t>
            </w:r>
          </w:p>
        </w:tc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</w:tr>
      <w:tr w:rsidR="00990E79">
        <w:trPr>
          <w:jc w:val="center"/>
        </w:trPr>
        <w:tc>
          <w:tcPr>
            <w:tcW w:w="1500" w:type="dxa"/>
            <w:vMerge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  <w:tc>
          <w:tcPr>
            <w:tcW w:w="1250" w:type="dxa"/>
            <w:vMerge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t>模块七：AI PPT生成、预览与质检</w:t>
            </w:r>
          </w:p>
        </w:tc>
        <w:tc>
          <w:tcPr>
            <w:tcW w:w="10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【项目信息】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平台提供AI PPT生成工作台，面向职业院校项目路演材料制作，支持从需求问卷、材料上传、大纲生成、页面预览、内容修订到下载导出的完整流程。</w:t>
            </w:r>
          </w:p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【技术参数】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1.支持PPT生成器、PPT历史详情、PPT编辑器、模板库、材料高级配置、风格预览、大纲编辑、页面预览、HTML工作台和React/</w:t>
            </w:r>
            <w:proofErr w:type="spellStart"/>
            <w:r>
              <w:rPr>
                <w:sz w:val="15"/>
                <w:lang w:eastAsia="zh-CN"/>
              </w:rPr>
              <w:t>Konva</w:t>
            </w:r>
            <w:proofErr w:type="spellEnd"/>
            <w:r>
              <w:rPr>
                <w:sz w:val="15"/>
                <w:lang w:eastAsia="zh-CN"/>
              </w:rPr>
              <w:t>页面编辑工作区。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2.支持路演讲稿、评分覆盖度、下载就绪度、质量报告、页面修复工作区和预览状态提示，帮助学生检查内容是否覆盖评分要点、页面是否满足展示要求。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3.资源中心支持PPT、PDF、DOC、DOCX等资料上传、列表、下载和删除，可沉淀PPT模板、评分标准、优秀案例和教学资料。</w:t>
            </w:r>
          </w:p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【验收要点】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1.可根据项目材料生成PPT大纲与页面；2.可预览、质检和导出成果；3.可维护模板和资料资源。</w:t>
            </w:r>
          </w:p>
        </w:tc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</w:tr>
      <w:tr w:rsidR="00990E79">
        <w:trPr>
          <w:jc w:val="center"/>
        </w:trPr>
        <w:tc>
          <w:tcPr>
            <w:tcW w:w="1500" w:type="dxa"/>
            <w:vMerge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  <w:tc>
          <w:tcPr>
            <w:tcW w:w="1250" w:type="dxa"/>
            <w:vMerge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t>模块八：数据统计、监控与报告输出</w:t>
            </w:r>
          </w:p>
        </w:tc>
        <w:tc>
          <w:tcPr>
            <w:tcW w:w="10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【项目信息】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平台提供统计分析、过程监控和报告输出能力，为学生成长、教师指导、院校管理和项目复盘提供数据依据。</w:t>
            </w:r>
          </w:p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【技术参数】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1.支持Dashboard统计概览、会议统计、评分统计、问题统计、趋势分析、个人中心、我的录制、AI评分结果和普通评分结果查看。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2.支持PDF报告生成、AI评分PDF下载、AI评分JSON报告下载、会议历史详情、录制文件信息和系统运行监控记录。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3.可结合学校、班级、项目、会议、评分模板和用户角色扩展校级驾驶舱、专业画像、课程训练报告和学生能力成长档案。</w:t>
            </w:r>
          </w:p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【验收要点】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1.统计页可展示核心指标；2.可下载或查看评分报告；3.可追溯会议、评分、问题和录制数据。</w:t>
            </w:r>
          </w:p>
        </w:tc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</w:tr>
      <w:tr w:rsidR="00990E79">
        <w:trPr>
          <w:jc w:val="center"/>
        </w:trPr>
        <w:tc>
          <w:tcPr>
            <w:tcW w:w="1500" w:type="dxa"/>
            <w:vMerge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  <w:tc>
          <w:tcPr>
            <w:tcW w:w="1250" w:type="dxa"/>
            <w:vMerge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t>计算节点与部署运行环境</w:t>
            </w:r>
          </w:p>
        </w:tc>
        <w:tc>
          <w:tcPr>
            <w:tcW w:w="10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before="20" w:after="20" w:line="247" w:lineRule="auto"/>
            </w:pPr>
            <w:r>
              <w:rPr>
                <w:b/>
                <w:color w:val="1F4D78"/>
                <w:sz w:val="15"/>
              </w:rPr>
              <w:t>【</w:t>
            </w:r>
            <w:proofErr w:type="spellStart"/>
            <w:r>
              <w:rPr>
                <w:b/>
                <w:color w:val="1F4D78"/>
                <w:sz w:val="15"/>
              </w:rPr>
              <w:t>部署架构</w:t>
            </w:r>
            <w:proofErr w:type="spellEnd"/>
            <w:r>
              <w:rPr>
                <w:b/>
                <w:color w:val="1F4D78"/>
                <w:sz w:val="15"/>
              </w:rPr>
              <w:t>】</w:t>
            </w:r>
          </w:p>
          <w:p w:rsidR="00990E79" w:rsidRDefault="00990E79">
            <w:pPr>
              <w:spacing w:after="40" w:line="247" w:lineRule="auto"/>
            </w:pPr>
            <w:r>
              <w:rPr>
                <w:sz w:val="15"/>
              </w:rPr>
              <w:t>平台支持Docker Compose与Nginx统一入口部署，包含MySQL、Redis、Spring Boot后端、用户端前端、管理端前端、信令服务、对象存储或本地存储等组件。</w:t>
            </w:r>
          </w:p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【运行参数】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1.基础部署建议不低于2核CPU、4GB内存、100GB SSD，适合中小规模教学训练与演示；推荐不低于4核CPU、8GB内存、200GB SSD，并按会议录制、PPT素材和AI分析任务量扩展存储。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2.数据库采用MySQL 8.0，缓存采用Redis，文件存储支持本地目录并可扩展</w:t>
            </w:r>
            <w:proofErr w:type="spellStart"/>
            <w:r>
              <w:rPr>
                <w:sz w:val="15"/>
                <w:lang w:eastAsia="zh-CN"/>
              </w:rPr>
              <w:t>MinIO</w:t>
            </w:r>
            <w:proofErr w:type="spellEnd"/>
            <w:r>
              <w:rPr>
                <w:sz w:val="15"/>
                <w:lang w:eastAsia="zh-CN"/>
              </w:rPr>
              <w:t>；前端通过Nginx静态资源服务和/</w:t>
            </w:r>
            <w:proofErr w:type="spellStart"/>
            <w:r>
              <w:rPr>
                <w:sz w:val="15"/>
                <w:lang w:eastAsia="zh-CN"/>
              </w:rPr>
              <w:t>api</w:t>
            </w:r>
            <w:proofErr w:type="spellEnd"/>
            <w:r>
              <w:rPr>
                <w:sz w:val="15"/>
                <w:lang w:eastAsia="zh-CN"/>
              </w:rPr>
              <w:t>、/</w:t>
            </w:r>
            <w:proofErr w:type="spellStart"/>
            <w:r>
              <w:rPr>
                <w:sz w:val="15"/>
                <w:lang w:eastAsia="zh-CN"/>
              </w:rPr>
              <w:t>ws</w:t>
            </w:r>
            <w:proofErr w:type="spellEnd"/>
            <w:r>
              <w:rPr>
                <w:sz w:val="15"/>
                <w:lang w:eastAsia="zh-CN"/>
              </w:rPr>
              <w:t>等反向代理统一访问。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3.AI分析可独立部署，模型能力可接入通用大模型、语音识别和视觉分析服务；如采用本地模型推理，应按模型规格另行配置GPU或专用算力节点。</w:t>
            </w:r>
          </w:p>
          <w:p w:rsidR="00990E79" w:rsidRDefault="00990E79">
            <w:pPr>
              <w:spacing w:before="20" w:after="20" w:line="247" w:lineRule="auto"/>
              <w:rPr>
                <w:lang w:eastAsia="zh-CN"/>
              </w:rPr>
            </w:pPr>
            <w:r>
              <w:rPr>
                <w:b/>
                <w:color w:val="1F4D78"/>
                <w:sz w:val="15"/>
                <w:lang w:eastAsia="zh-CN"/>
              </w:rPr>
              <w:t>【交付资料】</w:t>
            </w:r>
          </w:p>
          <w:p w:rsidR="00990E79" w:rsidRDefault="00990E79">
            <w:pPr>
              <w:spacing w:after="40" w:line="247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可提供平台使用说明、部署说明、接口说明、评分标准说明、AI评分说明、验收测试记录和运维配置清单。</w:t>
            </w:r>
          </w:p>
        </w:tc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90E79" w:rsidRDefault="00990E79">
            <w:pPr>
              <w:spacing w:after="40" w:line="247" w:lineRule="auto"/>
              <w:jc w:val="center"/>
              <w:rPr>
                <w:lang w:eastAsia="zh-CN"/>
              </w:rPr>
            </w:pPr>
          </w:p>
        </w:tc>
      </w:tr>
      <w:tr>
        <w:tc>
          <w:tcPr>
            <w:tcW w:type="dxa" w:w="15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40" w:line="247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2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40" w:line="247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1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40" w:line="247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大模型 API 服务费用</w:t>
            </w:r>
          </w:p>
        </w:tc>
        <w:tc>
          <w:tcPr>
            <w:tcW w:type="dxa" w:w="10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40" w:line="247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【服务费用】</w:t>
            </w:r>
          </w:p>
          <w:p>
            <w:pPr>
              <w:spacing w:before="0" w:after="40" w:line="247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平台首年包含基础大模型 API 服务包，服务期 12 个月，包含 AI 路演评分分析、讲稿/PPT 辅助生成、AI 复盘问答等常用额度。</w:t>
            </w:r>
          </w:p>
          <w:p>
            <w:pPr>
              <w:spacing w:before="0" w:after="40" w:line="247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服务期满或额度用尽后，可选择按年续费、按量扩容或接入学校自有大模型 API 账号，具体额度和续费价格以合同或服务清单为准。</w:t>
            </w:r>
          </w:p>
        </w:tc>
        <w:tc>
          <w:tcPr>
            <w:tcW w:type="dxa" w:w="11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40" w:line="247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</w:tbl>
    <w:p w:rsidR="00D25D69" w:rsidRDefault="00000000">
      <w:pPr>
        <w:spacing w:before="120" w:after="40" w:line="247" w:lineRule="auto"/>
        <w:rPr>
          <w:lang w:eastAsia="zh-CN"/>
        </w:rPr>
      </w:pPr>
      <w:r>
        <w:rPr>
          <w:color w:val="555555"/>
          <w:lang w:eastAsia="zh-CN"/>
        </w:rPr>
        <w:t>说明：本技术参数根据当前 OREP 项目代码、数据库结构、前端页面与已有产品资料整理；最终采购价格、并发规模、模型服务、存储容量和部署拓扑可按学校实际使用规模调整。</w:t>
      </w:r>
    </w:p>
    <w:sectPr w:rsidR="00D25D69" w:rsidSect="00034616">
      <w:headerReference w:type="default" r:id="rId8"/>
      <w:footerReference w:type="default" r:id="rId9"/>
      <w:pgSz w:w="15840" w:h="12240" w:orient="landscape"/>
      <w:pgMar w:top="922" w:right="835" w:bottom="835" w:left="835" w:header="461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1F92" w:rsidRDefault="00541F92">
      <w:pPr>
        <w:spacing w:after="0" w:line="240" w:lineRule="auto"/>
      </w:pPr>
      <w:r>
        <w:separator/>
      </w:r>
    </w:p>
  </w:endnote>
  <w:endnote w:type="continuationSeparator" w:id="0">
    <w:p w:rsidR="00541F92" w:rsidRDefault="00541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5D69" w:rsidRDefault="00000000">
    <w:pPr>
      <w:pStyle w:val="a7"/>
      <w:spacing w:after="40" w:line="247" w:lineRule="auto"/>
      <w:jc w:val="center"/>
    </w:pPr>
    <w:proofErr w:type="spellStart"/>
    <w:r>
      <w:rPr>
        <w:color w:val="555555"/>
        <w:sz w:val="15"/>
      </w:rPr>
      <w:t>技术参数表</w:t>
    </w:r>
    <w:proofErr w:type="spellEnd"/>
    <w:r>
      <w:rPr>
        <w:color w:val="555555"/>
        <w:sz w:val="15"/>
      </w:rPr>
      <w:t xml:space="preserve">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1F92" w:rsidRDefault="00541F92">
      <w:pPr>
        <w:spacing w:after="0" w:line="240" w:lineRule="auto"/>
      </w:pPr>
      <w:r>
        <w:separator/>
      </w:r>
    </w:p>
  </w:footnote>
  <w:footnote w:type="continuationSeparator" w:id="0">
    <w:p w:rsidR="00541F92" w:rsidRDefault="00541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5D69" w:rsidRDefault="00000000">
    <w:pPr>
      <w:pStyle w:val="a5"/>
      <w:spacing w:after="40" w:line="247" w:lineRule="auto"/>
      <w:jc w:val="right"/>
      <w:rPr>
        <w:lang w:eastAsia="zh-CN"/>
      </w:rPr>
    </w:pPr>
    <w:r>
      <w:rPr>
        <w:color w:val="555555"/>
        <w:sz w:val="15"/>
        <w:lang w:eastAsia="zh-CN"/>
      </w:rPr>
      <w:t>OREP 在线路演评审平台技术参数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50410">
    <w:abstractNumId w:val="8"/>
  </w:num>
  <w:num w:numId="2" w16cid:durableId="1684164067">
    <w:abstractNumId w:val="6"/>
  </w:num>
  <w:num w:numId="3" w16cid:durableId="1479415859">
    <w:abstractNumId w:val="5"/>
  </w:num>
  <w:num w:numId="4" w16cid:durableId="1620186728">
    <w:abstractNumId w:val="4"/>
  </w:num>
  <w:num w:numId="5" w16cid:durableId="27420048">
    <w:abstractNumId w:val="7"/>
  </w:num>
  <w:num w:numId="6" w16cid:durableId="1442262903">
    <w:abstractNumId w:val="3"/>
  </w:num>
  <w:num w:numId="7" w16cid:durableId="204949702">
    <w:abstractNumId w:val="2"/>
  </w:num>
  <w:num w:numId="8" w16cid:durableId="1848709938">
    <w:abstractNumId w:val="1"/>
  </w:num>
  <w:num w:numId="9" w16cid:durableId="1268582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7F1"/>
    <w:rsid w:val="0006063C"/>
    <w:rsid w:val="0015074B"/>
    <w:rsid w:val="0029639D"/>
    <w:rsid w:val="00326F90"/>
    <w:rsid w:val="00541F92"/>
    <w:rsid w:val="00990E79"/>
    <w:rsid w:val="00AA1D8D"/>
    <w:rsid w:val="00B47730"/>
    <w:rsid w:val="00C44DEA"/>
    <w:rsid w:val="00CB0664"/>
    <w:rsid w:val="00D25D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CD145C"/>
  <w14:defaultImageDpi w14:val="300"/>
  <w15:docId w15:val="{35EAB8E0-FAE6-4441-9B41-5BC613A84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刘一星</cp:lastModifiedBy>
  <cp:revision>3</cp:revision>
  <dcterms:created xsi:type="dcterms:W3CDTF">2013-12-23T23:15:00Z</dcterms:created>
  <dcterms:modified xsi:type="dcterms:W3CDTF">2026-06-09T07:08:00Z</dcterms:modified>
  <cp:category/>
</cp:coreProperties>
</file>