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C18E8" w14:textId="509770C9" w:rsidR="005E726B" w:rsidRDefault="00204F66" w:rsidP="00204F66">
      <w:pPr>
        <w:jc w:val="center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Software Engineering</w:t>
      </w:r>
    </w:p>
    <w:p w14:paraId="7DEEE013" w14:textId="59B884A2" w:rsidR="00204F66" w:rsidRDefault="00204F66" w:rsidP="00204F66">
      <w:pPr>
        <w:jc w:val="center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Lab 5</w:t>
      </w:r>
    </w:p>
    <w:p w14:paraId="22C01014" w14:textId="22B65275" w:rsidR="00204F66" w:rsidRDefault="00204F66" w:rsidP="00204F66">
      <w:pPr>
        <w:jc w:val="right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Vedant Sharma</w:t>
      </w:r>
    </w:p>
    <w:p w14:paraId="7F5D74C9" w14:textId="31251A15" w:rsidR="00204F66" w:rsidRDefault="00204F66" w:rsidP="00204F66">
      <w:pPr>
        <w:jc w:val="right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PES2UG24CS577</w:t>
      </w:r>
    </w:p>
    <w:p w14:paraId="2E66EDED" w14:textId="2CFEE523" w:rsidR="00204F66" w:rsidRDefault="00204F66" w:rsidP="00204F66">
      <w:pPr>
        <w:jc w:val="right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Section 5-J</w:t>
      </w:r>
    </w:p>
    <w:p w14:paraId="7E7A7E20" w14:textId="3B3EC26D" w:rsidR="00204F66" w:rsidRDefault="00204F66" w:rsidP="00204F66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t>27-10-2026</w:t>
      </w:r>
    </w:p>
    <w:p w14:paraId="1011D1A2" w14:textId="71791AA6" w:rsidR="00B41987" w:rsidRPr="00B41987" w:rsidRDefault="00B41987" w:rsidP="00204F66">
      <w:pPr>
        <w:rPr>
          <w:rFonts w:ascii="Garamond" w:hAnsi="Garamond"/>
          <w:sz w:val="28"/>
          <w:szCs w:val="28"/>
        </w:rPr>
      </w:pPr>
      <w:hyperlink r:id="rId4" w:history="1">
        <w:r w:rsidRPr="00B41987">
          <w:rPr>
            <w:rStyle w:val="Hyperlink"/>
            <w:rFonts w:ascii="Garamond" w:hAnsi="Garamond"/>
            <w:sz w:val="28"/>
            <w:szCs w:val="28"/>
          </w:rPr>
          <w:t>https://github.com/QVedant/L5-society-dues</w:t>
        </w:r>
      </w:hyperlink>
    </w:p>
    <w:p w14:paraId="5E915D9F" w14:textId="05840B32" w:rsidR="00CD41FB" w:rsidRPr="00A86BBF" w:rsidRDefault="00CD41FB" w:rsidP="00204F66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t>Issue Table</w:t>
      </w:r>
    </w:p>
    <w:tbl>
      <w:tblPr>
        <w:tblStyle w:val="TableGrid"/>
        <w:tblW w:w="11199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549"/>
        <w:gridCol w:w="1488"/>
        <w:gridCol w:w="1377"/>
        <w:gridCol w:w="839"/>
        <w:gridCol w:w="3402"/>
        <w:gridCol w:w="3544"/>
      </w:tblGrid>
      <w:tr w:rsidR="00CD41FB" w14:paraId="60A33B8A" w14:textId="77777777" w:rsidTr="00CD41FB">
        <w:trPr>
          <w:trHeight w:val="197"/>
          <w:tblHeader/>
        </w:trPr>
        <w:tc>
          <w:tcPr>
            <w:tcW w:w="549" w:type="dxa"/>
            <w:shd w:val="clear" w:color="auto" w:fill="1F4E78"/>
            <w:vAlign w:val="center"/>
          </w:tcPr>
          <w:p w14:paraId="56D3E64F" w14:textId="77777777" w:rsidR="00CD41FB" w:rsidRDefault="00CD41FB" w:rsidP="009534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No.</w:t>
            </w:r>
          </w:p>
        </w:tc>
        <w:tc>
          <w:tcPr>
            <w:tcW w:w="1488" w:type="dxa"/>
            <w:shd w:val="clear" w:color="auto" w:fill="1F4E78"/>
            <w:vAlign w:val="center"/>
          </w:tcPr>
          <w:p w14:paraId="1A373D1E" w14:textId="77777777" w:rsidR="00CD41FB" w:rsidRDefault="00CD41FB" w:rsidP="009534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Issue</w:t>
            </w:r>
          </w:p>
        </w:tc>
        <w:tc>
          <w:tcPr>
            <w:tcW w:w="1377" w:type="dxa"/>
            <w:shd w:val="clear" w:color="auto" w:fill="1F4E78"/>
            <w:vAlign w:val="center"/>
          </w:tcPr>
          <w:p w14:paraId="54306843" w14:textId="77777777" w:rsidR="00CD41FB" w:rsidRDefault="00CD41FB" w:rsidP="009534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Type</w:t>
            </w:r>
          </w:p>
        </w:tc>
        <w:tc>
          <w:tcPr>
            <w:tcW w:w="839" w:type="dxa"/>
            <w:shd w:val="clear" w:color="auto" w:fill="1F4E78"/>
            <w:vAlign w:val="center"/>
          </w:tcPr>
          <w:p w14:paraId="601CAD4D" w14:textId="77777777" w:rsidR="00CD41FB" w:rsidRDefault="00CD41FB" w:rsidP="009534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Line(s)*</w:t>
            </w:r>
          </w:p>
        </w:tc>
        <w:tc>
          <w:tcPr>
            <w:tcW w:w="3402" w:type="dxa"/>
            <w:shd w:val="clear" w:color="auto" w:fill="1F4E78"/>
            <w:vAlign w:val="center"/>
          </w:tcPr>
          <w:p w14:paraId="47315071" w14:textId="77777777" w:rsidR="00CD41FB" w:rsidRDefault="00CD41FB" w:rsidP="009534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Description</w:t>
            </w:r>
          </w:p>
        </w:tc>
        <w:tc>
          <w:tcPr>
            <w:tcW w:w="3544" w:type="dxa"/>
            <w:shd w:val="clear" w:color="auto" w:fill="1F4E78"/>
            <w:vAlign w:val="center"/>
          </w:tcPr>
          <w:p w14:paraId="49E7E75A" w14:textId="77777777" w:rsidR="00CD41FB" w:rsidRDefault="00CD41FB" w:rsidP="009534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Fix Approach</w:t>
            </w:r>
          </w:p>
        </w:tc>
      </w:tr>
      <w:tr w:rsidR="00CD41FB" w14:paraId="6FCB8208" w14:textId="77777777" w:rsidTr="00CD41FB">
        <w:trPr>
          <w:trHeight w:val="380"/>
        </w:trPr>
        <w:tc>
          <w:tcPr>
            <w:tcW w:w="549" w:type="dxa"/>
            <w:shd w:val="clear" w:color="auto" w:fill="EAF2F8"/>
            <w:vAlign w:val="center"/>
          </w:tcPr>
          <w:p w14:paraId="713000C9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1</w:t>
            </w:r>
          </w:p>
        </w:tc>
        <w:tc>
          <w:tcPr>
            <w:tcW w:w="1488" w:type="dxa"/>
            <w:shd w:val="clear" w:color="auto" w:fill="EAF2F8"/>
            <w:vAlign w:val="center"/>
          </w:tcPr>
          <w:p w14:paraId="599B0F30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SQL Injection Vulnerability</w:t>
            </w:r>
          </w:p>
        </w:tc>
        <w:tc>
          <w:tcPr>
            <w:tcW w:w="1377" w:type="dxa"/>
            <w:shd w:val="clear" w:color="auto" w:fill="EAF2F8"/>
            <w:vAlign w:val="center"/>
          </w:tcPr>
          <w:p w14:paraId="2CA27B22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Security – Medium</w:t>
            </w:r>
          </w:p>
        </w:tc>
        <w:tc>
          <w:tcPr>
            <w:tcW w:w="839" w:type="dxa"/>
            <w:shd w:val="clear" w:color="auto" w:fill="EAF2F8"/>
            <w:vAlign w:val="center"/>
          </w:tcPr>
          <w:p w14:paraId="705A80E5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9</w:t>
            </w:r>
          </w:p>
        </w:tc>
        <w:tc>
          <w:tcPr>
            <w:tcW w:w="3402" w:type="dxa"/>
            <w:shd w:val="clear" w:color="auto" w:fill="EAF2F8"/>
            <w:vAlign w:val="center"/>
          </w:tcPr>
          <w:p w14:paraId="5B0FBE36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SQL query was constructed using an f-string, allowing potentially malicious input to alter the query.</w:t>
            </w:r>
          </w:p>
        </w:tc>
        <w:tc>
          <w:tcPr>
            <w:tcW w:w="3544" w:type="dxa"/>
            <w:shd w:val="clear" w:color="auto" w:fill="EAF2F8"/>
            <w:vAlign w:val="center"/>
          </w:tcPr>
          <w:p w14:paraId="0601028D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 xml:space="preserve">Replaced string interpolation with a parameterized SQL query </w:t>
            </w:r>
            <w:proofErr w:type="gramStart"/>
            <w:r w:rsidRPr="00CD41FB">
              <w:rPr>
                <w:rFonts w:ascii="Calibri" w:hAnsi="Calibri"/>
                <w:sz w:val="18"/>
                <w:szCs w:val="18"/>
              </w:rPr>
              <w:t>using ?</w:t>
            </w:r>
            <w:proofErr w:type="gramEnd"/>
            <w:r w:rsidRPr="00CD41FB">
              <w:rPr>
                <w:rFonts w:ascii="Calibri" w:hAnsi="Calibri"/>
                <w:sz w:val="18"/>
                <w:szCs w:val="18"/>
              </w:rPr>
              <w:t xml:space="preserve"> placeholders.</w:t>
            </w:r>
          </w:p>
        </w:tc>
      </w:tr>
      <w:tr w:rsidR="00CD41FB" w14:paraId="1CDA1183" w14:textId="77777777" w:rsidTr="00CD41FB">
        <w:trPr>
          <w:trHeight w:val="373"/>
        </w:trPr>
        <w:tc>
          <w:tcPr>
            <w:tcW w:w="549" w:type="dxa"/>
            <w:vAlign w:val="center"/>
          </w:tcPr>
          <w:p w14:paraId="6D48708E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2</w:t>
            </w:r>
          </w:p>
        </w:tc>
        <w:tc>
          <w:tcPr>
            <w:tcW w:w="1488" w:type="dxa"/>
            <w:vAlign w:val="center"/>
          </w:tcPr>
          <w:p w14:paraId="0F12D6F9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 xml:space="preserve">Unsafe Use of </w:t>
            </w:r>
            <w:proofErr w:type="gramStart"/>
            <w:r w:rsidRPr="00CD41FB">
              <w:rPr>
                <w:rFonts w:ascii="Calibri" w:hAnsi="Calibri"/>
                <w:sz w:val="18"/>
                <w:szCs w:val="18"/>
              </w:rPr>
              <w:t>eval(</w:t>
            </w:r>
            <w:proofErr w:type="gramEnd"/>
            <w:r w:rsidRPr="00CD41FB">
              <w:rPr>
                <w:rFonts w:ascii="Calibri" w:hAnsi="Calibri"/>
                <w:sz w:val="18"/>
                <w:szCs w:val="18"/>
              </w:rPr>
              <w:t>)</w:t>
            </w:r>
          </w:p>
        </w:tc>
        <w:tc>
          <w:tcPr>
            <w:tcW w:w="1377" w:type="dxa"/>
            <w:vAlign w:val="center"/>
          </w:tcPr>
          <w:p w14:paraId="60CDCAC6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Security – Medium</w:t>
            </w:r>
          </w:p>
        </w:tc>
        <w:tc>
          <w:tcPr>
            <w:tcW w:w="839" w:type="dxa"/>
            <w:vAlign w:val="center"/>
          </w:tcPr>
          <w:p w14:paraId="51E8F03C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21</w:t>
            </w:r>
          </w:p>
        </w:tc>
        <w:tc>
          <w:tcPr>
            <w:tcW w:w="3402" w:type="dxa"/>
            <w:vAlign w:val="center"/>
          </w:tcPr>
          <w:p w14:paraId="7055139F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 xml:space="preserve">The </w:t>
            </w:r>
            <w:proofErr w:type="gramStart"/>
            <w:r w:rsidRPr="00CD41FB">
              <w:rPr>
                <w:rFonts w:ascii="Calibri" w:hAnsi="Calibri"/>
                <w:sz w:val="18"/>
                <w:szCs w:val="18"/>
              </w:rPr>
              <w:t>eval(</w:t>
            </w:r>
            <w:proofErr w:type="gramEnd"/>
            <w:r w:rsidRPr="00CD41FB">
              <w:rPr>
                <w:rFonts w:ascii="Calibri" w:hAnsi="Calibri"/>
                <w:sz w:val="18"/>
                <w:szCs w:val="18"/>
              </w:rPr>
              <w:t>) function executes arbitrary Python expressions, which can lead to code execution if the input is untrusted.</w:t>
            </w:r>
          </w:p>
        </w:tc>
        <w:tc>
          <w:tcPr>
            <w:tcW w:w="3544" w:type="dxa"/>
            <w:vAlign w:val="center"/>
          </w:tcPr>
          <w:p w14:paraId="0ADEB533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 xml:space="preserve">Replaced </w:t>
            </w:r>
            <w:proofErr w:type="gramStart"/>
            <w:r w:rsidRPr="00CD41FB">
              <w:rPr>
                <w:rFonts w:ascii="Calibri" w:hAnsi="Calibri"/>
                <w:sz w:val="18"/>
                <w:szCs w:val="18"/>
              </w:rPr>
              <w:t>eval(</w:t>
            </w:r>
            <w:proofErr w:type="gramEnd"/>
            <w:r w:rsidRPr="00CD41FB">
              <w:rPr>
                <w:rFonts w:ascii="Calibri" w:hAnsi="Calibri"/>
                <w:sz w:val="18"/>
                <w:szCs w:val="18"/>
              </w:rPr>
              <w:t>) with direct arithmetic using numeric arguments (amount and multiplier).</w:t>
            </w:r>
          </w:p>
        </w:tc>
      </w:tr>
      <w:tr w:rsidR="00CD41FB" w14:paraId="638CD48B" w14:textId="77777777" w:rsidTr="00CD41FB">
        <w:trPr>
          <w:trHeight w:val="373"/>
        </w:trPr>
        <w:tc>
          <w:tcPr>
            <w:tcW w:w="549" w:type="dxa"/>
            <w:shd w:val="clear" w:color="auto" w:fill="EAF2F8"/>
            <w:vAlign w:val="center"/>
          </w:tcPr>
          <w:p w14:paraId="74DE99F7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3</w:t>
            </w:r>
          </w:p>
        </w:tc>
        <w:tc>
          <w:tcPr>
            <w:tcW w:w="1488" w:type="dxa"/>
            <w:shd w:val="clear" w:color="auto" w:fill="EAF2F8"/>
            <w:vAlign w:val="center"/>
          </w:tcPr>
          <w:p w14:paraId="1AC58E98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Hardcoded Password</w:t>
            </w:r>
          </w:p>
        </w:tc>
        <w:tc>
          <w:tcPr>
            <w:tcW w:w="1377" w:type="dxa"/>
            <w:shd w:val="clear" w:color="auto" w:fill="EAF2F8"/>
            <w:vAlign w:val="center"/>
          </w:tcPr>
          <w:p w14:paraId="27FC2C6B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Security – Low</w:t>
            </w:r>
          </w:p>
        </w:tc>
        <w:tc>
          <w:tcPr>
            <w:tcW w:w="839" w:type="dxa"/>
            <w:shd w:val="clear" w:color="auto" w:fill="EAF2F8"/>
            <w:vAlign w:val="center"/>
          </w:tcPr>
          <w:p w14:paraId="1040DE7D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5</w:t>
            </w:r>
          </w:p>
        </w:tc>
        <w:tc>
          <w:tcPr>
            <w:tcW w:w="3402" w:type="dxa"/>
            <w:shd w:val="clear" w:color="auto" w:fill="EAF2F8"/>
            <w:vAlign w:val="center"/>
          </w:tcPr>
          <w:p w14:paraId="23A41E2E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A password was stored directly in the source code, exposing sensitive information and triggering Bandit warning B105.</w:t>
            </w:r>
          </w:p>
        </w:tc>
        <w:tc>
          <w:tcPr>
            <w:tcW w:w="3544" w:type="dxa"/>
            <w:shd w:val="clear" w:color="auto" w:fill="EAF2F8"/>
            <w:vAlign w:val="center"/>
          </w:tcPr>
          <w:p w14:paraId="6A268A19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Removed the unused hardcoded password constant from the source file.</w:t>
            </w:r>
          </w:p>
        </w:tc>
      </w:tr>
      <w:tr w:rsidR="00CD41FB" w14:paraId="7B1B5A77" w14:textId="77777777" w:rsidTr="00CD41FB">
        <w:trPr>
          <w:trHeight w:val="373"/>
        </w:trPr>
        <w:tc>
          <w:tcPr>
            <w:tcW w:w="549" w:type="dxa"/>
            <w:vAlign w:val="center"/>
          </w:tcPr>
          <w:p w14:paraId="2CC2D52E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4</w:t>
            </w:r>
          </w:p>
        </w:tc>
        <w:tc>
          <w:tcPr>
            <w:tcW w:w="1488" w:type="dxa"/>
            <w:vAlign w:val="center"/>
          </w:tcPr>
          <w:p w14:paraId="497902C7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Mutable Default Argument</w:t>
            </w:r>
          </w:p>
        </w:tc>
        <w:tc>
          <w:tcPr>
            <w:tcW w:w="1377" w:type="dxa"/>
            <w:vAlign w:val="center"/>
          </w:tcPr>
          <w:p w14:paraId="426C678E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Code Quality – Warning</w:t>
            </w:r>
          </w:p>
        </w:tc>
        <w:tc>
          <w:tcPr>
            <w:tcW w:w="839" w:type="dxa"/>
            <w:vAlign w:val="center"/>
          </w:tcPr>
          <w:p w14:paraId="53CD9591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8</w:t>
            </w:r>
          </w:p>
        </w:tc>
        <w:tc>
          <w:tcPr>
            <w:tcW w:w="3402" w:type="dxa"/>
            <w:vAlign w:val="center"/>
          </w:tcPr>
          <w:p w14:paraId="10EFB37F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Using history</w:t>
            </w:r>
            <w:proofErr w:type="gramStart"/>
            <w:r w:rsidRPr="00CD41FB">
              <w:rPr>
                <w:rFonts w:ascii="Calibri" w:hAnsi="Calibri"/>
                <w:sz w:val="18"/>
                <w:szCs w:val="18"/>
              </w:rPr>
              <w:t>=[</w:t>
            </w:r>
            <w:proofErr w:type="gramEnd"/>
            <w:r w:rsidRPr="00CD41FB">
              <w:rPr>
                <w:rFonts w:ascii="Calibri" w:hAnsi="Calibri"/>
                <w:sz w:val="18"/>
                <w:szCs w:val="18"/>
              </w:rPr>
              <w:t>] as a default argument could cause the same list to be shared across multiple function calls.</w:t>
            </w:r>
          </w:p>
        </w:tc>
        <w:tc>
          <w:tcPr>
            <w:tcW w:w="3544" w:type="dxa"/>
            <w:vAlign w:val="center"/>
          </w:tcPr>
          <w:p w14:paraId="56C5BE1E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Changed the default to None and initialized a new list inside the function when needed.</w:t>
            </w:r>
          </w:p>
        </w:tc>
      </w:tr>
      <w:tr w:rsidR="00CD41FB" w14:paraId="1AD40834" w14:textId="77777777" w:rsidTr="00CD41FB">
        <w:trPr>
          <w:trHeight w:val="373"/>
        </w:trPr>
        <w:tc>
          <w:tcPr>
            <w:tcW w:w="549" w:type="dxa"/>
            <w:shd w:val="clear" w:color="auto" w:fill="EAF2F8"/>
            <w:vAlign w:val="center"/>
          </w:tcPr>
          <w:p w14:paraId="636A71B4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5</w:t>
            </w:r>
          </w:p>
        </w:tc>
        <w:tc>
          <w:tcPr>
            <w:tcW w:w="1488" w:type="dxa"/>
            <w:shd w:val="clear" w:color="auto" w:fill="EAF2F8"/>
            <w:vAlign w:val="center"/>
          </w:tcPr>
          <w:p w14:paraId="0598E494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Inconsistent Function Naming</w:t>
            </w:r>
          </w:p>
        </w:tc>
        <w:tc>
          <w:tcPr>
            <w:tcW w:w="1377" w:type="dxa"/>
            <w:shd w:val="clear" w:color="auto" w:fill="EAF2F8"/>
            <w:vAlign w:val="center"/>
          </w:tcPr>
          <w:p w14:paraId="5585C19B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Code Quality – Convention</w:t>
            </w:r>
          </w:p>
        </w:tc>
        <w:tc>
          <w:tcPr>
            <w:tcW w:w="839" w:type="dxa"/>
            <w:shd w:val="clear" w:color="auto" w:fill="EAF2F8"/>
            <w:vAlign w:val="center"/>
          </w:tcPr>
          <w:p w14:paraId="076127DC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8</w:t>
            </w:r>
          </w:p>
        </w:tc>
        <w:tc>
          <w:tcPr>
            <w:tcW w:w="3402" w:type="dxa"/>
            <w:shd w:val="clear" w:color="auto" w:fill="EAF2F8"/>
            <w:vAlign w:val="center"/>
          </w:tcPr>
          <w:p w14:paraId="3542E084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 xml:space="preserve">The function name </w:t>
            </w:r>
            <w:proofErr w:type="spellStart"/>
            <w:r w:rsidRPr="00CD41FB">
              <w:rPr>
                <w:rFonts w:ascii="Calibri" w:hAnsi="Calibri"/>
                <w:sz w:val="18"/>
                <w:szCs w:val="18"/>
              </w:rPr>
              <w:t>addDue</w:t>
            </w:r>
            <w:proofErr w:type="spellEnd"/>
            <w:r w:rsidRPr="00CD41FB">
              <w:rPr>
                <w:rFonts w:ascii="Calibri" w:hAnsi="Calibri"/>
                <w:sz w:val="18"/>
                <w:szCs w:val="18"/>
              </w:rPr>
              <w:t xml:space="preserve"> did not follow Python's </w:t>
            </w:r>
            <w:proofErr w:type="spellStart"/>
            <w:r w:rsidRPr="00CD41FB">
              <w:rPr>
                <w:rFonts w:ascii="Calibri" w:hAnsi="Calibri"/>
                <w:sz w:val="18"/>
                <w:szCs w:val="18"/>
              </w:rPr>
              <w:t>snake_case</w:t>
            </w:r>
            <w:proofErr w:type="spellEnd"/>
            <w:r w:rsidRPr="00CD41FB">
              <w:rPr>
                <w:rFonts w:ascii="Calibri" w:hAnsi="Calibri"/>
                <w:sz w:val="18"/>
                <w:szCs w:val="18"/>
              </w:rPr>
              <w:t xml:space="preserve"> naming convention.</w:t>
            </w:r>
          </w:p>
        </w:tc>
        <w:tc>
          <w:tcPr>
            <w:tcW w:w="3544" w:type="dxa"/>
            <w:shd w:val="clear" w:color="auto" w:fill="EAF2F8"/>
            <w:vAlign w:val="center"/>
          </w:tcPr>
          <w:p w14:paraId="61ABE744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 xml:space="preserve">Renamed the function to </w:t>
            </w:r>
            <w:proofErr w:type="spellStart"/>
            <w:r w:rsidRPr="00CD41FB">
              <w:rPr>
                <w:rFonts w:ascii="Calibri" w:hAnsi="Calibri"/>
                <w:sz w:val="18"/>
                <w:szCs w:val="18"/>
              </w:rPr>
              <w:t>add_due</w:t>
            </w:r>
            <w:proofErr w:type="spellEnd"/>
            <w:r w:rsidRPr="00CD41FB">
              <w:rPr>
                <w:rFonts w:ascii="Calibri" w:hAnsi="Calibri"/>
                <w:sz w:val="18"/>
                <w:szCs w:val="18"/>
              </w:rPr>
              <w:t xml:space="preserve"> and updated its calls in </w:t>
            </w:r>
            <w:proofErr w:type="gramStart"/>
            <w:r w:rsidRPr="00CD41FB">
              <w:rPr>
                <w:rFonts w:ascii="Calibri" w:hAnsi="Calibri"/>
                <w:sz w:val="18"/>
                <w:szCs w:val="18"/>
              </w:rPr>
              <w:t>main(</w:t>
            </w:r>
            <w:proofErr w:type="gramEnd"/>
            <w:r w:rsidRPr="00CD41FB">
              <w:rPr>
                <w:rFonts w:ascii="Calibri" w:hAnsi="Calibri"/>
                <w:sz w:val="18"/>
                <w:szCs w:val="18"/>
              </w:rPr>
              <w:t>).</w:t>
            </w:r>
          </w:p>
        </w:tc>
      </w:tr>
      <w:tr w:rsidR="00CD41FB" w14:paraId="00D868D1" w14:textId="77777777" w:rsidTr="00CD41FB">
        <w:trPr>
          <w:trHeight w:val="373"/>
        </w:trPr>
        <w:tc>
          <w:tcPr>
            <w:tcW w:w="549" w:type="dxa"/>
            <w:vAlign w:val="center"/>
          </w:tcPr>
          <w:p w14:paraId="534B66F7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6</w:t>
            </w:r>
          </w:p>
        </w:tc>
        <w:tc>
          <w:tcPr>
            <w:tcW w:w="1488" w:type="dxa"/>
            <w:vAlign w:val="center"/>
          </w:tcPr>
          <w:p w14:paraId="0EB9F4CA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Missing Docstrings</w:t>
            </w:r>
          </w:p>
        </w:tc>
        <w:tc>
          <w:tcPr>
            <w:tcW w:w="1377" w:type="dxa"/>
            <w:vAlign w:val="center"/>
          </w:tcPr>
          <w:p w14:paraId="0EF0A1CF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Code Quality – Convention</w:t>
            </w:r>
          </w:p>
        </w:tc>
        <w:tc>
          <w:tcPr>
            <w:tcW w:w="839" w:type="dxa"/>
            <w:vAlign w:val="center"/>
          </w:tcPr>
          <w:p w14:paraId="407C2D0F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Multiple</w:t>
            </w:r>
          </w:p>
        </w:tc>
        <w:tc>
          <w:tcPr>
            <w:tcW w:w="3402" w:type="dxa"/>
            <w:vAlign w:val="center"/>
          </w:tcPr>
          <w:p w14:paraId="76D96E64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The module and several functions lacked descriptive docstrings, reducing readability and maintainability.</w:t>
            </w:r>
          </w:p>
        </w:tc>
        <w:tc>
          <w:tcPr>
            <w:tcW w:w="3544" w:type="dxa"/>
            <w:vAlign w:val="center"/>
          </w:tcPr>
          <w:p w14:paraId="0E6CD948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Added a module docstring and docstrings for the functions.</w:t>
            </w:r>
          </w:p>
        </w:tc>
      </w:tr>
      <w:tr w:rsidR="00CD41FB" w14:paraId="6AE33C04" w14:textId="77777777" w:rsidTr="00CD41FB">
        <w:trPr>
          <w:trHeight w:val="380"/>
        </w:trPr>
        <w:tc>
          <w:tcPr>
            <w:tcW w:w="549" w:type="dxa"/>
            <w:shd w:val="clear" w:color="auto" w:fill="EAF2F8"/>
            <w:vAlign w:val="center"/>
          </w:tcPr>
          <w:p w14:paraId="0939BC3F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7</w:t>
            </w:r>
          </w:p>
        </w:tc>
        <w:tc>
          <w:tcPr>
            <w:tcW w:w="1488" w:type="dxa"/>
            <w:shd w:val="clear" w:color="auto" w:fill="EAF2F8"/>
            <w:vAlign w:val="center"/>
          </w:tcPr>
          <w:p w14:paraId="06F777B6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Inconsistent Return Statements</w:t>
            </w:r>
          </w:p>
        </w:tc>
        <w:tc>
          <w:tcPr>
            <w:tcW w:w="1377" w:type="dxa"/>
            <w:shd w:val="clear" w:color="auto" w:fill="EAF2F8"/>
            <w:vAlign w:val="center"/>
          </w:tcPr>
          <w:p w14:paraId="5EB83048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Code Quality – Refactor</w:t>
            </w:r>
          </w:p>
        </w:tc>
        <w:tc>
          <w:tcPr>
            <w:tcW w:w="839" w:type="dxa"/>
            <w:shd w:val="clear" w:color="auto" w:fill="EAF2F8"/>
            <w:vAlign w:val="center"/>
          </w:tcPr>
          <w:p w14:paraId="5B213453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12–16</w:t>
            </w:r>
          </w:p>
        </w:tc>
        <w:tc>
          <w:tcPr>
            <w:tcW w:w="3402" w:type="dxa"/>
            <w:shd w:val="clear" w:color="auto" w:fill="EAF2F8"/>
            <w:vAlign w:val="center"/>
          </w:tcPr>
          <w:p w14:paraId="23E1478B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 xml:space="preserve">The </w:t>
            </w:r>
            <w:proofErr w:type="gramStart"/>
            <w:r w:rsidRPr="00CD41FB">
              <w:rPr>
                <w:rFonts w:ascii="Calibri" w:hAnsi="Calibri"/>
                <w:sz w:val="18"/>
                <w:szCs w:val="18"/>
              </w:rPr>
              <w:t>collect(</w:t>
            </w:r>
            <w:proofErr w:type="gramEnd"/>
            <w:r w:rsidRPr="00CD41FB">
              <w:rPr>
                <w:rFonts w:ascii="Calibri" w:hAnsi="Calibri"/>
                <w:sz w:val="18"/>
                <w:szCs w:val="18"/>
              </w:rPr>
              <w:t>) function did not explicitly return a value when no matching record was found.</w:t>
            </w:r>
          </w:p>
        </w:tc>
        <w:tc>
          <w:tcPr>
            <w:tcW w:w="3544" w:type="dxa"/>
            <w:shd w:val="clear" w:color="auto" w:fill="EAF2F8"/>
            <w:vAlign w:val="center"/>
          </w:tcPr>
          <w:p w14:paraId="14826ED9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Added return None when no matching dues record exists.</w:t>
            </w:r>
          </w:p>
        </w:tc>
      </w:tr>
      <w:tr w:rsidR="00CD41FB" w14:paraId="78F83ACB" w14:textId="77777777" w:rsidTr="00CD41FB">
        <w:trPr>
          <w:trHeight w:val="373"/>
        </w:trPr>
        <w:tc>
          <w:tcPr>
            <w:tcW w:w="549" w:type="dxa"/>
            <w:vAlign w:val="center"/>
          </w:tcPr>
          <w:p w14:paraId="2A8266B5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8</w:t>
            </w:r>
          </w:p>
        </w:tc>
        <w:tc>
          <w:tcPr>
            <w:tcW w:w="1488" w:type="dxa"/>
            <w:vAlign w:val="center"/>
          </w:tcPr>
          <w:p w14:paraId="67AAEDF7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Incorrect None Comparison</w:t>
            </w:r>
          </w:p>
        </w:tc>
        <w:tc>
          <w:tcPr>
            <w:tcW w:w="1377" w:type="dxa"/>
            <w:vAlign w:val="center"/>
          </w:tcPr>
          <w:p w14:paraId="2378101F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Style – Flake8</w:t>
            </w:r>
          </w:p>
        </w:tc>
        <w:tc>
          <w:tcPr>
            <w:tcW w:w="839" w:type="dxa"/>
            <w:vAlign w:val="center"/>
          </w:tcPr>
          <w:p w14:paraId="500F449C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29</w:t>
            </w:r>
          </w:p>
        </w:tc>
        <w:tc>
          <w:tcPr>
            <w:tcW w:w="3402" w:type="dxa"/>
            <w:vAlign w:val="center"/>
          </w:tcPr>
          <w:p w14:paraId="74C7FC38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 xml:space="preserve">The expression </w:t>
            </w:r>
            <w:proofErr w:type="gramStart"/>
            <w:r w:rsidRPr="00CD41FB">
              <w:rPr>
                <w:rFonts w:ascii="Calibri" w:hAnsi="Calibri"/>
                <w:sz w:val="18"/>
                <w:szCs w:val="18"/>
              </w:rPr>
              <w:t>rows !</w:t>
            </w:r>
            <w:proofErr w:type="gramEnd"/>
            <w:r w:rsidRPr="00CD41FB">
              <w:rPr>
                <w:rFonts w:ascii="Calibri" w:hAnsi="Calibri"/>
                <w:sz w:val="18"/>
                <w:szCs w:val="18"/>
              </w:rPr>
              <w:t>= None did not follow Python's recommended None comparison style.</w:t>
            </w:r>
          </w:p>
        </w:tc>
        <w:tc>
          <w:tcPr>
            <w:tcW w:w="3544" w:type="dxa"/>
            <w:vAlign w:val="center"/>
          </w:tcPr>
          <w:p w14:paraId="3723F199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 xml:space="preserve">Simplified </w:t>
            </w:r>
            <w:proofErr w:type="gramStart"/>
            <w:r w:rsidRPr="00CD41FB">
              <w:rPr>
                <w:rFonts w:ascii="Calibri" w:hAnsi="Calibri"/>
                <w:sz w:val="18"/>
                <w:szCs w:val="18"/>
              </w:rPr>
              <w:t>pending(</w:t>
            </w:r>
            <w:proofErr w:type="gramEnd"/>
            <w:r w:rsidRPr="00CD41FB">
              <w:rPr>
                <w:rFonts w:ascii="Calibri" w:hAnsi="Calibri"/>
                <w:sz w:val="18"/>
                <w:szCs w:val="18"/>
              </w:rPr>
              <w:t xml:space="preserve">) to return the list generated from </w:t>
            </w:r>
            <w:proofErr w:type="spellStart"/>
            <w:proofErr w:type="gramStart"/>
            <w:r w:rsidRPr="00CD41FB">
              <w:rPr>
                <w:rFonts w:ascii="Calibri" w:hAnsi="Calibri"/>
                <w:sz w:val="18"/>
                <w:szCs w:val="18"/>
              </w:rPr>
              <w:t>fetchall</w:t>
            </w:r>
            <w:proofErr w:type="spellEnd"/>
            <w:r w:rsidRPr="00CD41FB">
              <w:rPr>
                <w:rFonts w:ascii="Calibri" w:hAnsi="Calibri"/>
                <w:sz w:val="18"/>
                <w:szCs w:val="18"/>
              </w:rPr>
              <w:t>(</w:t>
            </w:r>
            <w:proofErr w:type="gramEnd"/>
            <w:r w:rsidRPr="00CD41FB">
              <w:rPr>
                <w:rFonts w:ascii="Calibri" w:hAnsi="Calibri"/>
                <w:sz w:val="18"/>
                <w:szCs w:val="18"/>
              </w:rPr>
              <w:t>) directly.</w:t>
            </w:r>
          </w:p>
        </w:tc>
      </w:tr>
      <w:tr w:rsidR="00CD41FB" w14:paraId="184A74DD" w14:textId="77777777" w:rsidTr="00CD41FB">
        <w:trPr>
          <w:trHeight w:val="373"/>
        </w:trPr>
        <w:tc>
          <w:tcPr>
            <w:tcW w:w="549" w:type="dxa"/>
            <w:shd w:val="clear" w:color="auto" w:fill="EAF2F8"/>
            <w:vAlign w:val="center"/>
          </w:tcPr>
          <w:p w14:paraId="65F47122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9</w:t>
            </w:r>
          </w:p>
        </w:tc>
        <w:tc>
          <w:tcPr>
            <w:tcW w:w="1488" w:type="dxa"/>
            <w:shd w:val="clear" w:color="auto" w:fill="EAF2F8"/>
            <w:vAlign w:val="center"/>
          </w:tcPr>
          <w:p w14:paraId="6DA51B10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Lines Exceeding Maximum Length</w:t>
            </w:r>
          </w:p>
        </w:tc>
        <w:tc>
          <w:tcPr>
            <w:tcW w:w="1377" w:type="dxa"/>
            <w:shd w:val="clear" w:color="auto" w:fill="EAF2F8"/>
            <w:vAlign w:val="center"/>
          </w:tcPr>
          <w:p w14:paraId="720C1C5C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Style – Flake8</w:t>
            </w:r>
          </w:p>
        </w:tc>
        <w:tc>
          <w:tcPr>
            <w:tcW w:w="839" w:type="dxa"/>
            <w:shd w:val="clear" w:color="auto" w:fill="EAF2F8"/>
            <w:vAlign w:val="center"/>
          </w:tcPr>
          <w:p w14:paraId="55A8F6D2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4, 13, 15</w:t>
            </w:r>
          </w:p>
        </w:tc>
        <w:tc>
          <w:tcPr>
            <w:tcW w:w="3402" w:type="dxa"/>
            <w:shd w:val="clear" w:color="auto" w:fill="EAF2F8"/>
            <w:vAlign w:val="center"/>
          </w:tcPr>
          <w:p w14:paraId="4E11CACD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Several SQL statements exceeded the configured maximum line length, reducing readability.</w:t>
            </w:r>
          </w:p>
        </w:tc>
        <w:tc>
          <w:tcPr>
            <w:tcW w:w="3544" w:type="dxa"/>
            <w:shd w:val="clear" w:color="auto" w:fill="EAF2F8"/>
            <w:vAlign w:val="center"/>
          </w:tcPr>
          <w:p w14:paraId="1B9E059F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Split long SQL statements and function calls across multiple lines.</w:t>
            </w:r>
          </w:p>
        </w:tc>
      </w:tr>
      <w:tr w:rsidR="00CD41FB" w14:paraId="34C91D68" w14:textId="77777777" w:rsidTr="00CD41FB">
        <w:trPr>
          <w:trHeight w:val="373"/>
        </w:trPr>
        <w:tc>
          <w:tcPr>
            <w:tcW w:w="549" w:type="dxa"/>
            <w:vAlign w:val="center"/>
          </w:tcPr>
          <w:p w14:paraId="7B71FC6D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10</w:t>
            </w:r>
          </w:p>
        </w:tc>
        <w:tc>
          <w:tcPr>
            <w:tcW w:w="1488" w:type="dxa"/>
            <w:vAlign w:val="center"/>
          </w:tcPr>
          <w:p w14:paraId="5EEDE000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Missing Blank Lines</w:t>
            </w:r>
          </w:p>
        </w:tc>
        <w:tc>
          <w:tcPr>
            <w:tcW w:w="1377" w:type="dxa"/>
            <w:vAlign w:val="center"/>
          </w:tcPr>
          <w:p w14:paraId="66B74A52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Style – Flake8</w:t>
            </w:r>
          </w:p>
        </w:tc>
        <w:tc>
          <w:tcPr>
            <w:tcW w:w="839" w:type="dxa"/>
            <w:vAlign w:val="center"/>
          </w:tcPr>
          <w:p w14:paraId="20AB2254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12</w:t>
            </w:r>
          </w:p>
        </w:tc>
        <w:tc>
          <w:tcPr>
            <w:tcW w:w="3402" w:type="dxa"/>
            <w:vAlign w:val="center"/>
          </w:tcPr>
          <w:p w14:paraId="6050B1A0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A top-level function was not separated from the preceding code by the required two blank lines.</w:t>
            </w:r>
          </w:p>
        </w:tc>
        <w:tc>
          <w:tcPr>
            <w:tcW w:w="3544" w:type="dxa"/>
            <w:vAlign w:val="center"/>
          </w:tcPr>
          <w:p w14:paraId="12BB4169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Added the required blank lines between top-level functions.</w:t>
            </w:r>
          </w:p>
        </w:tc>
      </w:tr>
      <w:tr w:rsidR="00CD41FB" w14:paraId="2D8A963A" w14:textId="77777777" w:rsidTr="00CD41FB">
        <w:trPr>
          <w:trHeight w:val="373"/>
        </w:trPr>
        <w:tc>
          <w:tcPr>
            <w:tcW w:w="549" w:type="dxa"/>
            <w:shd w:val="clear" w:color="auto" w:fill="EAF2F8"/>
            <w:vAlign w:val="center"/>
          </w:tcPr>
          <w:p w14:paraId="2279E477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11</w:t>
            </w:r>
          </w:p>
        </w:tc>
        <w:tc>
          <w:tcPr>
            <w:tcW w:w="1488" w:type="dxa"/>
            <w:shd w:val="clear" w:color="auto" w:fill="EAF2F8"/>
            <w:vAlign w:val="center"/>
          </w:tcPr>
          <w:p w14:paraId="393E8039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Missing Final Newline</w:t>
            </w:r>
          </w:p>
        </w:tc>
        <w:tc>
          <w:tcPr>
            <w:tcW w:w="1377" w:type="dxa"/>
            <w:shd w:val="clear" w:color="auto" w:fill="EAF2F8"/>
            <w:vAlign w:val="center"/>
          </w:tcPr>
          <w:p w14:paraId="2DC9E020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 xml:space="preserve">Style – Flake8 / </w:t>
            </w:r>
            <w:proofErr w:type="spellStart"/>
            <w:r w:rsidRPr="00CD41FB">
              <w:rPr>
                <w:rFonts w:ascii="Calibri" w:hAnsi="Calibri"/>
                <w:sz w:val="18"/>
                <w:szCs w:val="18"/>
              </w:rPr>
              <w:t>Pylint</w:t>
            </w:r>
            <w:proofErr w:type="spellEnd"/>
          </w:p>
        </w:tc>
        <w:tc>
          <w:tcPr>
            <w:tcW w:w="839" w:type="dxa"/>
            <w:shd w:val="clear" w:color="auto" w:fill="EAF2F8"/>
            <w:vAlign w:val="center"/>
          </w:tcPr>
          <w:p w14:paraId="34A8082A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End of file</w:t>
            </w:r>
          </w:p>
        </w:tc>
        <w:tc>
          <w:tcPr>
            <w:tcW w:w="3402" w:type="dxa"/>
            <w:shd w:val="clear" w:color="auto" w:fill="EAF2F8"/>
            <w:vAlign w:val="center"/>
          </w:tcPr>
          <w:p w14:paraId="2D4DF33F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 xml:space="preserve">The Python file did not end with a newline, triggering Flake8 W292 and </w:t>
            </w:r>
            <w:proofErr w:type="spellStart"/>
            <w:r w:rsidRPr="00CD41FB">
              <w:rPr>
                <w:rFonts w:ascii="Calibri" w:hAnsi="Calibri"/>
                <w:sz w:val="18"/>
                <w:szCs w:val="18"/>
              </w:rPr>
              <w:t>Pylint</w:t>
            </w:r>
            <w:proofErr w:type="spellEnd"/>
            <w:r w:rsidRPr="00CD41FB">
              <w:rPr>
                <w:rFonts w:ascii="Calibri" w:hAnsi="Calibri"/>
                <w:sz w:val="18"/>
                <w:szCs w:val="18"/>
              </w:rPr>
              <w:t xml:space="preserve"> C0304.</w:t>
            </w:r>
          </w:p>
        </w:tc>
        <w:tc>
          <w:tcPr>
            <w:tcW w:w="3544" w:type="dxa"/>
            <w:shd w:val="clear" w:color="auto" w:fill="EAF2F8"/>
            <w:vAlign w:val="center"/>
          </w:tcPr>
          <w:p w14:paraId="22799660" w14:textId="77777777" w:rsidR="00CD41FB" w:rsidRPr="00CD41FB" w:rsidRDefault="00CD41FB" w:rsidP="0095349B">
            <w:pPr>
              <w:rPr>
                <w:sz w:val="18"/>
                <w:szCs w:val="18"/>
              </w:rPr>
            </w:pPr>
            <w:r w:rsidRPr="00CD41FB">
              <w:rPr>
                <w:rFonts w:ascii="Calibri" w:hAnsi="Calibri"/>
                <w:sz w:val="18"/>
                <w:szCs w:val="18"/>
              </w:rPr>
              <w:t>Added a newline at the end of the file.</w:t>
            </w:r>
          </w:p>
        </w:tc>
      </w:tr>
    </w:tbl>
    <w:p w14:paraId="1E832364" w14:textId="77777777" w:rsidR="00204F66" w:rsidRDefault="00204F66" w:rsidP="00204F66">
      <w:pPr>
        <w:rPr>
          <w:rFonts w:ascii="Garamond" w:hAnsi="Garamond"/>
          <w:sz w:val="28"/>
          <w:szCs w:val="28"/>
        </w:rPr>
      </w:pPr>
    </w:p>
    <w:p w14:paraId="30BD18B2" w14:textId="77777777" w:rsidR="00A86BBF" w:rsidRDefault="00A86BBF" w:rsidP="00204F66">
      <w:pPr>
        <w:rPr>
          <w:rFonts w:ascii="Garamond" w:hAnsi="Garamond"/>
          <w:sz w:val="28"/>
          <w:szCs w:val="28"/>
        </w:rPr>
      </w:pPr>
    </w:p>
    <w:p w14:paraId="1E44C464" w14:textId="77777777" w:rsidR="00A86BBF" w:rsidRDefault="00A86BBF" w:rsidP="00204F66">
      <w:pPr>
        <w:rPr>
          <w:rFonts w:ascii="Garamond" w:hAnsi="Garamond"/>
          <w:sz w:val="28"/>
          <w:szCs w:val="28"/>
        </w:rPr>
      </w:pPr>
    </w:p>
    <w:p w14:paraId="638A0589" w14:textId="77777777" w:rsidR="00A86BBF" w:rsidRDefault="00A86BBF" w:rsidP="00204F66">
      <w:pPr>
        <w:rPr>
          <w:rFonts w:ascii="Garamond" w:hAnsi="Garamond"/>
          <w:sz w:val="28"/>
          <w:szCs w:val="28"/>
        </w:rPr>
      </w:pPr>
    </w:p>
    <w:p w14:paraId="172B09DC" w14:textId="7CD63657" w:rsidR="00A86BBF" w:rsidRPr="00A86BBF" w:rsidRDefault="00A86BBF" w:rsidP="00A86BBF">
      <w:pPr>
        <w:rPr>
          <w:rFonts w:ascii="Garamond" w:hAnsi="Garamond"/>
          <w:b/>
          <w:bCs/>
          <w:sz w:val="28"/>
          <w:szCs w:val="28"/>
        </w:rPr>
      </w:pPr>
      <w:r w:rsidRPr="00A86BBF">
        <w:rPr>
          <w:rFonts w:ascii="Garamond" w:hAnsi="Garamond"/>
          <w:b/>
          <w:bCs/>
          <w:sz w:val="28"/>
          <w:szCs w:val="28"/>
        </w:rPr>
        <w:lastRenderedPageBreak/>
        <w:t>Reflection Questions</w:t>
      </w:r>
    </w:p>
    <w:p w14:paraId="6926060D" w14:textId="77777777" w:rsidR="00A86BBF" w:rsidRPr="00A86BBF" w:rsidRDefault="00A86BBF" w:rsidP="00A86BBF">
      <w:pPr>
        <w:rPr>
          <w:rFonts w:ascii="Garamond" w:hAnsi="Garamond"/>
          <w:b/>
          <w:bCs/>
          <w:sz w:val="28"/>
          <w:szCs w:val="28"/>
        </w:rPr>
      </w:pPr>
      <w:r w:rsidRPr="00A86BBF">
        <w:rPr>
          <w:rFonts w:ascii="Garamond" w:hAnsi="Garamond"/>
          <w:b/>
          <w:bCs/>
          <w:sz w:val="28"/>
          <w:szCs w:val="28"/>
        </w:rPr>
        <w:t>1. What is the importance of using multiple static code analysis tools instead of relying on a single tool?</w:t>
      </w:r>
    </w:p>
    <w:p w14:paraId="72C31C5A" w14:textId="77777777" w:rsidR="00A86BBF" w:rsidRPr="00A86BBF" w:rsidRDefault="00A86BBF" w:rsidP="00A86BBF">
      <w:pPr>
        <w:rPr>
          <w:rFonts w:ascii="Garamond" w:hAnsi="Garamond"/>
          <w:sz w:val="28"/>
          <w:szCs w:val="28"/>
        </w:rPr>
      </w:pPr>
      <w:r w:rsidRPr="00A86BBF">
        <w:rPr>
          <w:rFonts w:ascii="Garamond" w:hAnsi="Garamond"/>
          <w:b/>
          <w:bCs/>
          <w:sz w:val="28"/>
          <w:szCs w:val="28"/>
        </w:rPr>
        <w:t>Answer:</w:t>
      </w:r>
      <w:r w:rsidRPr="00A86BBF">
        <w:rPr>
          <w:rFonts w:ascii="Garamond" w:hAnsi="Garamond"/>
          <w:sz w:val="28"/>
          <w:szCs w:val="28"/>
        </w:rPr>
        <w:t xml:space="preserve"> Each tool focuses on a different aspect of code quality. </w:t>
      </w:r>
      <w:proofErr w:type="spellStart"/>
      <w:r w:rsidRPr="00A86BBF">
        <w:rPr>
          <w:rFonts w:ascii="Garamond" w:hAnsi="Garamond"/>
          <w:sz w:val="28"/>
          <w:szCs w:val="28"/>
        </w:rPr>
        <w:t>Pylint</w:t>
      </w:r>
      <w:proofErr w:type="spellEnd"/>
      <w:r w:rsidRPr="00A86BBF">
        <w:rPr>
          <w:rFonts w:ascii="Garamond" w:hAnsi="Garamond"/>
          <w:sz w:val="28"/>
          <w:szCs w:val="28"/>
        </w:rPr>
        <w:t xml:space="preserve"> identifies programming issues and maintainability problems, Bandit detects potential security vulnerabilities, and Flake8 checks coding style and formatting. Using all three provides a more comprehensive assessment of the program.</w:t>
      </w:r>
    </w:p>
    <w:p w14:paraId="42239DA9" w14:textId="77777777" w:rsidR="00A86BBF" w:rsidRPr="00A86BBF" w:rsidRDefault="00A86BBF" w:rsidP="00A86BBF">
      <w:pPr>
        <w:rPr>
          <w:rFonts w:ascii="Garamond" w:hAnsi="Garamond"/>
          <w:b/>
          <w:bCs/>
          <w:sz w:val="28"/>
          <w:szCs w:val="28"/>
        </w:rPr>
      </w:pPr>
      <w:r w:rsidRPr="00A86BBF">
        <w:rPr>
          <w:rFonts w:ascii="Garamond" w:hAnsi="Garamond"/>
          <w:b/>
          <w:bCs/>
          <w:sz w:val="28"/>
          <w:szCs w:val="28"/>
        </w:rPr>
        <w:t>2. What security vulnerabilities were identified in the original society_dues.py program, and how were they fixed?</w:t>
      </w:r>
    </w:p>
    <w:p w14:paraId="6B6424B3" w14:textId="77777777" w:rsidR="00A86BBF" w:rsidRPr="00A86BBF" w:rsidRDefault="00A86BBF" w:rsidP="00A86BBF">
      <w:pPr>
        <w:rPr>
          <w:rFonts w:ascii="Garamond" w:hAnsi="Garamond"/>
          <w:sz w:val="28"/>
          <w:szCs w:val="28"/>
        </w:rPr>
      </w:pPr>
      <w:r w:rsidRPr="00A86BBF">
        <w:rPr>
          <w:rFonts w:ascii="Garamond" w:hAnsi="Garamond"/>
          <w:b/>
          <w:bCs/>
          <w:sz w:val="28"/>
          <w:szCs w:val="28"/>
        </w:rPr>
        <w:t>Answer:</w:t>
      </w:r>
      <w:r w:rsidRPr="00A86BBF">
        <w:rPr>
          <w:rFonts w:ascii="Garamond" w:hAnsi="Garamond"/>
          <w:sz w:val="28"/>
          <w:szCs w:val="28"/>
        </w:rPr>
        <w:t xml:space="preserve"> Bandit identified a hardcoded password, a potential SQL injection vulnerability caused by constructing queries with f-strings, and the unsafe use of </w:t>
      </w:r>
      <w:proofErr w:type="gramStart"/>
      <w:r w:rsidRPr="00A86BBF">
        <w:rPr>
          <w:rFonts w:ascii="Garamond" w:hAnsi="Garamond"/>
          <w:sz w:val="28"/>
          <w:szCs w:val="28"/>
        </w:rPr>
        <w:t>eval(</w:t>
      </w:r>
      <w:proofErr w:type="gramEnd"/>
      <w:r w:rsidRPr="00A86BBF">
        <w:rPr>
          <w:rFonts w:ascii="Garamond" w:hAnsi="Garamond"/>
          <w:sz w:val="28"/>
          <w:szCs w:val="28"/>
        </w:rPr>
        <w:t xml:space="preserve">). These issues were addressed by removing the unused password, using parameterized SQL queries, and replacing </w:t>
      </w:r>
      <w:proofErr w:type="gramStart"/>
      <w:r w:rsidRPr="00A86BBF">
        <w:rPr>
          <w:rFonts w:ascii="Garamond" w:hAnsi="Garamond"/>
          <w:sz w:val="28"/>
          <w:szCs w:val="28"/>
        </w:rPr>
        <w:t>eval(</w:t>
      </w:r>
      <w:proofErr w:type="gramEnd"/>
      <w:r w:rsidRPr="00A86BBF">
        <w:rPr>
          <w:rFonts w:ascii="Garamond" w:hAnsi="Garamond"/>
          <w:sz w:val="28"/>
          <w:szCs w:val="28"/>
        </w:rPr>
        <w:t>) with direct arithmetic using numeric arguments.</w:t>
      </w:r>
    </w:p>
    <w:p w14:paraId="7BE0CBBA" w14:textId="77777777" w:rsidR="00A86BBF" w:rsidRPr="00A86BBF" w:rsidRDefault="00A86BBF" w:rsidP="00A86BBF">
      <w:pPr>
        <w:rPr>
          <w:rFonts w:ascii="Garamond" w:hAnsi="Garamond"/>
          <w:b/>
          <w:bCs/>
          <w:sz w:val="28"/>
          <w:szCs w:val="28"/>
        </w:rPr>
      </w:pPr>
      <w:r w:rsidRPr="00A86BBF">
        <w:rPr>
          <w:rFonts w:ascii="Garamond" w:hAnsi="Garamond"/>
          <w:b/>
          <w:bCs/>
          <w:sz w:val="28"/>
          <w:szCs w:val="28"/>
        </w:rPr>
        <w:t>3. How does fixing code quality and style issues improve the maintainability of a Python program?</w:t>
      </w:r>
    </w:p>
    <w:p w14:paraId="79F4A391" w14:textId="77777777" w:rsidR="00A86BBF" w:rsidRPr="00A86BBF" w:rsidRDefault="00A86BBF" w:rsidP="00A86BBF">
      <w:pPr>
        <w:rPr>
          <w:rFonts w:ascii="Garamond" w:hAnsi="Garamond"/>
          <w:sz w:val="28"/>
          <w:szCs w:val="28"/>
        </w:rPr>
      </w:pPr>
      <w:r w:rsidRPr="00A86BBF">
        <w:rPr>
          <w:rFonts w:ascii="Garamond" w:hAnsi="Garamond"/>
          <w:b/>
          <w:bCs/>
          <w:sz w:val="28"/>
          <w:szCs w:val="28"/>
        </w:rPr>
        <w:t>Answer:</w:t>
      </w:r>
      <w:r w:rsidRPr="00A86BBF">
        <w:rPr>
          <w:rFonts w:ascii="Garamond" w:hAnsi="Garamond"/>
          <w:sz w:val="28"/>
          <w:szCs w:val="28"/>
        </w:rPr>
        <w:t xml:space="preserve"> Following naming conventions, adding docstrings, avoiding mutable default arguments, and formatting code consistently make a program easier to understand, debug, and modify. In this lab, these improvements helped make the functions in society_dues.py clearer and reduced potential programming errors.</w:t>
      </w:r>
    </w:p>
    <w:p w14:paraId="3933DB66" w14:textId="77777777" w:rsidR="00A86BBF" w:rsidRPr="00A86BBF" w:rsidRDefault="00A86BBF" w:rsidP="00A86BBF">
      <w:pPr>
        <w:rPr>
          <w:rFonts w:ascii="Garamond" w:hAnsi="Garamond"/>
          <w:b/>
          <w:bCs/>
          <w:sz w:val="28"/>
          <w:szCs w:val="28"/>
        </w:rPr>
      </w:pPr>
      <w:r w:rsidRPr="00A86BBF">
        <w:rPr>
          <w:rFonts w:ascii="Garamond" w:hAnsi="Garamond"/>
          <w:b/>
          <w:bCs/>
          <w:sz w:val="28"/>
          <w:szCs w:val="28"/>
        </w:rPr>
        <w:t>4. Why is it necessary to rerun static analysis tools after fixing the reported issues?</w:t>
      </w:r>
    </w:p>
    <w:p w14:paraId="1574BD49" w14:textId="77777777" w:rsidR="00A86BBF" w:rsidRDefault="00A86BBF" w:rsidP="00A86BBF">
      <w:pPr>
        <w:rPr>
          <w:rFonts w:ascii="Garamond" w:hAnsi="Garamond"/>
          <w:sz w:val="28"/>
          <w:szCs w:val="28"/>
        </w:rPr>
      </w:pPr>
      <w:r w:rsidRPr="00A86BBF">
        <w:rPr>
          <w:rFonts w:ascii="Garamond" w:hAnsi="Garamond"/>
          <w:b/>
          <w:bCs/>
          <w:sz w:val="28"/>
          <w:szCs w:val="28"/>
        </w:rPr>
        <w:t>Answer:</w:t>
      </w:r>
      <w:r w:rsidRPr="00A86BBF">
        <w:rPr>
          <w:rFonts w:ascii="Garamond" w:hAnsi="Garamond"/>
          <w:sz w:val="28"/>
          <w:szCs w:val="28"/>
        </w:rPr>
        <w:t xml:space="preserve"> Rerunning the tools verifies that the fixes have resolved the original findings and helps identify any remaining problems. In this lab, the initial </w:t>
      </w:r>
      <w:proofErr w:type="spellStart"/>
      <w:r w:rsidRPr="00A86BBF">
        <w:rPr>
          <w:rFonts w:ascii="Garamond" w:hAnsi="Garamond"/>
          <w:sz w:val="28"/>
          <w:szCs w:val="28"/>
        </w:rPr>
        <w:t>Pylint</w:t>
      </w:r>
      <w:proofErr w:type="spellEnd"/>
      <w:r w:rsidRPr="00A86BBF">
        <w:rPr>
          <w:rFonts w:ascii="Garamond" w:hAnsi="Garamond"/>
          <w:sz w:val="28"/>
          <w:szCs w:val="28"/>
        </w:rPr>
        <w:t xml:space="preserve"> score was 5.81/10, while the updated report showed 9.64/10. Bandit subsequently reported no issues, while Flake8 identified a missing final newline that needed correction. This demonstrates the importance of verifying changes rather than assuming the code is error-free after editing.</w:t>
      </w:r>
    </w:p>
    <w:p w14:paraId="4624F503" w14:textId="77777777" w:rsidR="00A86BBF" w:rsidRDefault="00A86BBF" w:rsidP="00A86BBF">
      <w:pPr>
        <w:rPr>
          <w:rFonts w:ascii="Garamond" w:hAnsi="Garamond"/>
          <w:sz w:val="28"/>
          <w:szCs w:val="28"/>
        </w:rPr>
      </w:pPr>
    </w:p>
    <w:p w14:paraId="11A7F8D0" w14:textId="77777777" w:rsidR="00A86BBF" w:rsidRDefault="00A86BBF" w:rsidP="00A86BBF">
      <w:pPr>
        <w:rPr>
          <w:rFonts w:ascii="Garamond" w:hAnsi="Garamond"/>
          <w:sz w:val="28"/>
          <w:szCs w:val="28"/>
        </w:rPr>
      </w:pPr>
    </w:p>
    <w:p w14:paraId="66BB4DA7" w14:textId="77777777" w:rsidR="00A86BBF" w:rsidRDefault="00A86BBF" w:rsidP="00A86BBF">
      <w:pPr>
        <w:rPr>
          <w:rFonts w:ascii="Garamond" w:hAnsi="Garamond"/>
          <w:sz w:val="28"/>
          <w:szCs w:val="28"/>
        </w:rPr>
      </w:pPr>
    </w:p>
    <w:p w14:paraId="7E18FEB8" w14:textId="77777777" w:rsidR="00A86BBF" w:rsidRDefault="00A86BBF" w:rsidP="00A86BBF">
      <w:pPr>
        <w:rPr>
          <w:rFonts w:ascii="Garamond" w:hAnsi="Garamond"/>
          <w:sz w:val="28"/>
          <w:szCs w:val="28"/>
        </w:rPr>
      </w:pPr>
    </w:p>
    <w:p w14:paraId="7470425D" w14:textId="18F63323" w:rsidR="00A86BBF" w:rsidRDefault="00B41987" w:rsidP="00A86BBF">
      <w:pPr>
        <w:rPr>
          <w:rFonts w:ascii="Garamond" w:hAnsi="Garamond"/>
          <w:sz w:val="28"/>
          <w:szCs w:val="28"/>
        </w:rPr>
      </w:pPr>
      <w:r w:rsidRPr="00B41987">
        <w:rPr>
          <w:rFonts w:ascii="Garamond" w:hAnsi="Garamond"/>
          <w:sz w:val="28"/>
          <w:szCs w:val="28"/>
        </w:rPr>
        <w:lastRenderedPageBreak/>
        <w:drawing>
          <wp:inline distT="0" distB="0" distL="0" distR="0" wp14:anchorId="38148195" wp14:editId="4E5B68E4">
            <wp:extent cx="5731510" cy="1851025"/>
            <wp:effectExtent l="0" t="0" r="2540" b="0"/>
            <wp:docPr id="220584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843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E4D1" w14:textId="77777777" w:rsidR="00B41987" w:rsidRDefault="00B41987" w:rsidP="00A86BBF">
      <w:pPr>
        <w:rPr>
          <w:rFonts w:ascii="Garamond" w:hAnsi="Garamond"/>
          <w:sz w:val="28"/>
          <w:szCs w:val="28"/>
        </w:rPr>
      </w:pPr>
    </w:p>
    <w:p w14:paraId="6B170ED8" w14:textId="0EC04A10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t>Prefix Reports</w:t>
      </w:r>
    </w:p>
    <w:p w14:paraId="70252932" w14:textId="77777777" w:rsidR="00B41987" w:rsidRP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3C2A48E5" w14:textId="2379CB68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  <w:proofErr w:type="spellStart"/>
      <w:r>
        <w:rPr>
          <w:rFonts w:ascii="Garamond" w:hAnsi="Garamond"/>
          <w:b/>
          <w:bCs/>
          <w:sz w:val="28"/>
          <w:szCs w:val="28"/>
        </w:rPr>
        <w:t>Pylint</w:t>
      </w:r>
      <w:proofErr w:type="spellEnd"/>
    </w:p>
    <w:p w14:paraId="6302EE84" w14:textId="730C3DE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  <w:r w:rsidRPr="00B41987">
        <w:rPr>
          <w:rFonts w:ascii="Garamond" w:hAnsi="Garamond"/>
          <w:b/>
          <w:bCs/>
          <w:sz w:val="28"/>
          <w:szCs w:val="28"/>
        </w:rPr>
        <w:drawing>
          <wp:inline distT="0" distB="0" distL="0" distR="0" wp14:anchorId="37AFAFEE" wp14:editId="331298D9">
            <wp:extent cx="5731510" cy="1797685"/>
            <wp:effectExtent l="0" t="0" r="2540" b="0"/>
            <wp:docPr id="128467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673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4E453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7BB79484" w14:textId="5F684E04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t>Flake8</w:t>
      </w:r>
    </w:p>
    <w:p w14:paraId="0B5FAA39" w14:textId="0042DEBF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  <w:r w:rsidRPr="00B41987">
        <w:rPr>
          <w:rFonts w:ascii="Garamond" w:hAnsi="Garamond"/>
          <w:b/>
          <w:bCs/>
          <w:sz w:val="28"/>
          <w:szCs w:val="28"/>
        </w:rPr>
        <w:drawing>
          <wp:inline distT="0" distB="0" distL="0" distR="0" wp14:anchorId="2067FC29" wp14:editId="50418244">
            <wp:extent cx="4962561" cy="1200159"/>
            <wp:effectExtent l="0" t="0" r="0" b="0"/>
            <wp:docPr id="138685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8516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2561" cy="12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2761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36825C98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6BB1B236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1C18161D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66654C6A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098D22FB" w14:textId="04EBD55F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lastRenderedPageBreak/>
        <w:t>Bandit</w:t>
      </w:r>
    </w:p>
    <w:p w14:paraId="04CE9E0B" w14:textId="76703780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  <w:r w:rsidRPr="00B41987">
        <w:rPr>
          <w:rFonts w:ascii="Garamond" w:hAnsi="Garamond"/>
          <w:b/>
          <w:bCs/>
          <w:sz w:val="28"/>
          <w:szCs w:val="28"/>
        </w:rPr>
        <w:drawing>
          <wp:inline distT="0" distB="0" distL="0" distR="0" wp14:anchorId="122C36CA" wp14:editId="24308FDD">
            <wp:extent cx="5731510" cy="6013450"/>
            <wp:effectExtent l="0" t="0" r="2540" b="6350"/>
            <wp:docPr id="2082921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9214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7B131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3E6DE6BE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5904B788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4CEA69DF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220D743C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62D72010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046EAEDB" w14:textId="77777777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3FEB975B" w14:textId="07A8F10B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lastRenderedPageBreak/>
        <w:t>Postfix</w:t>
      </w:r>
    </w:p>
    <w:p w14:paraId="1FFA80A7" w14:textId="4FD4EEA1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t>Bandit</w:t>
      </w:r>
    </w:p>
    <w:p w14:paraId="69410FE9" w14:textId="789720A4" w:rsid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  <w:r w:rsidRPr="00B41987">
        <w:rPr>
          <w:rFonts w:ascii="Garamond" w:hAnsi="Garamond"/>
          <w:b/>
          <w:bCs/>
          <w:sz w:val="28"/>
          <w:szCs w:val="28"/>
        </w:rPr>
        <w:drawing>
          <wp:inline distT="0" distB="0" distL="0" distR="0" wp14:anchorId="58CC2DA3" wp14:editId="2BFF9C02">
            <wp:extent cx="5724567" cy="3114698"/>
            <wp:effectExtent l="0" t="0" r="9525" b="9525"/>
            <wp:docPr id="50971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7123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567" cy="311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37C6" w14:textId="77777777" w:rsidR="00B41987" w:rsidRPr="00B41987" w:rsidRDefault="00B41987" w:rsidP="00A86BBF">
      <w:pPr>
        <w:rPr>
          <w:rFonts w:ascii="Garamond" w:hAnsi="Garamond"/>
          <w:b/>
          <w:bCs/>
          <w:sz w:val="28"/>
          <w:szCs w:val="28"/>
        </w:rPr>
      </w:pPr>
    </w:p>
    <w:p w14:paraId="3437AB25" w14:textId="77777777" w:rsidR="00A86BBF" w:rsidRPr="00204F66" w:rsidRDefault="00A86BBF" w:rsidP="00204F66">
      <w:pPr>
        <w:rPr>
          <w:rFonts w:ascii="Garamond" w:hAnsi="Garamond"/>
          <w:sz w:val="28"/>
          <w:szCs w:val="28"/>
        </w:rPr>
      </w:pPr>
    </w:p>
    <w:sectPr w:rsidR="00A86BBF" w:rsidRPr="00204F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F66"/>
    <w:rsid w:val="001835BD"/>
    <w:rsid w:val="00204F66"/>
    <w:rsid w:val="005E726B"/>
    <w:rsid w:val="00A86BBF"/>
    <w:rsid w:val="00B41987"/>
    <w:rsid w:val="00CD41FB"/>
    <w:rsid w:val="00D0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CCECC"/>
  <w15:chartTrackingRefBased/>
  <w15:docId w15:val="{C0794A2D-E2BF-4107-935B-C26E09940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4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4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4F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4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4F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4F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4F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4F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4F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4F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4F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4F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4F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4F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4F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4F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4F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4F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4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4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4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4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4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4F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4F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4F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4F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4F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4F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CD41FB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419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19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QVedant/L5-society-dues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680</Words>
  <Characters>3879</Characters>
  <Application>Microsoft Office Word</Application>
  <DocSecurity>0</DocSecurity>
  <Lines>32</Lines>
  <Paragraphs>9</Paragraphs>
  <ScaleCrop>false</ScaleCrop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Sharma</dc:creator>
  <cp:keywords/>
  <dc:description/>
  <cp:lastModifiedBy>Vedant Sharma</cp:lastModifiedBy>
  <cp:revision>4</cp:revision>
  <dcterms:created xsi:type="dcterms:W3CDTF">2026-10-27T14:16:00Z</dcterms:created>
  <dcterms:modified xsi:type="dcterms:W3CDTF">2026-10-27T14:31:00Z</dcterms:modified>
</cp:coreProperties>
</file>