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三篇相关论文的核心方法与课题借鉴</w:t>
      </w:r>
    </w:p>
    <w:p>
      <w:r>
        <w:t>文献阅读与研究设计对照    2026年10月26日</w:t>
      </w:r>
    </w:p>
    <w:p>
      <w:r>
        <w:t>本说明面向课题组三名学生，帮助理解三篇论文如何选择输入、组织计算并得到评定结果，进而判断哪些做法可以用于我们的情景库。阅读重点是事件描绘与分级，后续交通处理仅作应用接口。</w:t>
      </w:r>
    </w:p>
    <w:p>
      <w:r>
        <w:rPr>
          <w:b/>
        </w:rPr>
        <w:t xml:space="preserve">总体判断 </w:t>
      </w:r>
      <w:r>
        <w:t>第一篇适合借鉴多条件触发规则，第二篇适合借鉴情景表达与动态更新，第三篇适合借鉴局部拥堵的时空指标。三篇研究的输出含义不同，不能将其等级直接合并或套用于虹桥。</w:t>
      </w:r>
    </w:p>
    <w:p>
      <w:pPr>
        <w:pStyle w:val="Heading2"/>
      </w:pPr>
      <w:r>
        <w:t>阅读对象与核验范围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47"/>
        <w:gridCol w:w="3643"/>
        <w:gridCol w:w="3830"/>
      </w:tblGrid>
      <w:tr>
        <w:trPr>
          <w:cantSplit/>
          <w:tblHeader/>
        </w:trPr>
        <w:tc>
          <w:tcPr>
            <w:tcW w:type="dxa" w:w="2347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E8EDF0"/>
          </w:tcPr>
          <w:p>
            <w:pPr>
              <w:spacing w:after="40" w:line="269" w:lineRule="auto"/>
            </w:pPr>
            <w:r>
              <w:rPr>
                <w:b/>
                <w:color w:val="000000"/>
                <w:sz w:val="21"/>
              </w:rPr>
              <w:t>论文</w:t>
            </w:r>
          </w:p>
        </w:tc>
        <w:tc>
          <w:tcPr>
            <w:tcW w:type="dxa" w:w="3643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E8EDF0"/>
          </w:tcPr>
          <w:p>
            <w:pPr>
              <w:spacing w:after="40" w:line="269" w:lineRule="auto"/>
            </w:pPr>
            <w:r>
              <w:rPr>
                <w:b/>
                <w:color w:val="000000"/>
                <w:sz w:val="21"/>
              </w:rPr>
              <w:t>主要解决的问题</w:t>
            </w:r>
          </w:p>
        </w:tc>
        <w:tc>
          <w:tcPr>
            <w:tcW w:type="dxa" w:w="3830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E8EDF0"/>
          </w:tcPr>
          <w:p>
            <w:pPr>
              <w:spacing w:after="40" w:line="269" w:lineRule="auto"/>
            </w:pPr>
            <w:r>
              <w:rPr>
                <w:b/>
                <w:color w:val="000000"/>
                <w:sz w:val="21"/>
              </w:rPr>
              <w:t>本次核验范围</w:t>
            </w:r>
          </w:p>
        </w:tc>
      </w:tr>
      <w:tr>
        <w:trPr>
          <w:cantSplit/>
        </w:trPr>
        <w:tc>
          <w:tcPr>
            <w:tcW w:type="dxa" w:w="2347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21"/>
              </w:rPr>
              <w:t>第一篇</w:t>
              <w:br/>
              <w:t>突发大客流预警耦发机制</w:t>
            </w:r>
          </w:p>
        </w:tc>
        <w:tc>
          <w:tcPr>
            <w:tcW w:type="dxa" w:w="3643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21"/>
              </w:rPr>
              <w:t>多种信息怎样联合触发预警</w:t>
            </w:r>
          </w:p>
        </w:tc>
        <w:tc>
          <w:tcPr>
            <w:tcW w:type="dxa" w:w="3830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21"/>
              </w:rPr>
              <w:t>期刊书目、公开摘要；未取得完整正文</w:t>
            </w:r>
          </w:p>
        </w:tc>
      </w:tr>
      <w:tr>
        <w:trPr>
          <w:cantSplit/>
        </w:trPr>
        <w:tc>
          <w:tcPr>
            <w:tcW w:type="dxa" w:w="2347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21"/>
              </w:rPr>
              <w:t>第二篇</w:t>
              <w:br/>
              <w:t>铁路事故严重程度动态分级</w:t>
            </w:r>
          </w:p>
        </w:tc>
        <w:tc>
          <w:tcPr>
            <w:tcW w:type="dxa" w:w="3643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21"/>
              </w:rPr>
              <w:t>情景指标怎样组织并随事件更新</w:t>
            </w:r>
          </w:p>
        </w:tc>
        <w:tc>
          <w:tcPr>
            <w:tcW w:type="dxa" w:w="3830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21"/>
              </w:rPr>
              <w:t>出版方摘要、引言与章节预览；未取得完整正文</w:t>
            </w:r>
          </w:p>
        </w:tc>
      </w:tr>
      <w:tr>
        <w:trPr>
          <w:cantSplit/>
        </w:trPr>
        <w:tc>
          <w:tcPr>
            <w:tcW w:type="dxa" w:w="2347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21"/>
              </w:rPr>
              <w:t>第三篇</w:t>
              <w:br/>
              <w:t>车站局部空间拥堵风险评价</w:t>
            </w:r>
          </w:p>
        </w:tc>
        <w:tc>
          <w:tcPr>
            <w:tcW w:type="dxa" w:w="3643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21"/>
              </w:rPr>
              <w:t>哪里拥挤、拥挤持续多久</w:t>
            </w:r>
          </w:p>
        </w:tc>
        <w:tc>
          <w:tcPr>
            <w:tcW w:type="dxa" w:w="3830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21"/>
              </w:rPr>
              <w:t>公开全文5页，期刊第31至35页</w:t>
            </w:r>
          </w:p>
        </w:tc>
      </w:tr>
    </w:tbl>
    <w:p/>
    <w:p>
      <w:pPr>
        <w:pStyle w:val="Heading2"/>
      </w:pPr>
      <w:r>
        <w:t>先区分三个概念</w:t>
      </w:r>
    </w:p>
    <w:p>
      <w:r>
        <w:rPr>
          <w:b/>
        </w:rPr>
        <w:t xml:space="preserve">处置紧迫程度 </w:t>
      </w:r>
      <w:r>
        <w:t>回答还剩多少准备时间、是否需要马上行动。这是我们现有主等级的主要含义。少量旅客也可能因时间不足而需要紧急准备。</w:t>
      </w:r>
    </w:p>
    <w:p>
      <w:r>
        <w:rPr>
          <w:b/>
        </w:rPr>
        <w:t xml:space="preserve">影响严重程度 </w:t>
      </w:r>
      <w:r>
        <w:t>回答事件造成或可能造成多大影响。第二篇研究铁路事故的严重程度，不能把它自动理解为准备时间等级。</w:t>
      </w:r>
    </w:p>
    <w:p>
      <w:r>
        <w:rPr>
          <w:b/>
        </w:rPr>
        <w:t xml:space="preserve">局部拥堵风险 </w:t>
      </w:r>
      <w:r>
        <w:t>回答某个区域在人流密度、速度和持续时间方面是否存在问题。第三篇的判断对象是车站局部空间，不能用全站总人数直接替代。</w:t>
      </w:r>
    </w:p>
    <w:p>
      <w:r>
        <w:t>各篇“可借鉴内容”均为本课题的分析建议，不是论文作者对我们方案的验证。除文中明确列明外，不采用尚未核实的具体阈值、权重或算法性能数值。</w:t>
      </w:r>
    </w:p>
    <w:p>
      <w:pPr>
        <w:pStyle w:val="Heading1"/>
        <w:pageBreakBefore/>
      </w:pPr>
      <w:r>
        <w:t>第一篇 突发大客流预警耦发机制</w:t>
      </w:r>
    </w:p>
    <w:p>
      <w:r>
        <w:rPr>
          <w:b/>
        </w:rPr>
        <w:t xml:space="preserve">文献信息 </w:t>
      </w:r>
      <w:r>
        <w:t>马成正．城轨运营突发大客流预警耦发机制研究．地下空间与工程学报，2025，21（2）：648—653。[1]</w:t>
      </w:r>
    </w:p>
    <w:p>
      <w:pPr>
        <w:pStyle w:val="Heading2"/>
      </w:pPr>
      <w:r>
        <w:t>核心论点</w:t>
      </w:r>
    </w:p>
    <w:p>
      <w:r>
        <w:t>该研究主张，突发大客流预警需要将自动售检票数据与视频监测信息结合，建立双维度耦合触发机制和判定矩阵，而不是仅凭人工巡查发现异常。论文以南京地铁智能预警平台为例讨论机制的应用。[1]</w:t>
      </w:r>
    </w:p>
    <w:p>
      <w:pPr>
        <w:pStyle w:val="Heading2"/>
      </w:pPr>
      <w:r>
        <w:t>核心技术与方法</w:t>
      </w:r>
    </w:p>
    <w:p>
      <w:r>
        <w:rPr>
          <w:b/>
        </w:rPr>
        <w:t xml:space="preserve">信息输入 </w:t>
      </w:r>
      <w:r>
        <w:t>使用自动售检票和智能视频识别相关信息。前者记录旅客进出站活动，后者用于现场人流监测；二者能够提供不同观察角度。</w:t>
      </w:r>
    </w:p>
    <w:p>
      <w:r>
        <w:rPr>
          <w:b/>
        </w:rPr>
        <w:t xml:space="preserve">联合判定 </w:t>
      </w:r>
      <w:r>
        <w:t>通过触发矩阵组织条件组合，并给出分级预警。“矩阵”可以理解为条件对照表：不同条件同时出现时，落入不同判定结果。</w:t>
      </w:r>
    </w:p>
    <w:p>
      <w:r>
        <w:rPr>
          <w:b/>
        </w:rPr>
        <w:t xml:space="preserve">核验边界 </w:t>
      </w:r>
      <w:r>
        <w:t>摘要未提供两维的完整定义、阈值表、风险概率公式和完整误报漏报结果，因此本说明不重建原论文的判定矩阵，也不声称已经复现该模型。</w:t>
      </w:r>
    </w:p>
    <w:p>
      <w:pPr>
        <w:pStyle w:val="Heading2"/>
      </w:pPr>
      <w:r>
        <w:t>我们的课题可以借鉴什么</w:t>
      </w:r>
    </w:p>
    <w:p>
      <w:r>
        <w:t>可借鉴其把条件组合写明的做法。我们可以将“异常已核实与否”“是否存在直接危险”“当前剩余时间是否足够准备”“客流目标是否有缺口”列成规则表，让每一条提示都有对应条件。此处的条件名称来自我们的方案，不是对该论文两维的转写。</w:t>
      </w:r>
    </w:p>
    <w:p>
      <w:r>
        <w:t>在演示平台中，先显示触发理由，再显示研究提示等级。例如，我们的合成条件为预计5至30分钟后开始、准备需要20分钟，应说明最早时点可能来不及准备，主提示较紧迫，同时保留可能等级。这个例子用于解释我们的规则，不是论文案例。</w:t>
      </w:r>
    </w:p>
    <w:p>
      <w:r>
        <w:t>借鉴后应检查每条规则的覆盖范围：某项未知时能否继续判断，多个条件冲突时谁优先，条件改变后旧结果是否失效。可以利用现有情景卡逐条检查，不必先接入运营平台。</w:t>
      </w:r>
    </w:p>
    <w:p>
      <w:pPr>
        <w:pStyle w:val="Heading2"/>
      </w:pPr>
      <w:r>
        <w:t>暂不直接采用的内容</w:t>
      </w:r>
    </w:p>
    <w:p>
      <w:r>
        <w:t>真实地铁平台的数据接口、数值阈值和概率定义均不能从摘要推定。我们当前的等级范围只是不同输入条件下的可能结果，不等于具有统计意义的发生概率。</w:t>
      </w:r>
    </w:p>
    <w:p>
      <w:pPr>
        <w:spacing w:after="100"/>
      </w:pPr>
      <w:hyperlink r:id="rId11">
        <w:r>
          <w:rPr>
            <w:color w:val="245A78"/>
            <w:u w:val="single"/>
          </w:rPr>
          <w:t>第一篇期刊页面及来源</w:t>
        </w:r>
      </w:hyperlink>
    </w:p>
    <w:p>
      <w:pPr>
        <w:pStyle w:val="Heading1"/>
        <w:pageBreakBefore/>
      </w:pPr>
      <w:r>
        <w:t>第二篇 铁路事故严重程度动态分级</w:t>
      </w:r>
    </w:p>
    <w:p>
      <w:r>
        <w:rPr>
          <w:b/>
        </w:rPr>
        <w:t xml:space="preserve">文献信息 </w:t>
      </w:r>
      <w:r>
        <w:t>Shi等，2023，Reliability Engineering &amp; System Safety，233：109132。完整英文题名见文末参考文献。[2]</w:t>
      </w:r>
    </w:p>
    <w:p>
      <w:pPr>
        <w:pStyle w:val="Heading2"/>
      </w:pPr>
      <w:r>
        <w:t>核心论点</w:t>
      </w:r>
    </w:p>
    <w:p>
      <w:r>
        <w:t>该研究将情景构建用于事故分级：先规范表达事故状态与指标，再用改进的密度峰值聚类方法评估严重程度，并随事件阶段更新判断。论文提出基于知识元的五维表达，使用英国2010至2021年的铁路事故资料开展研究。[2]</w:t>
      </w:r>
    </w:p>
    <w:p>
      <w:pPr>
        <w:pStyle w:val="Heading2"/>
      </w:pPr>
      <w:r>
        <w:t>核心技术与方法</w:t>
      </w:r>
    </w:p>
    <w:p>
      <w:r>
        <w:rPr>
          <w:b/>
        </w:rPr>
        <w:t xml:space="preserve">情景表达 </w:t>
      </w:r>
      <w:r>
        <w:t>“知识元”在这里用于规范描述情景信息。可先将其理解为按统一结构记录事实和特征；由于全文未取得，本说明不列该论文五个维度的具体名称，也不假定它们与我们的五维相同。</w:t>
      </w:r>
    </w:p>
    <w:p>
      <w:r>
        <w:rPr>
          <w:b/>
        </w:rPr>
        <w:t xml:space="preserve">改进密度峰值聚类 </w:t>
      </w:r>
      <w:r>
        <w:t>聚类将特征相近的样本归组；密度峰值方法寻找较密集区域中的代表点。论文以近邻和拐点改进局部密度计算、中心选择和样本分配。“近邻”即特征较相似的样本；具体距离定义与参数仍需核正文。</w:t>
      </w:r>
    </w:p>
    <w:p>
      <w:r>
        <w:rPr>
          <w:b/>
        </w:rPr>
        <w:t xml:space="preserve">动态更新 </w:t>
      </w:r>
      <w:r>
        <w:t>事故发展后，输入状态改变，分级也随之更新。其目标是事故过程中的严重程度判断，不能直接视作我们的紧迫程度计算。</w:t>
      </w:r>
    </w:p>
    <w:p>
      <w:pPr>
        <w:pStyle w:val="Heading2"/>
      </w:pPr>
      <w:r>
        <w:t>我们的课题可以借鉴什么</w:t>
      </w:r>
    </w:p>
    <w:p>
      <w:r>
        <w:t>第一，先把情景表达与评定算法分开。情景库应清楚记录每个字段的含义、单位、来源和评估时点，再由评定规则读取。这样以后即使更换算法，已经整理的情景仍可复用。</w:t>
      </w:r>
    </w:p>
    <w:p>
      <w:r>
        <w:t>第二，将同一事件保存为多个时间版本。例如最初不知道人数，随后得到人数范围，再确认服务受限，应保留每次已知的信息和修改内容，防止用事后资料倒填早期情景。现有版本保存功能可用于这种记录，但还不能称为自动预测事件演化。</w:t>
      </w:r>
    </w:p>
    <w:p>
      <w:r>
        <w:t>第三，可以将聚类保留为后续对照方法。先取得足够多、口径一致的真实或明确构造的样本，再检查分组是否稳定、能否解释。我们现有合成卡可以做机制实验，不能充当真实训练数据或证明真实分级准确率。</w:t>
      </w:r>
    </w:p>
    <w:p>
      <w:pPr>
        <w:pStyle w:val="Heading2"/>
      </w:pPr>
      <w:r>
        <w:t>对创新表述的影响</w:t>
      </w:r>
    </w:p>
    <w:p>
      <w:r>
        <w:t>已有研究采用五维情景表达，因此“五个维度”这一数量本身不足以证明创新。我们的候选贡献需要落在具体字段口径、准备窗口判断、未知信息保留及等级解释上，并通过对照检验说明价值；目前不能据此认定优于该论文。</w:t>
      </w:r>
    </w:p>
    <w:p>
      <w:pPr>
        <w:spacing w:after="100"/>
      </w:pPr>
      <w:hyperlink r:id="rId12">
        <w:r>
          <w:rPr>
            <w:color w:val="245A78"/>
            <w:u w:val="single"/>
          </w:rPr>
          <w:t>第二篇出版方摘要与章节预览</w:t>
        </w:r>
      </w:hyperlink>
    </w:p>
    <w:p>
      <w:pPr>
        <w:pStyle w:val="Heading1"/>
        <w:pageBreakBefore/>
      </w:pPr>
      <w:r>
        <w:t>第三篇 车站局部空间拥堵风险评价</w:t>
      </w:r>
    </w:p>
    <w:p>
      <w:r>
        <w:rPr>
          <w:b/>
        </w:rPr>
        <w:t xml:space="preserve">文献信息 </w:t>
      </w:r>
      <w:r>
        <w:t>田思琪等．城市轨道交通车站局部空间拥堵风险等级评价方法研究．城市轨道交通研究，2019，22（3）：31—35。[3]</w:t>
      </w:r>
    </w:p>
    <w:p>
      <w:pPr>
        <w:pStyle w:val="Heading2"/>
      </w:pPr>
      <w:r>
        <w:t>核心论点</w:t>
      </w:r>
    </w:p>
    <w:p>
      <w:r>
        <w:t>论文认为，单个时刻的拥挤程度和长时段平均值都不足以完整描述局部拥堵，应同时考虑空间分布与持续时长。它以广州地铁杨箕站为例，将局部拥堵识别与时间占比结合，用于空间改善分析。[3，第31至35页]</w:t>
      </w:r>
    </w:p>
    <w:p>
      <w:pPr>
        <w:pStyle w:val="Heading2"/>
      </w:pPr>
      <w:r>
        <w:t>核心技术与方法</w:t>
      </w:r>
    </w:p>
    <w:p>
      <w:r>
        <w:rPr>
          <w:b/>
        </w:rPr>
        <w:t xml:space="preserve">时空指标 </w:t>
      </w:r>
      <w:r>
        <w:t>包括平均密度、平均速度的空间分布、瞬时密度及高于指定密度的持续时间。结合密度、速度和流线识别拥挤区域，避免仅看全站均值。[3，第32页]</w:t>
      </w:r>
    </w:p>
    <w:p>
      <w:r>
        <w:rPr>
          <w:b/>
        </w:rPr>
        <w:t xml:space="preserve">时长占比 </w:t>
      </w:r>
      <w:r>
        <w:t>统计达到某服务水平的时间比例，并结合高密度、低速度条件判断拥堵。文中的“概率”按仿真时段内的持续时间占比计算，不是未来突发事件的预测概率。[3，第33页]</w:t>
      </w:r>
    </w:p>
    <w:p>
      <w:r>
        <w:rPr>
          <w:b/>
        </w:rPr>
        <w:t xml:space="preserve">仿真技术 </w:t>
      </w:r>
      <w:r>
        <w:t>使用PedAge行人仿真，以改进路径搜索确定路线、社会力方法描述行人的运动与避让，并结合事件流程。案例中1小时内最拥挤服务水平持续18分钟，占30%，仅反映特定仿真条件。[3，第33至34页]</w:t>
      </w:r>
    </w:p>
    <w:p>
      <w:pPr>
        <w:pStyle w:val="Heading2"/>
      </w:pPr>
      <w:r>
        <w:t>我们的课题可以借鉴什么</w:t>
      </w:r>
    </w:p>
    <w:p>
      <w:r>
        <w:t>可以在现有候客峰值之外增加“超过所设候客上限持续多久”。同样峰值若只短暂出现，或持续很久，过程画像会不同。该指标应先作为补充画像，与现有主等级并列；不能未经验证就提高或降低紧迫等级。</w:t>
      </w:r>
    </w:p>
    <w:p>
      <w:r>
        <w:t>必须分清两种持续时间。我们的“旅客进入持续时间”是第一批到最后一批进入的时长；论文关注的“拥堵持续时间”是某区域维持指定拥挤状态多久。前者是需求输入，后者是运行过程的输出，不能互相替换。</w:t>
      </w:r>
    </w:p>
    <w:p>
      <w:r>
        <w:t>密度计算需要空间面积及对应区域人数。没有面积和分区资料时，我们只能报告候客人数、峰值或超限时长，不能把全站人数直接换算为局部密度，更不能据此套用论文的服务水平标准。</w:t>
      </w:r>
    </w:p>
    <w:p>
      <w:pPr>
        <w:pStyle w:val="Heading2"/>
      </w:pPr>
      <w:r>
        <w:t>学生阶段可采用的验证方式</w:t>
      </w:r>
    </w:p>
    <w:p>
      <w:r>
        <w:t>固定人数、能力和控制目标，改变进入节奏，比较峰值与超限时长是否同时变化；再固定其余条件，改变能力，检查指标响应。这属于我们自己的条件实验，不要求复制论文的实地调查或完整行人平台。</w:t>
      </w:r>
    </w:p>
    <w:p>
      <w:pPr>
        <w:spacing w:after="100"/>
      </w:pPr>
      <w:hyperlink r:id="rId13">
        <w:r>
          <w:rPr>
            <w:color w:val="245A78"/>
            <w:u w:val="single"/>
          </w:rPr>
          <w:t>第三篇期刊入口</w:t>
        </w:r>
      </w:hyperlink>
    </w:p>
    <w:p>
      <w:pPr>
        <w:spacing w:after="100"/>
      </w:pPr>
      <w:hyperlink r:id="rId14">
        <w:r>
          <w:rPr>
            <w:color w:val="245A78"/>
            <w:u w:val="single"/>
          </w:rPr>
          <w:t>第三篇公开全文</w:t>
        </w:r>
      </w:hyperlink>
    </w:p>
    <w:p>
      <w:pPr>
        <w:pStyle w:val="Heading1"/>
        <w:pageBreakBefore/>
      </w:pPr>
      <w:r>
        <w:t>综合借鉴与研究边界</w:t>
      </w:r>
    </w:p>
    <w:p>
      <w:pPr>
        <w:pStyle w:val="Heading2"/>
      </w:pPr>
      <w:r>
        <w:t>借鉴怎样落到现有工作中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440"/>
        <w:gridCol w:w="4104"/>
        <w:gridCol w:w="4277"/>
      </w:tblGrid>
      <w:tr>
        <w:trPr>
          <w:cantSplit/>
          <w:tblHeader/>
        </w:trPr>
        <w:tc>
          <w:tcPr>
            <w:tcW w:type="dxa" w:w="1440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E8EDF0"/>
          </w:tcPr>
          <w:p>
            <w:pPr>
              <w:spacing w:after="40" w:line="269" w:lineRule="auto"/>
            </w:pPr>
            <w:r>
              <w:rPr>
                <w:b/>
                <w:color w:val="000000"/>
                <w:sz w:val="21"/>
              </w:rPr>
              <w:t>工作环节</w:t>
            </w:r>
          </w:p>
        </w:tc>
        <w:tc>
          <w:tcPr>
            <w:tcW w:type="dxa" w:w="4104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E8EDF0"/>
          </w:tcPr>
          <w:p>
            <w:pPr>
              <w:spacing w:after="40" w:line="269" w:lineRule="auto"/>
            </w:pPr>
            <w:r>
              <w:rPr>
                <w:b/>
                <w:color w:val="000000"/>
                <w:sz w:val="21"/>
              </w:rPr>
              <w:t>建议形成的成果</w:t>
            </w:r>
          </w:p>
        </w:tc>
        <w:tc>
          <w:tcPr>
            <w:tcW w:type="dxa" w:w="4277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E8EDF0"/>
          </w:tcPr>
          <w:p>
            <w:pPr>
              <w:spacing w:after="40" w:line="269" w:lineRule="auto"/>
            </w:pPr>
            <w:r>
              <w:rPr>
                <w:b/>
                <w:color w:val="000000"/>
                <w:sz w:val="21"/>
              </w:rPr>
              <w:t>怎样检查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21"/>
              </w:rPr>
              <w:t>参数组织</w:t>
            </w:r>
          </w:p>
        </w:tc>
        <w:tc>
          <w:tcPr>
            <w:tcW w:type="dxa" w:w="4104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21"/>
              </w:rPr>
              <w:t>字段字典和来源记录；相同事件保留不同信息版本</w:t>
            </w:r>
          </w:p>
        </w:tc>
        <w:tc>
          <w:tcPr>
            <w:tcW w:type="dxa" w:w="4277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21"/>
              </w:rPr>
              <w:t>单位一致，未知不填0，事后事实不倒填早期预测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21"/>
              </w:rPr>
              <w:t>主等级评定</w:t>
            </w:r>
          </w:p>
        </w:tc>
        <w:tc>
          <w:tcPr>
            <w:tcW w:type="dxa" w:w="4104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21"/>
              </w:rPr>
              <w:t>触发条件表和优先顺序；输出准备窗口及理由</w:t>
            </w:r>
          </w:p>
        </w:tc>
        <w:tc>
          <w:tcPr>
            <w:tcW w:type="dxa" w:w="4277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21"/>
              </w:rPr>
              <w:t>危险或已知超限不因缺参消失，时间边界不漏可能等级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21"/>
              </w:rPr>
              <w:t>过程画像</w:t>
            </w:r>
          </w:p>
        </w:tc>
        <w:tc>
          <w:tcPr>
            <w:tcW w:type="dxa" w:w="4104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21"/>
              </w:rPr>
              <w:t>保留人数、峰值与截止剩余；补充超限时长</w:t>
            </w:r>
          </w:p>
        </w:tc>
        <w:tc>
          <w:tcPr>
            <w:tcW w:type="dxa" w:w="4277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21"/>
              </w:rPr>
              <w:t>相同峰值但持续不同的情景能够被区分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21"/>
              </w:rPr>
              <w:t>方法比较</w:t>
            </w:r>
          </w:p>
        </w:tc>
        <w:tc>
          <w:tcPr>
            <w:tcW w:type="dxa" w:w="4104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21"/>
              </w:rPr>
              <w:t>规则结果、条件敏感性和适用范围对照</w:t>
            </w:r>
          </w:p>
        </w:tc>
        <w:tc>
          <w:tcPr>
            <w:tcW w:type="dxa" w:w="4277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</w:tcPr>
          <w:p>
            <w:pPr>
              <w:spacing w:after="40" w:line="269" w:lineRule="auto"/>
            </w:pPr>
            <w:r>
              <w:rPr>
                <w:b w:val="0"/>
                <w:color w:val="000000"/>
                <w:sz w:val="21"/>
              </w:rPr>
              <w:t>说明哪项输入改变了什么，不把程序通过写成真实准确率</w:t>
            </w:r>
          </w:p>
        </w:tc>
      </w:tr>
    </w:tbl>
    <w:p/>
    <w:p>
      <w:r>
        <w:t>以上均为本课题的研究设计建议。现有演示已具备参数录入、条件评定、证据记录、版本和比较功能；其中超限时长等建议不在本说明中声称已经实现。后续交通排班继续作为应用模块。</w:t>
      </w:r>
    </w:p>
    <w:p>
      <w:pPr>
        <w:pStyle w:val="Heading2"/>
      </w:pPr>
      <w:r>
        <w:t>可以怎样向导师说明</w:t>
      </w:r>
    </w:p>
    <w:p>
      <w:r>
        <w:t>我们参考预警触发、事故动态分级和局部拥堵评价三类研究，分别借鉴条件组合、规范情景表达和时空指标。当前模型先判断准备是否紧迫，同时保留客流压力和未知信息；后续通过成对情景和不同规则的对照，检验这种组织方式是否有实际解释价值。</w:t>
      </w:r>
    </w:p>
    <w:p>
      <w:pPr>
        <w:pStyle w:val="Heading2"/>
      </w:pPr>
      <w:r>
        <w:t>参考文献与原文定位</w:t>
      </w:r>
    </w:p>
    <w:p>
      <w:r>
        <w:t>[1] 马成正．城轨运营突发大客流预警耦发机制研究[J]．地下空间与工程学报，2025，21（2）：648—653．DOI：10.20174/j.JUSE.2025.02.32。已核书目和公开摘要；完整触发矩阵、阈值及概率公式未取得。</w:t>
      </w:r>
    </w:p>
    <w:p>
      <w:r>
        <w:t>[2] Shi L, Yang X, Chang X, Wu J, Sun H. An improved density peaks clustering algorithm based on k nearest neighbors and turning point for evaluating the severity of railway accidents[J]. Reliability Engineering &amp; System Safety, 2023, 233: 109132. DOI: 10.1016/j.ress.2023.109132。已核出版方摘要、引言和章节预览；五维具体字段、算法完整公式及实验复现未核。</w:t>
      </w:r>
    </w:p>
    <w:p>
      <w:r>
        <w:t>[3] 田思琪等．城市轨道交通车站局部空间拥堵风险等级评价方法研究[J]．城市轨道交通研究，2019，22（3）：31—35．DOI：10.16037/j.1007-869x.2019.03.008。已核5页全文；第32页为时空指标，第33页为时长占比与仿真方法，第34至35页为杨箕站案例及结论。</w:t>
      </w:r>
    </w:p>
    <w:p>
      <w:r>
        <w:t>核查日期为2026年10月26日。本文不主张已复现三篇方法，不据摘要补写缺失的技术细节；论文中的地区、设施与参数条件均需重新核定后才能用于实际应用。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虹桥枢纽情景库与事件评估研究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100"/>
    </w:pPr>
    <w:rPr>
      <w:rFonts w:ascii="Times New Roman" w:hAnsi="Times New Roman" w:eastAsia="宋体"/>
      <w:b w:val="0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Times New Roman" w:hAnsi="Times New Roman" w:eastAsia="宋体"/>
      <w:b w:val="0"/>
      <w:color w:val="000000"/>
      <w:sz w:val="23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宋体"/>
      <w:b w:val="0"/>
      <w:bCs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xkjxb.cqu.edu.cn/CN/10.20174/j.JUSE.2025.02.32" TargetMode="External"/><Relationship Id="rId12" Type="http://schemas.openxmlformats.org/officeDocument/2006/relationships/hyperlink" Target="https://www.sciencedirect.com/science/article/pii/S0951832023000479" TargetMode="External"/><Relationship Id="rId13" Type="http://schemas.openxmlformats.org/officeDocument/2006/relationships/hyperlink" Target="https://umt1998.tongji.edu.cn/article/doi/10.16037/j.1007-869x.2019.03.008" TargetMode="External"/><Relationship Id="rId14" Type="http://schemas.openxmlformats.org/officeDocument/2006/relationships/hyperlink" Target="https://umt1998.tongji.edu.cn/cn/article/pdf/preview/10.16037/j.1007-869x.2019.03.008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三篇相关论文的核心方法与课题借鉴</dc:title>
  <dc:subject>虹桥枢纽情景库与事件评估相关文献阅读说明</dc:subject>
  <dc:creator>课题组</dc:creator>
  <cp:keywords>情景表达 动态分级 预警触发 拥堵风险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