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三篇相关论文的核心观点与技术方法</w:t>
      </w:r>
    </w:p>
    <w:p>
      <w:r>
        <w:t>情景库与事件评估课题阅读说明    2026年10月26日</w:t>
      </w:r>
    </w:p>
    <w:p>
      <w:r>
        <w:t>本说明按研究背景、核心思想、主要结论、技术方法、实验验证和逻辑链条逐篇整理，并将本课题可借鉴的内容单列。公式中的符号均附含义，英文方法名称保留原称并作中文解释。</w:t>
      </w:r>
    </w:p>
    <w:p>
      <w:pPr>
        <w:pStyle w:val="Heading2"/>
      </w:pPr>
      <w:r>
        <w:t>文献与材料范围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63"/>
        <w:gridCol w:w="3067"/>
        <w:gridCol w:w="4190"/>
      </w:tblGrid>
      <w:tr>
        <w:trPr>
          <w:cantSplit/>
          <w:tblHeader/>
        </w:trPr>
        <w:tc>
          <w:tcPr>
            <w:tcW w:type="dxa" w:w="2563"/>
            <w:vAlign w:val="center"/>
            <w:tcMar>
              <w:top w:w="95" w:type="dxa"/>
              <w:bottom w:w="95" w:type="dxa"/>
              <w:left w:w="95" w:type="dxa"/>
              <w:right w:w="95" w:type="dxa"/>
            </w:tcMar>
            <w:shd w:fill="E8EDF0"/>
          </w:tcPr>
          <w:p>
            <w:pPr>
              <w:spacing w:after="40" w:line="269" w:lineRule="auto"/>
            </w:pPr>
            <w:r>
              <w:rPr>
                <w:b/>
                <w:color w:val="000000"/>
                <w:sz w:val="21"/>
              </w:rPr>
              <w:t>论文</w:t>
            </w:r>
          </w:p>
        </w:tc>
        <w:tc>
          <w:tcPr>
            <w:tcW w:type="dxa" w:w="3067"/>
            <w:vAlign w:val="center"/>
            <w:tcMar>
              <w:top w:w="95" w:type="dxa"/>
              <w:bottom w:w="95" w:type="dxa"/>
              <w:left w:w="95" w:type="dxa"/>
              <w:right w:w="95" w:type="dxa"/>
            </w:tcMar>
            <w:shd w:fill="E8EDF0"/>
          </w:tcPr>
          <w:p>
            <w:pPr>
              <w:spacing w:after="40" w:line="269" w:lineRule="auto"/>
            </w:pPr>
            <w:r>
              <w:rPr>
                <w:b/>
                <w:color w:val="000000"/>
                <w:sz w:val="21"/>
              </w:rPr>
              <w:t>材料范围</w:t>
            </w:r>
          </w:p>
        </w:tc>
        <w:tc>
          <w:tcPr>
            <w:tcW w:type="dxa" w:w="4190"/>
            <w:vAlign w:val="center"/>
            <w:tcMar>
              <w:top w:w="95" w:type="dxa"/>
              <w:bottom w:w="95" w:type="dxa"/>
              <w:left w:w="95" w:type="dxa"/>
              <w:right w:w="95" w:type="dxa"/>
            </w:tcMar>
            <w:shd w:fill="E8EDF0"/>
          </w:tcPr>
          <w:p>
            <w:pPr>
              <w:spacing w:after="40" w:line="269" w:lineRule="auto"/>
            </w:pPr>
            <w:r>
              <w:rPr>
                <w:b/>
                <w:color w:val="000000"/>
                <w:sz w:val="21"/>
              </w:rPr>
              <w:t>使用方式</w:t>
            </w:r>
          </w:p>
        </w:tc>
      </w:tr>
      <w:tr>
        <w:trPr>
          <w:cantSplit/>
        </w:trPr>
        <w:tc>
          <w:tcPr>
            <w:tcW w:type="dxa" w:w="2563"/>
            <w:vAlign w:val="center"/>
            <w:tcMar>
              <w:top w:w="95" w:type="dxa"/>
              <w:bottom w:w="95" w:type="dxa"/>
              <w:left w:w="95" w:type="dxa"/>
              <w:right w:w="95" w:type="dxa"/>
            </w:tcMar>
            <w:shd w:fill="FFFFFF"/>
          </w:tcPr>
          <w:p>
            <w:pPr>
              <w:spacing w:after="40" w:line="269" w:lineRule="auto"/>
            </w:pPr>
            <w:r>
              <w:rPr>
                <w:b w:val="0"/>
                <w:color w:val="000000"/>
                <w:sz w:val="21"/>
              </w:rPr>
              <w:t>第一篇</w:t>
              <w:br/>
              <w:t>城轨运营突发大客流预警耦发机制研究</w:t>
            </w:r>
          </w:p>
        </w:tc>
        <w:tc>
          <w:tcPr>
            <w:tcW w:type="dxa" w:w="3067"/>
            <w:vAlign w:val="center"/>
            <w:tcMar>
              <w:top w:w="95" w:type="dxa"/>
              <w:bottom w:w="95" w:type="dxa"/>
              <w:left w:w="95" w:type="dxa"/>
              <w:right w:w="95" w:type="dxa"/>
            </w:tcMar>
            <w:shd w:fill="FFFFFF"/>
          </w:tcPr>
          <w:p>
            <w:pPr>
              <w:spacing w:after="40" w:line="269" w:lineRule="auto"/>
            </w:pPr>
            <w:r>
              <w:rPr>
                <w:b w:val="0"/>
                <w:color w:val="000000"/>
                <w:sz w:val="21"/>
              </w:rPr>
              <w:t>期刊书目与公开摘要</w:t>
            </w:r>
          </w:p>
        </w:tc>
        <w:tc>
          <w:tcPr>
            <w:tcW w:type="dxa" w:w="4190"/>
            <w:vAlign w:val="center"/>
            <w:tcMar>
              <w:top w:w="95" w:type="dxa"/>
              <w:bottom w:w="95" w:type="dxa"/>
              <w:left w:w="95" w:type="dxa"/>
              <w:right w:w="95" w:type="dxa"/>
            </w:tcMar>
            <w:shd w:fill="FFFFFF"/>
          </w:tcPr>
          <w:p>
            <w:pPr>
              <w:spacing w:after="40" w:line="269" w:lineRule="auto"/>
            </w:pPr>
            <w:r>
              <w:rPr>
                <w:b w:val="0"/>
                <w:color w:val="000000"/>
                <w:sz w:val="21"/>
              </w:rPr>
              <w:t>整理已确认的技术路线；不补写尚未取得的矩阵和阈值</w:t>
            </w:r>
          </w:p>
        </w:tc>
      </w:tr>
      <w:tr>
        <w:trPr>
          <w:cantSplit/>
        </w:trPr>
        <w:tc>
          <w:tcPr>
            <w:tcW w:type="dxa" w:w="2563"/>
            <w:vAlign w:val="center"/>
            <w:tcMar>
              <w:top w:w="95" w:type="dxa"/>
              <w:bottom w:w="95" w:type="dxa"/>
              <w:left w:w="95" w:type="dxa"/>
              <w:right w:w="95" w:type="dxa"/>
            </w:tcMar>
            <w:shd w:fill="FFFFFF"/>
          </w:tcPr>
          <w:p>
            <w:pPr>
              <w:spacing w:after="40" w:line="269" w:lineRule="auto"/>
            </w:pPr>
            <w:r>
              <w:rPr>
                <w:b w:val="0"/>
                <w:color w:val="000000"/>
                <w:sz w:val="21"/>
              </w:rPr>
              <w:t>第二篇</w:t>
              <w:br/>
              <w:t>铁路事故严重程度动态分级</w:t>
            </w:r>
          </w:p>
        </w:tc>
        <w:tc>
          <w:tcPr>
            <w:tcW w:type="dxa" w:w="3067"/>
            <w:vAlign w:val="center"/>
            <w:tcMar>
              <w:top w:w="95" w:type="dxa"/>
              <w:bottom w:w="95" w:type="dxa"/>
              <w:left w:w="95" w:type="dxa"/>
              <w:right w:w="95" w:type="dxa"/>
            </w:tcMar>
            <w:shd w:fill="FFFFFF"/>
          </w:tcPr>
          <w:p>
            <w:pPr>
              <w:spacing w:after="40" w:line="269" w:lineRule="auto"/>
            </w:pPr>
            <w:r>
              <w:rPr>
                <w:b w:val="0"/>
                <w:color w:val="000000"/>
                <w:sz w:val="21"/>
              </w:rPr>
              <w:t>出版方摘要及预览，另有本次提供的详细笔记</w:t>
            </w:r>
          </w:p>
        </w:tc>
        <w:tc>
          <w:tcPr>
            <w:tcW w:type="dxa" w:w="4190"/>
            <w:vAlign w:val="center"/>
            <w:tcMar>
              <w:top w:w="95" w:type="dxa"/>
              <w:bottom w:w="95" w:type="dxa"/>
              <w:left w:w="95" w:type="dxa"/>
              <w:right w:w="95" w:type="dxa"/>
            </w:tcMar>
            <w:shd w:fill="FFFFFF"/>
          </w:tcPr>
          <w:p>
            <w:pPr>
              <w:spacing w:after="40" w:line="269" w:lineRule="auto"/>
            </w:pPr>
            <w:r>
              <w:rPr>
                <w:b w:val="0"/>
                <w:color w:val="000000"/>
                <w:sz w:val="21"/>
              </w:rPr>
              <w:t>补充七项指标、公式和实验结构；全文未独立逐项复核</w:t>
            </w:r>
          </w:p>
        </w:tc>
      </w:tr>
      <w:tr>
        <w:trPr>
          <w:cantSplit/>
        </w:trPr>
        <w:tc>
          <w:tcPr>
            <w:tcW w:type="dxa" w:w="2563"/>
            <w:vAlign w:val="center"/>
            <w:tcMar>
              <w:top w:w="95" w:type="dxa"/>
              <w:bottom w:w="95" w:type="dxa"/>
              <w:left w:w="95" w:type="dxa"/>
              <w:right w:w="95" w:type="dxa"/>
            </w:tcMar>
            <w:shd w:fill="FFFFFF"/>
          </w:tcPr>
          <w:p>
            <w:pPr>
              <w:spacing w:after="40" w:line="269" w:lineRule="auto"/>
            </w:pPr>
            <w:r>
              <w:rPr>
                <w:b w:val="0"/>
                <w:color w:val="000000"/>
                <w:sz w:val="21"/>
              </w:rPr>
              <w:t>第三篇</w:t>
              <w:br/>
              <w:t>车站局部空间拥堵风险评价</w:t>
            </w:r>
          </w:p>
        </w:tc>
        <w:tc>
          <w:tcPr>
            <w:tcW w:type="dxa" w:w="3067"/>
            <w:vAlign w:val="center"/>
            <w:tcMar>
              <w:top w:w="95" w:type="dxa"/>
              <w:bottom w:w="95" w:type="dxa"/>
              <w:left w:w="95" w:type="dxa"/>
              <w:right w:w="95" w:type="dxa"/>
            </w:tcMar>
            <w:shd w:fill="FFFFFF"/>
          </w:tcPr>
          <w:p>
            <w:pPr>
              <w:spacing w:after="40" w:line="269" w:lineRule="auto"/>
            </w:pPr>
            <w:r>
              <w:rPr>
                <w:b w:val="0"/>
                <w:color w:val="000000"/>
                <w:sz w:val="21"/>
              </w:rPr>
              <w:t>公开全文第31至35页</w:t>
            </w:r>
          </w:p>
        </w:tc>
        <w:tc>
          <w:tcPr>
            <w:tcW w:type="dxa" w:w="4190"/>
            <w:vAlign w:val="center"/>
            <w:tcMar>
              <w:top w:w="95" w:type="dxa"/>
              <w:bottom w:w="95" w:type="dxa"/>
              <w:left w:w="95" w:type="dxa"/>
              <w:right w:w="95" w:type="dxa"/>
            </w:tcMar>
            <w:shd w:fill="FFFFFF"/>
          </w:tcPr>
          <w:p>
            <w:pPr>
              <w:spacing w:after="40" w:line="269" w:lineRule="auto"/>
            </w:pPr>
            <w:r>
              <w:rPr>
                <w:b w:val="0"/>
                <w:color w:val="000000"/>
                <w:sz w:val="21"/>
              </w:rPr>
              <w:t>据全文整理指标、计算口径与仿真案例</w:t>
            </w:r>
          </w:p>
        </w:tc>
      </w:tr>
    </w:tbl>
    <w:p/>
    <w:p>
      <w:pPr>
        <w:pStyle w:val="Heading2"/>
      </w:pPr>
      <w:r>
        <w:t>与本课题相关的三个问题</w:t>
      </w:r>
    </w:p>
    <w:p>
      <w:r>
        <w:rPr>
          <w:b/>
        </w:rPr>
        <w:t xml:space="preserve">情景怎样记录 </w:t>
      </w:r>
      <w:r>
        <w:t>把对象、指标、取值、时间和证据口径说明白，避免不同事件不能比较，也避免同一事件的信息更新后失去追溯。</w:t>
      </w:r>
    </w:p>
    <w:p>
      <w:r>
        <w:rPr>
          <w:b/>
        </w:rPr>
        <w:t xml:space="preserve">等级怎样产生 </w:t>
      </w:r>
      <w:r>
        <w:t>明确输入如何进入规则、聚类或过程计算，再说明输出代表紧迫程度、事故严重程度还是局部拥堵状态。</w:t>
      </w:r>
    </w:p>
    <w:p>
      <w:r>
        <w:rPr>
          <w:b/>
        </w:rPr>
        <w:t xml:space="preserve">结论怎样验证 </w:t>
      </w:r>
      <w:r>
        <w:t>区分程序计算正确、模型在某个案例上表现较好、实际分级准确三个不同层次。前两者不能自动证明第三者。</w:t>
      </w:r>
    </w:p>
    <w:p>
      <w:r>
        <w:t>第二篇中凡超出公开摘要与预览的具体模型、公式和实验细节，均按所提供笔记整理，未标为已核全文。三篇的“本课题借鉴”均是我们的分析建议，不是论文对现有演示模型的验证。</w:t>
      </w:r>
    </w:p>
    <w:p>
      <w:pPr>
        <w:pStyle w:val="Heading1"/>
        <w:pageBreakBefore/>
        <w:spacing w:before="280"/>
      </w:pPr>
      <w:r>
        <w:t>第一篇 突发大客流预警耦发机制</w:t>
      </w:r>
    </w:p>
    <w:p>
      <w:r>
        <w:rPr>
          <w:b/>
        </w:rPr>
        <w:t xml:space="preserve">论文题目 </w:t>
      </w:r>
      <w:r>
        <w:t>城轨运营突发大客流预警耦发机制研究</w:t>
      </w:r>
    </w:p>
    <w:p>
      <w:r>
        <w:rPr>
          <w:b/>
        </w:rPr>
        <w:t xml:space="preserve">文献信息 </w:t>
      </w:r>
      <w:r>
        <w:t>马成正．地下空间与工程学报，2025，21（2）：648—653．DOI：10.20174/j.JUSE.2025.02.32。[1]</w:t>
      </w:r>
    </w:p>
    <w:p>
      <w:pPr>
        <w:pStyle w:val="Heading2"/>
      </w:pPr>
      <w:r>
        <w:t>一 核心观点</w:t>
      </w:r>
    </w:p>
    <w:p>
      <w:pPr>
        <w:pStyle w:val="Heading3"/>
      </w:pPr>
      <w:r>
        <w:t>1 研究背景与问题</w:t>
      </w:r>
    </w:p>
    <w:p>
      <w:r>
        <w:t>该研究关注突发大客流的主动预警。人工巡查和对特定区域的图像监控难以单独支撑提前判断，因此需要结合不同信息来源。</w:t>
      </w:r>
    </w:p>
    <w:p>
      <w:pPr>
        <w:pStyle w:val="Heading3"/>
      </w:pPr>
      <w:r>
        <w:t>2 核心研究思想</w:t>
      </w:r>
    </w:p>
    <w:p>
      <w:r>
        <w:t>将自动售检票数据与智能视频识别信息结合，通过双维度耦合触发机制和判定矩阵，形成分级预警及客流管控提示。这里的“耦合触发”可理解为联合判断条件，而不是把所有输入简单相加。</w:t>
      </w:r>
    </w:p>
    <w:p>
      <w:pPr>
        <w:pStyle w:val="Heading3"/>
      </w:pPr>
      <w:r>
        <w:t>3 主要结论</w:t>
      </w:r>
    </w:p>
    <w:p>
      <w:r>
        <w:t>论文以南京地铁突发大客流智能预警平台为例报告机制的应用验证。公开摘要支持其研究路线，但未提供足以复现的两维定义、完整矩阵、概率计算式和性能数值。</w:t>
      </w:r>
    </w:p>
    <w:p>
      <w:pPr>
        <w:pStyle w:val="Heading3"/>
      </w:pPr>
      <w:r>
        <w:t>4 论文贡献与可见局限</w:t>
      </w:r>
    </w:p>
    <w:p>
      <w:r>
        <w:t>可确认的贡献是多源信息、条件组合和分级提示之间的连接。对阈值如何标定、误报漏报如何评价及跨车站适用性，当前材料不足以判断；这些属于本次阅读范围的限制，不能据此断言论文没有研究。</w:t>
      </w:r>
    </w:p>
    <w:p>
      <w:pPr>
        <w:pStyle w:val="Heading2"/>
      </w:pPr>
      <w:r>
        <w:t>二 核心技术与方法</w:t>
      </w:r>
    </w:p>
    <w:p>
      <w:pPr>
        <w:pStyle w:val="Heading3"/>
      </w:pPr>
      <w:r>
        <w:t>1 自动售检票数据</w:t>
      </w:r>
    </w:p>
    <w:p>
      <w:r>
        <w:t>自动售检票系统记录旅客进出站活动，为客流变化分析提供信息。“记录量”不等于某个局部区域此刻的人数；若应用到我们的课题，应先明确计数边界与时间窗口。后一项是本课题的数据口径要求。</w:t>
      </w:r>
    </w:p>
    <w:p>
      <w:pPr>
        <w:pStyle w:val="Heading3"/>
      </w:pPr>
      <w:r>
        <w:t>2 智能视频识别</w:t>
      </w:r>
    </w:p>
    <w:p>
      <w:r>
        <w:t>视频信息用于现场人流监测，与售检票记录形成不同的观察角度。具体使用何种视觉算法、输出哪些变量，尚未核到正文，不指定为某一检测模型，也不认定视频结果天然没有误差。</w:t>
      </w:r>
    </w:p>
    <w:p>
      <w:pPr>
        <w:pStyle w:val="Heading3"/>
      </w:pPr>
      <w:r>
        <w:t>3 双维度耦合触发判定矩阵</w:t>
      </w:r>
    </w:p>
    <w:p>
      <w:r>
        <w:t>判定矩阵将条件组合与输出对应起来，适合说明为什么出现某档提示。公开摘要未明确完整两轴，不能直接把它写成“人数轴与密度轴”或“提前量轴与严重度轴”；我们的条件表必须另行说明设计依据。</w:t>
      </w:r>
    </w:p>
    <w:p>
      <w:pPr>
        <w:pStyle w:val="Heading3"/>
      </w:pPr>
      <w:r>
        <w:t>4 分级提示与实验验证</w:t>
      </w:r>
    </w:p>
    <w:p>
      <w:r>
        <w:t>摘要确认采用南京地铁平台案例。当前不填造样本量、准确率、预警提前时间及对比基线，也不以平台应用案例替代对虹桥条件的验证。</w:t>
      </w:r>
    </w:p>
    <w:p>
      <w:pPr>
        <w:pStyle w:val="Heading2"/>
      </w:pPr>
      <w:r>
        <w:t>三 简要逻辑链条</w:t>
      </w:r>
    </w:p>
    <w:p>
      <w:r>
        <w:t>人工发现异常的局限 → 汇集售检票与视频信息 → 联合判定条件 → 形成分级预警 → 平台案例验证与管控提示。</w:t>
      </w:r>
    </w:p>
    <w:p>
      <w:pPr>
        <w:pStyle w:val="Heading2"/>
      </w:pPr>
      <w:r>
        <w:t>四 本课题可借鉴的地方</w:t>
      </w:r>
    </w:p>
    <w:p>
      <w:pPr>
        <w:pStyle w:val="ListBullet"/>
      </w:pPr>
      <w:r>
        <w:t>把异常核实、直接危险、准备余量和客流目标缺口写成明确的条件表，并规定冲突时的优先顺序。此表是我们的设计，不冒称论文原矩阵。</w:t>
      </w:r>
    </w:p>
    <w:p>
      <w:pPr>
        <w:pStyle w:val="ListBullet"/>
      </w:pPr>
      <w:r>
        <w:t>输出等级时同时显示触发原因和待核信息，避免只有一个分数而无法解释。</w:t>
      </w:r>
    </w:p>
    <w:p>
      <w:pPr>
        <w:pStyle w:val="ListBullet"/>
      </w:pPr>
      <w:r>
        <w:t>用同一批情景对照单条件判断与联合条件判断，检查漏掉了哪些情况；不以阈值越多或组合越复杂作为先进性的证明。</w:t>
      </w:r>
    </w:p>
    <w:p>
      <w:pPr>
        <w:spacing w:after="100"/>
      </w:pPr>
      <w:hyperlink r:id="rId11">
        <w:r>
          <w:rPr>
            <w:color w:val="245A78"/>
            <w:u w:val="single"/>
          </w:rPr>
          <w:t>第一篇期刊来源</w:t>
        </w:r>
      </w:hyperlink>
    </w:p>
    <w:p>
      <w:pPr>
        <w:pStyle w:val="Heading1"/>
        <w:pageBreakBefore w:val="0"/>
        <w:spacing w:before="280"/>
      </w:pPr>
      <w:r>
        <w:t>第二篇 铁路事故严重程度动态分级</w:t>
      </w:r>
    </w:p>
    <w:p>
      <w:r>
        <w:rPr>
          <w:b/>
        </w:rPr>
        <w:t xml:space="preserve">论文题目 </w:t>
      </w:r>
      <w:r>
        <w:t>An improved density peaks clustering algorithm based on k nearest neighbors and turning point for evaluating the severity of railway accidents</w:t>
      </w:r>
    </w:p>
    <w:p>
      <w:r>
        <w:rPr>
          <w:b/>
        </w:rPr>
        <w:t xml:space="preserve">中文释义 </w:t>
      </w:r>
      <w:r>
        <w:t>基于近邻与转折点的改进密度峰值聚类用于铁路事故严重程度评估</w:t>
      </w:r>
    </w:p>
    <w:p>
      <w:r>
        <w:rPr>
          <w:b/>
        </w:rPr>
        <w:t xml:space="preserve">文献信息 </w:t>
      </w:r>
      <w:r>
        <w:t>Shi L等．Reliability Engineering &amp; System Safety，2023，233：109132．DOI：10.1016/j.ress.2023.109132。[2]</w:t>
      </w:r>
    </w:p>
    <w:p>
      <w:r>
        <w:rPr>
          <w:b/>
        </w:rPr>
        <w:t xml:space="preserve">材料说明 </w:t>
      </w:r>
      <w:r>
        <w:t>本节的五维具体定义、七项指标、公式、四簇结果和复杂度等细节依据本次提供的笔记补充，未与全文逐项核对；公开摘要可确认情景构建、改进聚类和英国事故数据的总体路线。</w:t>
      </w:r>
    </w:p>
    <w:p>
      <w:pPr>
        <w:pStyle w:val="Heading2"/>
      </w:pPr>
      <w:r>
        <w:t>一 核心观点</w:t>
      </w:r>
    </w:p>
    <w:p>
      <w:pPr>
        <w:pStyle w:val="Heading3"/>
      </w:pPr>
      <w:r>
        <w:t>1 研究背景与问题</w:t>
      </w:r>
    </w:p>
    <w:p>
      <w:r>
        <w:t>铁路事故状态会随事态和应急行动变化，需要在事故过程中更新判断。笔记将主要问题归纳为：静态分级难以适应演化，日常事故缺少明确标签，指标选择不够规范，指标集合与状态更新不足。这里的“标签”是已知的严重程度类别。</w:t>
      </w:r>
    </w:p>
    <w:p>
      <w:pPr>
        <w:pStyle w:val="Heading3"/>
      </w:pPr>
      <w:r>
        <w:t>2 核心研究思想</w:t>
      </w:r>
    </w:p>
    <w:p>
      <w:r>
        <w:t>以“情景—响应”方式描述各时刻事故状态，先规范指标表达，再利用无标签聚类识别严重程度分组，并随新情景信息更新评估。其重点是事故严重程度，不是直接计算准备是否来得及。</w:t>
      </w:r>
    </w:p>
    <w:p>
      <w:pPr>
        <w:pStyle w:val="Heading3"/>
      </w:pPr>
      <w:r>
        <w:t>3 主要结论</w:t>
      </w:r>
    </w:p>
    <w:p>
      <w:r>
        <w:t>公开摘要报告方法用于英国2010至2021年事故资料。所提供笔记进一步记载141起事故、四个聚类簇、与四类算法的比较及动态案例。四个簇还需依据情景分布解释为严重等级，不能仅凭簇编号就确定严重顺序；本说明不补写未提供的性能表数值。</w:t>
      </w:r>
    </w:p>
    <w:p>
      <w:pPr>
        <w:pStyle w:val="Heading3"/>
      </w:pPr>
      <w:r>
        <w:t>4 论文贡献与局限</w:t>
      </w:r>
    </w:p>
    <w:p>
      <w:r>
        <w:t>贡献包括情景组织、聚类算法改进及案例验证。按笔记所述，评估主要读取当前状态，未将历史严重等级充分纳入；当前状态更新与利用历史状态进行预测，是两种不同能力。</w:t>
      </w:r>
    </w:p>
    <w:p>
      <w:pPr>
        <w:pStyle w:val="Heading2"/>
      </w:pPr>
      <w:r>
        <w:t>二 核心技术与方法</w:t>
      </w:r>
    </w:p>
    <w:p>
      <w:pPr>
        <w:pStyle w:val="Heading3"/>
      </w:pPr>
      <w:r>
        <w:t>1 情景建模技术</w:t>
      </w:r>
    </w:p>
    <w:p>
      <w:r>
        <w:rPr>
          <w:b/>
        </w:rPr>
        <w:t xml:space="preserve">情景概念模型 </w:t>
      </w:r>
      <w:r>
        <w:t>按笔记，情景分为致灾体、承灾体和应急措施。致灾体包含自然、人为和技术因素，承灾体包含人员伤亡及设施损毁，应急措施包含人员救援、设施恢复和秩序恢复。三类是要素组织方式，不能当成三个互斥事件类型。</w:t>
      </w:r>
    </w:p>
    <w:p>
      <w:pPr>
        <w:keepNext/>
      </w:pPr>
      <w:r>
        <w:rPr>
          <w:b/>
        </w:rPr>
        <w:t xml:space="preserve">基于知识元的五维表达 </w:t>
      </w:r>
      <w:r>
        <w:t>知识元用于按统一结构描述信息。笔记给出的表达式为：</w:t>
      </w:r>
    </w:p>
    <w:p>
      <w:pPr>
        <w:keepNext/>
        <w:keepLines/>
        <w:spacing w:before="80" w:after="140"/>
        <w:jc w:val="center"/>
      </w:pPr>
      <m:oMath>
        <m:r>
          <m:t>S = (E, K, A, V, T)</m:t>
        </m:r>
      </m:oMath>
    </w:p>
    <w:p>
      <w:r>
        <w:t>其中，E为情景要素含义，K为要素类别，A为属性，V为取值，T为时间。五维是记录结构的五个组成项；实际评价指标可以多于五项。这与我们将信息时间、不确定性、进入期、人数、服务条件作为五个主维度的做法不同。</w:t>
      </w:r>
    </w:p>
    <w:p>
      <w:pPr>
        <w:keepNext/>
      </w:pPr>
      <w:r>
        <w:rPr>
          <w:b/>
        </w:rPr>
        <w:t xml:space="preserve">当前情景到等级的映射 </w:t>
      </w:r>
      <w:r>
        <w:t>笔记以如下关系表示当前时刻的评估：</w:t>
      </w:r>
    </w:p>
    <w:p>
      <w:pPr>
        <w:keepNext/>
        <w:keepLines/>
        <w:spacing w:before="80" w:after="140"/>
        <w:jc w:val="center"/>
      </w:pPr>
      <m:oMath>
        <m:sSub>
          <m:e>
            <m:r>
              <m:t>F</m:t>
            </m:r>
          </m:e>
          <m:sub>
            <m:r>
              <m:t>t</m:t>
            </m:r>
          </m:sub>
        </m:sSub>
        <m:r>
          <m:t> = Φ(</m:t>
        </m:r>
        <m:sSub>
          <m:e>
            <m:r>
              <m:t>S</m:t>
            </m:r>
          </m:e>
          <m:sub>
            <m:r>
              <m:t>t</m:t>
            </m:r>
          </m:sub>
        </m:sSub>
        <m:r>
          <m:t>)</m:t>
        </m:r>
      </m:oMath>
    </w:p>
    <w:p>
      <w:r>
        <w:t>Fₜ表示时刻t的严重程度等级，Sₜ表示该时刻的情景信息，Φ表示评估映射。更新输入后重算等级，不等于模型已经预测了未来事故过程。</w:t>
      </w:r>
    </w:p>
    <w:p>
      <w:r>
        <w:rPr>
          <w:b/>
        </w:rPr>
        <w:t xml:space="preserve">实证采用的七项指标 </w:t>
      </w:r>
      <w:r>
        <w:t>按笔记，指标为时段、事故诱因、天气、救援环境严酷度、车厢损毁、线路基础设施损毁、人员伤亡。它们同时包含环境和后果信息，不能直接替换为我们的疏运输入。</w:t>
      </w:r>
    </w:p>
    <w:p>
      <w:pPr>
        <w:pStyle w:val="Heading3"/>
      </w:pPr>
      <w:r>
        <w:t>2 改进密度峰值聚类算法</w:t>
      </w:r>
    </w:p>
    <w:p>
      <w:r>
        <w:rPr>
          <w:b/>
        </w:rPr>
        <w:t xml:space="preserve">传统方法的问题 </w:t>
      </w:r>
      <w:r>
        <w:t>密度峰值聚类先依据样本密集程度及与更高密度样本的距离识别中心，再分配其余样本。笔记列出三处问题：密度依赖截断距离，中心选取依赖人工，单点错误分配可能继续传播。</w:t>
      </w:r>
    </w:p>
    <w:p>
      <w:pPr>
        <w:keepNext/>
      </w:pPr>
      <w:r>
        <w:rPr>
          <w:b/>
        </w:rPr>
        <w:t xml:space="preserve">用近邻计算局部密度 </w:t>
      </w:r>
      <w:r>
        <w:t>近邻数k表示参与计算的相似样本个数。笔记给出的局部密度式为：</w:t>
      </w:r>
    </w:p>
    <w:p>
      <w:pPr>
        <w:keepNext/>
        <w:keepLines/>
        <w:spacing w:before="80" w:after="140"/>
        <w:jc w:val="center"/>
      </w:pPr>
      <m:oMath>
        <m:sSub>
          <m:e>
            <m:r>
              <m:t>ρ</m:t>
            </m:r>
          </m:e>
          <m:sub>
            <m:r>
              <m:t>i</m:t>
            </m:r>
          </m:sub>
        </m:sSub>
        <m:r>
          <m:t> = </m:t>
        </m:r>
        <m:nary>
          <m:naryPr>
            <m:chr m:val="∑"/>
            <m:limLoc m:val="undOvr"/>
            <m:supHide m:val="1"/>
          </m:naryPr>
          <m:sub>
            <m:r>
              <m:t>j ∈ Nᵏᵢ</m:t>
            </m:r>
          </m:sub>
          <m:sup/>
          <m:e>
            <m:sSup>
              <m:e>
                <m:r>
                  <m:t>e</m:t>
                </m:r>
              </m:e>
              <m:sup>
                <m:sSub>
                  <m:e>
                    <m:r>
                      <m:t>−d</m:t>
                    </m:r>
                  </m:e>
                  <m:sub>
                    <m:r>
                      <m:t>ij</m:t>
                    </m:r>
                  </m:sub>
                </m:sSub>
              </m:sup>
            </m:sSup>
          </m:e>
        </m:nary>
      </m:oMath>
    </w:p>
    <w:p>
      <w:r>
        <w:t>ρᵢ为样本i的局部密度，Nᵏᵢ为其k个近邻，dᵢⱼ为样本间距离。相似样本越接近，对密度贡献越大。距离怎样计算及指标是否标准化会影响结果，不能认为只填k就足以完成整个建模流程。该式按笔记保留，尚未核对原文距离的具体形式。</w:t>
      </w:r>
    </w:p>
    <w:p>
      <w:pPr>
        <w:keepNext/>
      </w:pPr>
      <w:r>
        <w:rPr>
          <w:b/>
        </w:rPr>
        <w:t xml:space="preserve">用转折点识别聚类中心 </w:t>
      </w:r>
      <w:r>
        <w:t>笔记先标准化密度ρ与距离δ，再计算中心权重：</w:t>
      </w:r>
    </w:p>
    <w:p>
      <w:pPr>
        <w:keepNext/>
        <w:keepLines/>
        <w:spacing w:before="80" w:after="140"/>
        <w:jc w:val="center"/>
      </w:pPr>
      <m:oMath>
        <m:sSub>
          <m:e>
            <m:r>
              <m:t>γ</m:t>
            </m:r>
          </m:e>
          <m:sub>
            <m:r>
              <m:t>i</m:t>
            </m:r>
          </m:sub>
        </m:sSub>
        <m:r>
          <m:t> = </m:t>
        </m:r>
        <m:sSub>
          <m:e>
            <m:r>
              <m:t>ρ</m:t>
            </m:r>
          </m:e>
          <m:sub>
            <m:r>
              <m:t>i</m:t>
            </m:r>
          </m:sub>
        </m:sSub>
        <m:r>
          <m:t> × </m:t>
        </m:r>
        <m:sSub>
          <m:e>
            <m:r>
              <m:t>δ</m:t>
            </m:r>
          </m:e>
          <m:sub>
            <m:r>
              <m:t>i</m:t>
            </m:r>
          </m:sub>
        </m:sSub>
      </m:oMath>
    </w:p>
    <w:p>
      <w:r>
        <w:t>γᵢ越大，样本越可能是中心。δᵢ在传统方法中通常表示到最近更高密度样本的距离，最高密度点另作处理。将权重降序排列，寻找下降趋势由陡变缓的位置，并据此选择中心。“转折点”是排序曲线的形态变化，不是事故严重程度的业务阈值；完整变化率公式及特殊点处理仍需核正文。</w:t>
      </w:r>
    </w:p>
    <w:p>
      <w:r>
        <w:rPr>
          <w:b/>
        </w:rPr>
        <w:t xml:space="preserve">两阶段分配样本 </w:t>
      </w:r>
      <w:r>
        <w:t>按笔记，先识别离群情况并从中心向外形成局部密度骨干区域，再将剩余样本按近邻中占多数的簇分配，减少错误逐点传播。离群判据、扩展条件及平票处理未核到原文，不补写为可执行规则。</w:t>
      </w:r>
    </w:p>
    <w:p>
      <w:r>
        <w:rPr>
          <w:b/>
        </w:rPr>
        <w:t xml:space="preserve">计算复杂度 </w:t>
      </w:r>
      <w:r>
        <w:t>笔记给出时间复杂度O(kn²)、空间复杂度O(n²)，n为样本数。k固定时可视为二次时间量级；k若随n增长，不能笼统说与原始方法完全同阶。这是对笔记表述的解释，尚未独立分析原文代码。</w:t>
      </w:r>
    </w:p>
    <w:p>
      <w:pPr>
        <w:pStyle w:val="Heading3"/>
      </w:pPr>
      <w:r>
        <w:t>3 实验验证方法</w:t>
      </w:r>
    </w:p>
    <w:p>
      <w:r>
        <w:rPr>
          <w:b/>
        </w:rPr>
        <w:t xml:space="preserve">数据与对照 </w:t>
      </w:r>
      <w:r>
        <w:t>按笔记，数据来自英国铁路事故调查机构的141起重轨事故，采用前述七项指标；对照包括原始密度峰值聚类、K均值、近邻传播聚类和基于密度的空间聚类。比较须保持样本、编码和尺度处理条件可比。</w:t>
      </w:r>
    </w:p>
    <w:p>
      <w:r>
        <w:rPr>
          <w:b/>
        </w:rPr>
        <w:t xml:space="preserve">聚类内部评价 </w:t>
      </w:r>
      <w:r>
        <w:t>笔记列出的轮廓系数、Calinski–Harabasz指数通常取大值较好；Xie–Beni指数、S_Dbw指数通常取小值较好。它们评价组内紧密和组间分离等性质，不等于官方严重程度分类准确率。</w:t>
      </w:r>
    </w:p>
    <w:p>
      <w:r>
        <w:rPr>
          <w:b/>
        </w:rPr>
        <w:t xml:space="preserve">业务解释与动态案例 </w:t>
      </w:r>
      <w:r>
        <w:t>按笔记，通过各簇的情景要素分布解释四个严重等级，再在真实事故的多个时点输入状态，观察等级变化。它可展示动态重评过程，但不能单凭某条等级曲线证明对所有事故都有效。</w:t>
      </w:r>
    </w:p>
    <w:p>
      <w:pPr>
        <w:pStyle w:val="Heading2"/>
      </w:pPr>
      <w:r>
        <w:t>三 简要逻辑链条</w:t>
      </w:r>
    </w:p>
    <w:p>
      <w:r>
        <w:t>事故状态随时间变化 → 用情景结构组织指标 → 提取当前特征 → 改进聚类形成分组 → 解释严重等级并比较聚类性能 → 多时点案例检查动态重评。</w:t>
      </w:r>
    </w:p>
    <w:p>
      <w:pPr>
        <w:pStyle w:val="Heading2"/>
      </w:pPr>
      <w:r>
        <w:t>四 本课题可借鉴的地方</w:t>
      </w:r>
    </w:p>
    <w:p>
      <w:pPr>
        <w:pStyle w:val="ListBullet"/>
      </w:pPr>
      <w:r>
        <w:t>学习表达结构：每项参数明确对象、属性、取值、时间和来源；将字段字典与具体判级算法分开。</w:t>
      </w:r>
    </w:p>
    <w:p>
      <w:pPr>
        <w:pStyle w:val="ListBullet"/>
      </w:pPr>
      <w:r>
        <w:t>学习动态记录：保存同一事件各次信息版本，用各时刻已知信息重评；不把事后伤亡或最终人数倒填到早期状态。</w:t>
      </w:r>
    </w:p>
    <w:p>
      <w:pPr>
        <w:pStyle w:val="ListBullet"/>
      </w:pPr>
      <w:r>
        <w:t>学习验证结构：算法内部表现、分组的业务含义、动态过程分别检查。合成实验只能证明声明条件下的机制，不能代替真实准确率。</w:t>
      </w:r>
    </w:p>
    <w:p>
      <w:pPr>
        <w:pStyle w:val="ListBullet"/>
      </w:pPr>
      <w:r>
        <w:t>聚类可作为后续对照，不因缺少标签就立即使用。仍需有足够且口径一致的样本，并说明分组为何能回答我们的紧迫程度问题。</w:t>
      </w:r>
    </w:p>
    <w:p>
      <w:pPr>
        <w:spacing w:after="100"/>
      </w:pPr>
      <w:hyperlink r:id="rId12">
        <w:r>
          <w:rPr>
            <w:color w:val="245A78"/>
            <w:u w:val="single"/>
          </w:rPr>
          <w:t>第二篇出版方来源</w:t>
        </w:r>
      </w:hyperlink>
    </w:p>
    <w:p>
      <w:pPr>
        <w:pStyle w:val="Heading1"/>
        <w:pageBreakBefore w:val="0"/>
        <w:spacing w:before="280"/>
      </w:pPr>
      <w:r>
        <w:t>第三篇 车站局部空间拥堵风险评价</w:t>
      </w:r>
    </w:p>
    <w:p>
      <w:r>
        <w:rPr>
          <w:b/>
        </w:rPr>
        <w:t xml:space="preserve">论文题目 </w:t>
      </w:r>
      <w:r>
        <w:t>城市轨道交通车站局部空间拥堵风险等级评价方法研究</w:t>
      </w:r>
    </w:p>
    <w:p>
      <w:r>
        <w:rPr>
          <w:b/>
        </w:rPr>
        <w:t xml:space="preserve">文献信息 </w:t>
      </w:r>
      <w:r>
        <w:t>田思琪等．城市轨道交通研究，2019，22（3）：31—35．DOI：10.16037/j.1007-869x.2019.03.008。[3]</w:t>
      </w:r>
    </w:p>
    <w:p>
      <w:pPr>
        <w:pStyle w:val="Heading2"/>
      </w:pPr>
      <w:r>
        <w:t>一 核心观点</w:t>
      </w:r>
    </w:p>
    <w:p>
      <w:pPr>
        <w:pStyle w:val="Heading3"/>
      </w:pPr>
      <w:r>
        <w:t>1 研究背景与问题</w:t>
      </w:r>
    </w:p>
    <w:p>
      <w:r>
        <w:t>论文指出，只看单个时刻或较长时段均值，可能遗漏局部拥堵及其持续性，因而需要将空间状态与时间尺度结合。</w:t>
      </w:r>
    </w:p>
    <w:p>
      <w:pPr>
        <w:pStyle w:val="Heading3"/>
      </w:pPr>
      <w:r>
        <w:t>2 核心研究思想</w:t>
      </w:r>
    </w:p>
    <w:p>
      <w:r>
        <w:t>在服务水平评价上，结合密度、速度、流线和持续时长识别拥堵区域，以仿真时段中相应状态的时间占比反映局部风险。</w:t>
      </w:r>
    </w:p>
    <w:p>
      <w:pPr>
        <w:pStyle w:val="Heading3"/>
      </w:pPr>
      <w:r>
        <w:t>3 主要结论</w:t>
      </w:r>
    </w:p>
    <w:p>
      <w:r>
        <w:t>杨箕站案例展示了局部识别和设施调整分析。原文的占比结果来自特定仿真及参数条件，不能解释为跨车站通用预测概率或真实事故分类准确率。</w:t>
      </w:r>
    </w:p>
    <w:p>
      <w:pPr>
        <w:pStyle w:val="Heading3"/>
      </w:pPr>
      <w:r>
        <w:t>4 论文贡献与局限</w:t>
      </w:r>
    </w:p>
    <w:p>
      <w:r>
        <w:t>可借鉴的重点是把持续时间纳入局部空间评价。全站空间关联及未来短时预测在文中列为后续方向，不能把当前结果扩大为完整枢纽预测系统。</w:t>
      </w:r>
    </w:p>
    <w:p>
      <w:pPr>
        <w:pStyle w:val="Heading2"/>
      </w:pPr>
      <w:r>
        <w:t>二 核心技术与方法</w:t>
      </w:r>
    </w:p>
    <w:p>
      <w:pPr>
        <w:pStyle w:val="Heading3"/>
      </w:pPr>
      <w:r>
        <w:t>1 时空指标</w:t>
      </w:r>
    </w:p>
    <w:p>
      <w:r>
        <w:t>原文列出平均密度的空间分布、平均速度的空间分布、瞬时密度和高于指定密度的持续时间。前两项反映区域差异，后两项反映过程变化。[3，第32页]</w:t>
      </w:r>
    </w:p>
    <w:p>
      <w:pPr>
        <w:pStyle w:val="Heading3"/>
      </w:pPr>
      <w:r>
        <w:t>2 密度计算与区域划分</w:t>
      </w:r>
    </w:p>
    <w:p>
      <w:r>
        <w:t>为便于阅读，将密度定义统一写为下式；符号作了简化，不更改人数除以面积的含义：</w:t>
      </w:r>
    </w:p>
    <w:p>
      <w:pPr>
        <w:keepNext/>
        <w:keepLines/>
        <w:spacing w:before="80" w:after="140"/>
        <w:jc w:val="center"/>
      </w:pPr>
      <m:oMath>
        <m:r>
          <m:t>ρ(t) = </m:t>
        </m:r>
        <m:f>
          <m:num>
            <m:r>
              <m:t>N(t)</m:t>
            </m:r>
          </m:num>
          <m:den>
            <m:r>
              <m:t>A</m:t>
            </m:r>
          </m:den>
        </m:f>
      </m:oMath>
    </w:p>
    <w:p>
      <w:r>
        <w:t>N(t)为所选区域在时刻t的人数，A为该区域面积，ρ(t)单位为人/平方米。区域和人数必须对应；全站总人数不能代替某条通道人数。</w:t>
      </w:r>
    </w:p>
    <w:p>
      <w:pPr>
        <w:pStyle w:val="Heading3"/>
      </w:pPr>
      <w:r>
        <w:t>3 持续时间与时间占比</w:t>
      </w:r>
    </w:p>
    <w:p>
      <w:r>
        <w:t>原文累计达到指定状态的时间，并除以观测总时长。用统一符号可写为：</w:t>
      </w:r>
    </w:p>
    <w:p>
      <w:pPr>
        <w:keepNext/>
        <w:keepLines/>
        <w:spacing w:before="80" w:after="140"/>
        <w:jc w:val="center"/>
      </w:pPr>
      <m:oMath>
        <m:r>
          <m:t>P = </m:t>
        </m:r>
        <m:f>
          <m:num>
            <m:sSub>
              <m:e>
                <m:r>
                  <m:t>t</m:t>
                </m:r>
              </m:e>
              <m:sub>
                <m:r>
                  <m:t>state</m:t>
                </m:r>
              </m:sub>
            </m:sSub>
          </m:num>
          <m:den>
            <m:sSub>
              <m:e>
                <m:r>
                  <m:t>T</m:t>
                </m:r>
              </m:e>
              <m:sub>
                <m:r>
                  <m:t>obs</m:t>
                </m:r>
              </m:sub>
            </m:sSub>
          </m:den>
        </m:f>
      </m:oMath>
    </w:p>
    <w:p>
      <w:r>
        <w:t>t_state为处于所选状态的累计时长，T_obs为观察时长。达到某拥挤服务水平的时间占比，与同时满足高密度、低速度条件的拥堵时间占比需要区分。原文讨论了低于0.2米/秒等判据；这不是本课题已核定的安全标准。[3，第33页]</w:t>
      </w:r>
    </w:p>
    <w:p>
      <w:pPr>
        <w:pStyle w:val="Heading3"/>
      </w:pPr>
      <w:r>
        <w:t>4 局部拥堵识别</w:t>
      </w:r>
    </w:p>
    <w:p>
      <w:r>
        <w:t>原文综合密度分布、速度分布和流线判断局部问题。取平均值可能掩盖短时或小范围冲突，因而要核对具体空间和过程。[3，第32至33页]</w:t>
      </w:r>
    </w:p>
    <w:p>
      <w:pPr>
        <w:pStyle w:val="Heading3"/>
      </w:pPr>
      <w:r>
        <w:t>5 行人仿真</w:t>
      </w:r>
    </w:p>
    <w:p>
      <w:r>
        <w:t>采用PedAge，将事件流程、路径规划和行人动力学结合；改进路径搜索用于选择路线，社会力方法近似描述行人运动与避让。仿真是生成过程信息的工具，不直接赋予阈值真实有效性。[3，第33至34页]</w:t>
      </w:r>
    </w:p>
    <w:p>
      <w:pPr>
        <w:pStyle w:val="Heading3"/>
      </w:pPr>
      <w:r>
        <w:t>6 实验验证方法</w:t>
      </w:r>
    </w:p>
    <w:p>
      <w:r>
        <w:rPr>
          <w:b/>
        </w:rPr>
        <w:t xml:space="preserve">案例对象与输入 </w:t>
      </w:r>
      <w:r>
        <w:t>案例为广州地铁杨箕换乘枢纽站相关站厅；输入包括客流、站内布局、运营与行人参数。原文结合调查及现场情况校核仿真参数。[3，第34页]</w:t>
      </w:r>
    </w:p>
    <w:p>
      <w:r>
        <w:rPr>
          <w:b/>
        </w:rPr>
        <w:t xml:space="preserve">指标计算与方案对照 </w:t>
      </w:r>
      <w:r>
        <w:t>案例仿真1小时内最拥挤服务水平持续18分钟，占30%；随后检查客流分流方案。该占比是时间口径，不是未来有30%的概率发生突发事件，也不是我们的准备紧迫等级。[3，第34至35页]</w:t>
      </w:r>
    </w:p>
    <w:p>
      <w:r>
        <w:rPr>
          <w:b/>
        </w:rPr>
        <w:t xml:space="preserve">评价范围 </w:t>
      </w:r>
      <w:r>
        <w:t>空间调整方案的仿真比较支持特定案例下的应用分析，不等于完整复现实站或证明本文规则适用于虹桥。</w:t>
      </w:r>
    </w:p>
    <w:p>
      <w:pPr>
        <w:pStyle w:val="Heading2"/>
      </w:pPr>
      <w:r>
        <w:t>三 简要逻辑链条</w:t>
      </w:r>
    </w:p>
    <w:p>
      <w:r>
        <w:t>单一均值难以描述局部问题 → 明确区域与时段 → 计算密度、速度及持续时间 → 识别拥堵区域和时间占比 → 行人仿真与空间调整对照。</w:t>
      </w:r>
    </w:p>
    <w:p>
      <w:pPr>
        <w:pStyle w:val="Heading2"/>
      </w:pPr>
      <w:r>
        <w:t>四 本课题可借鉴的地方</w:t>
      </w:r>
    </w:p>
    <w:p>
      <w:pPr>
        <w:pStyle w:val="ListBullet"/>
      </w:pPr>
      <w:r>
        <w:t>在峰值之外增加超过所设上限的持续时长，用于区分短暂积压和持续积压，先作为过程画像，不直接改变主等级。</w:t>
      </w:r>
    </w:p>
    <w:p>
      <w:pPr>
        <w:pStyle w:val="ListBullet"/>
      </w:pPr>
      <w:r>
        <w:t>区分进入持续时间与拥堵持续时间：前者是旅客需求的输入，后者是需求与能力作用后的过程输出。</w:t>
      </w:r>
    </w:p>
    <w:p>
      <w:pPr>
        <w:pStyle w:val="ListBullet"/>
      </w:pPr>
      <w:r>
        <w:t>无面积、分区人数和局部流线时，保留候客人数及超限时间，不推造密度或行人冲突。</w:t>
      </w:r>
    </w:p>
    <w:p>
      <w:pPr>
        <w:pStyle w:val="ListBullet"/>
      </w:pPr>
      <w:r>
        <w:t>固定人数等条件，分别改变节奏和能力，比较峰值与超限时长的响应；这可用合成条件实现，无需把运营现场调查当成学生阶段的必需门槛。</w:t>
      </w:r>
    </w:p>
    <w:p>
      <w:pPr>
        <w:spacing w:after="100"/>
      </w:pPr>
      <w:hyperlink r:id="rId13">
        <w:r>
          <w:rPr>
            <w:color w:val="245A78"/>
            <w:u w:val="single"/>
          </w:rPr>
          <w:t>第三篇公开全文</w:t>
        </w:r>
      </w:hyperlink>
    </w:p>
    <w:p>
      <w:pPr>
        <w:pStyle w:val="Heading1"/>
        <w:pageBreakBefore w:val="0"/>
        <w:spacing w:before="280"/>
      </w:pPr>
      <w:r>
        <w:t>综合借鉴与来源</w:t>
      </w:r>
    </w:p>
    <w:p>
      <w:pPr>
        <w:pStyle w:val="Heading2"/>
      </w:pPr>
      <w:r>
        <w:t>对课题研究的具体启示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4032"/>
        <w:gridCol w:w="4349"/>
      </w:tblGrid>
      <w:tr>
        <w:trPr>
          <w:cantSplit/>
          <w:tblHeader/>
        </w:trPr>
        <w:tc>
          <w:tcPr>
            <w:tcW w:type="dxa" w:w="1440"/>
            <w:vAlign w:val="center"/>
            <w:tcMar>
              <w:top w:w="95" w:type="dxa"/>
              <w:bottom w:w="95" w:type="dxa"/>
              <w:left w:w="95" w:type="dxa"/>
              <w:right w:w="95" w:type="dxa"/>
            </w:tcMar>
            <w:shd w:fill="E8EDF0"/>
          </w:tcPr>
          <w:p>
            <w:pPr>
              <w:spacing w:after="40" w:line="269" w:lineRule="auto"/>
            </w:pPr>
            <w:r>
              <w:rPr>
                <w:b/>
                <w:color w:val="000000"/>
                <w:sz w:val="21"/>
              </w:rPr>
              <w:t>研究内容</w:t>
            </w:r>
          </w:p>
        </w:tc>
        <w:tc>
          <w:tcPr>
            <w:tcW w:type="dxa" w:w="4032"/>
            <w:vAlign w:val="center"/>
            <w:tcMar>
              <w:top w:w="95" w:type="dxa"/>
              <w:bottom w:w="95" w:type="dxa"/>
              <w:left w:w="95" w:type="dxa"/>
              <w:right w:w="95" w:type="dxa"/>
            </w:tcMar>
            <w:shd w:fill="E8EDF0"/>
          </w:tcPr>
          <w:p>
            <w:pPr>
              <w:spacing w:after="40" w:line="269" w:lineRule="auto"/>
            </w:pPr>
            <w:r>
              <w:rPr>
                <w:b/>
                <w:color w:val="000000"/>
                <w:sz w:val="21"/>
              </w:rPr>
              <w:t>可形成的成果</w:t>
            </w:r>
          </w:p>
        </w:tc>
        <w:tc>
          <w:tcPr>
            <w:tcW w:type="dxa" w:w="4349"/>
            <w:vAlign w:val="center"/>
            <w:tcMar>
              <w:top w:w="95" w:type="dxa"/>
              <w:bottom w:w="95" w:type="dxa"/>
              <w:left w:w="95" w:type="dxa"/>
              <w:right w:w="95" w:type="dxa"/>
            </w:tcMar>
            <w:shd w:fill="E8EDF0"/>
          </w:tcPr>
          <w:p>
            <w:pPr>
              <w:spacing w:after="40" w:line="269" w:lineRule="auto"/>
            </w:pPr>
            <w:r>
              <w:rPr>
                <w:b/>
                <w:color w:val="000000"/>
                <w:sz w:val="21"/>
              </w:rPr>
              <w:t>需要防止的混淆</w:t>
            </w:r>
          </w:p>
        </w:tc>
      </w:tr>
      <w:tr>
        <w:trPr>
          <w:cantSplit/>
        </w:trPr>
        <w:tc>
          <w:tcPr>
            <w:tcW w:type="dxa" w:w="1440"/>
            <w:vAlign w:val="center"/>
            <w:tcMar>
              <w:top w:w="95" w:type="dxa"/>
              <w:bottom w:w="95" w:type="dxa"/>
              <w:left w:w="95" w:type="dxa"/>
              <w:right w:w="95" w:type="dxa"/>
            </w:tcMar>
            <w:shd w:fill="FFFFFF"/>
          </w:tcPr>
          <w:p>
            <w:pPr>
              <w:spacing w:after="40" w:line="269" w:lineRule="auto"/>
            </w:pPr>
            <w:r>
              <w:rPr>
                <w:b w:val="0"/>
                <w:color w:val="000000"/>
                <w:sz w:val="21"/>
              </w:rPr>
              <w:t>情景表达</w:t>
            </w:r>
          </w:p>
        </w:tc>
        <w:tc>
          <w:tcPr>
            <w:tcW w:type="dxa" w:w="4032"/>
            <w:vAlign w:val="center"/>
            <w:tcMar>
              <w:top w:w="95" w:type="dxa"/>
              <w:bottom w:w="95" w:type="dxa"/>
              <w:left w:w="95" w:type="dxa"/>
              <w:right w:w="95" w:type="dxa"/>
            </w:tcMar>
            <w:shd w:fill="FFFFFF"/>
          </w:tcPr>
          <w:p>
            <w:pPr>
              <w:spacing w:after="40" w:line="269" w:lineRule="auto"/>
            </w:pPr>
            <w:r>
              <w:rPr>
                <w:b w:val="0"/>
                <w:color w:val="000000"/>
                <w:sz w:val="21"/>
              </w:rPr>
              <w:t>字段字典、参数来源、信息时点和版本</w:t>
            </w:r>
          </w:p>
        </w:tc>
        <w:tc>
          <w:tcPr>
            <w:tcW w:type="dxa" w:w="4349"/>
            <w:vAlign w:val="center"/>
            <w:tcMar>
              <w:top w:w="95" w:type="dxa"/>
              <w:bottom w:w="95" w:type="dxa"/>
              <w:left w:w="95" w:type="dxa"/>
              <w:right w:w="95" w:type="dxa"/>
            </w:tcMar>
            <w:shd w:fill="FFFFFF"/>
          </w:tcPr>
          <w:p>
            <w:pPr>
              <w:spacing w:after="40" w:line="269" w:lineRule="auto"/>
            </w:pPr>
            <w:r>
              <w:rPr>
                <w:b w:val="0"/>
                <w:color w:val="000000"/>
                <w:sz w:val="21"/>
              </w:rPr>
              <w:t>表达结构的五项不等于五个评价指标</w:t>
            </w:r>
          </w:p>
        </w:tc>
      </w:tr>
      <w:tr>
        <w:trPr>
          <w:cantSplit/>
        </w:trPr>
        <w:tc>
          <w:tcPr>
            <w:tcW w:type="dxa" w:w="1440"/>
            <w:vAlign w:val="center"/>
            <w:tcMar>
              <w:top w:w="95" w:type="dxa"/>
              <w:bottom w:w="95" w:type="dxa"/>
              <w:left w:w="95" w:type="dxa"/>
              <w:right w:w="95" w:type="dxa"/>
            </w:tcMar>
            <w:shd w:fill="FFFFFF"/>
          </w:tcPr>
          <w:p>
            <w:pPr>
              <w:spacing w:after="40" w:line="269" w:lineRule="auto"/>
            </w:pPr>
            <w:r>
              <w:rPr>
                <w:b w:val="0"/>
                <w:color w:val="000000"/>
                <w:sz w:val="21"/>
              </w:rPr>
              <w:t>分级规则</w:t>
            </w:r>
          </w:p>
        </w:tc>
        <w:tc>
          <w:tcPr>
            <w:tcW w:type="dxa" w:w="4032"/>
            <w:vAlign w:val="center"/>
            <w:tcMar>
              <w:top w:w="95" w:type="dxa"/>
              <w:bottom w:w="95" w:type="dxa"/>
              <w:left w:w="95" w:type="dxa"/>
              <w:right w:w="95" w:type="dxa"/>
            </w:tcMar>
            <w:shd w:fill="FFFFFF"/>
          </w:tcPr>
          <w:p>
            <w:pPr>
              <w:spacing w:after="40" w:line="269" w:lineRule="auto"/>
            </w:pPr>
            <w:r>
              <w:rPr>
                <w:b w:val="0"/>
                <w:color w:val="000000"/>
                <w:sz w:val="21"/>
              </w:rPr>
              <w:t>输入条件、优先顺序、等级及理由</w:t>
            </w:r>
          </w:p>
        </w:tc>
        <w:tc>
          <w:tcPr>
            <w:tcW w:type="dxa" w:w="4349"/>
            <w:vAlign w:val="center"/>
            <w:tcMar>
              <w:top w:w="95" w:type="dxa"/>
              <w:bottom w:w="95" w:type="dxa"/>
              <w:left w:w="95" w:type="dxa"/>
              <w:right w:w="95" w:type="dxa"/>
            </w:tcMar>
            <w:shd w:fill="FFFFFF"/>
          </w:tcPr>
          <w:p>
            <w:pPr>
              <w:spacing w:after="40" w:line="269" w:lineRule="auto"/>
            </w:pPr>
            <w:r>
              <w:rPr>
                <w:b w:val="0"/>
                <w:color w:val="000000"/>
                <w:sz w:val="21"/>
              </w:rPr>
              <w:t>紧迫程度不等于事故严重程度</w:t>
            </w:r>
          </w:p>
        </w:tc>
      </w:tr>
      <w:tr>
        <w:trPr>
          <w:cantSplit/>
        </w:trPr>
        <w:tc>
          <w:tcPr>
            <w:tcW w:type="dxa" w:w="1440"/>
            <w:vAlign w:val="center"/>
            <w:tcMar>
              <w:top w:w="95" w:type="dxa"/>
              <w:bottom w:w="95" w:type="dxa"/>
              <w:left w:w="95" w:type="dxa"/>
              <w:right w:w="95" w:type="dxa"/>
            </w:tcMar>
            <w:shd w:fill="FFFFFF"/>
          </w:tcPr>
          <w:p>
            <w:pPr>
              <w:spacing w:after="40" w:line="269" w:lineRule="auto"/>
            </w:pPr>
            <w:r>
              <w:rPr>
                <w:b w:val="0"/>
                <w:color w:val="000000"/>
                <w:sz w:val="21"/>
              </w:rPr>
              <w:t>过程画像</w:t>
            </w:r>
          </w:p>
        </w:tc>
        <w:tc>
          <w:tcPr>
            <w:tcW w:type="dxa" w:w="4032"/>
            <w:vAlign w:val="center"/>
            <w:tcMar>
              <w:top w:w="95" w:type="dxa"/>
              <w:bottom w:w="95" w:type="dxa"/>
              <w:left w:w="95" w:type="dxa"/>
              <w:right w:w="95" w:type="dxa"/>
            </w:tcMar>
            <w:shd w:fill="FFFFFF"/>
          </w:tcPr>
          <w:p>
            <w:pPr>
              <w:spacing w:after="40" w:line="269" w:lineRule="auto"/>
            </w:pPr>
            <w:r>
              <w:rPr>
                <w:b w:val="0"/>
                <w:color w:val="000000"/>
                <w:sz w:val="21"/>
              </w:rPr>
              <w:t>人数、峰值、完成情况及超限时长</w:t>
            </w:r>
          </w:p>
        </w:tc>
        <w:tc>
          <w:tcPr>
            <w:tcW w:type="dxa" w:w="4349"/>
            <w:vAlign w:val="center"/>
            <w:tcMar>
              <w:top w:w="95" w:type="dxa"/>
              <w:bottom w:w="95" w:type="dxa"/>
              <w:left w:w="95" w:type="dxa"/>
              <w:right w:w="95" w:type="dxa"/>
            </w:tcMar>
            <w:shd w:fill="FFFFFF"/>
          </w:tcPr>
          <w:p>
            <w:pPr>
              <w:spacing w:after="40" w:line="269" w:lineRule="auto"/>
            </w:pPr>
            <w:r>
              <w:rPr>
                <w:b w:val="0"/>
                <w:color w:val="000000"/>
                <w:sz w:val="21"/>
              </w:rPr>
              <w:t>进入期不等于拥堵持续期，时间占比不等于预测概率</w:t>
            </w:r>
          </w:p>
        </w:tc>
      </w:tr>
      <w:tr>
        <w:trPr>
          <w:cantSplit/>
        </w:trPr>
        <w:tc>
          <w:tcPr>
            <w:tcW w:type="dxa" w:w="1440"/>
            <w:vAlign w:val="center"/>
            <w:tcMar>
              <w:top w:w="95" w:type="dxa"/>
              <w:bottom w:w="95" w:type="dxa"/>
              <w:left w:w="95" w:type="dxa"/>
              <w:right w:w="95" w:type="dxa"/>
            </w:tcMar>
            <w:shd w:fill="FFFFFF"/>
          </w:tcPr>
          <w:p>
            <w:pPr>
              <w:spacing w:after="40" w:line="269" w:lineRule="auto"/>
            </w:pPr>
            <w:r>
              <w:rPr>
                <w:b w:val="0"/>
                <w:color w:val="000000"/>
                <w:sz w:val="21"/>
              </w:rPr>
              <w:t>验证设计</w:t>
            </w:r>
          </w:p>
        </w:tc>
        <w:tc>
          <w:tcPr>
            <w:tcW w:type="dxa" w:w="4032"/>
            <w:vAlign w:val="center"/>
            <w:tcMar>
              <w:top w:w="95" w:type="dxa"/>
              <w:bottom w:w="95" w:type="dxa"/>
              <w:left w:w="95" w:type="dxa"/>
              <w:right w:w="95" w:type="dxa"/>
            </w:tcMar>
            <w:shd w:fill="FFFFFF"/>
          </w:tcPr>
          <w:p>
            <w:pPr>
              <w:spacing w:after="40" w:line="269" w:lineRule="auto"/>
            </w:pPr>
            <w:r>
              <w:rPr>
                <w:b w:val="0"/>
                <w:color w:val="000000"/>
                <w:sz w:val="21"/>
              </w:rPr>
              <w:t>边界、成对条件、规则对照及动态记录</w:t>
            </w:r>
          </w:p>
        </w:tc>
        <w:tc>
          <w:tcPr>
            <w:tcW w:type="dxa" w:w="4349"/>
            <w:vAlign w:val="center"/>
            <w:tcMar>
              <w:top w:w="95" w:type="dxa"/>
              <w:bottom w:w="95" w:type="dxa"/>
              <w:left w:w="95" w:type="dxa"/>
              <w:right w:w="95" w:type="dxa"/>
            </w:tcMar>
            <w:shd w:fill="FFFFFF"/>
          </w:tcPr>
          <w:p>
            <w:pPr>
              <w:spacing w:after="40" w:line="269" w:lineRule="auto"/>
            </w:pPr>
            <w:r>
              <w:rPr>
                <w:b w:val="0"/>
                <w:color w:val="000000"/>
                <w:sz w:val="21"/>
              </w:rPr>
              <w:t>程序正确不等于实际分级准确，聚类分离度不等于业务有效</w:t>
            </w:r>
          </w:p>
        </w:tc>
      </w:tr>
    </w:tbl>
    <w:p/>
    <w:p>
      <w:r>
        <w:t>现有演示已实现参数录入、条件评定、来源记录与版本比较。超限持续时长、历史状态联合建模及聚类对照在这里作为研究建议，不声称已经实现。后续交通策略可引用已有方法，继续作为应用层。</w:t>
      </w:r>
    </w:p>
    <w:p>
      <w:pPr>
        <w:pStyle w:val="Heading2"/>
      </w:pPr>
      <w:r>
        <w:t>参考文献与核验说明</w:t>
      </w:r>
    </w:p>
    <w:p>
      <w:r>
        <w:t>[1] 马成正．城轨运营突发大客流预警耦发机制研究[J]．地下空间与工程学报，2025，21（2）：648—653．DOI：10.20174/j.JUSE.2025.02.32。核期刊书目与公开摘要，未取得全文。</w:t>
      </w:r>
    </w:p>
    <w:p>
      <w:r>
        <w:t>[2] Shi L, Yang X, Chang X, Wu J, Sun H. Reliability Engineering &amp; System Safety, 2023, 233: 109132. DOI: 10.1016/j.ress.2023.109132。完整题名见第二篇起页。已核出版方摘要和预览；具体模型、公式及实验结构另据本次提供的论文笔记整理。</w:t>
      </w:r>
    </w:p>
    <w:p>
      <w:r>
        <w:t>[2补充材料] 本次对话提供的第二篇结构化论文笔记，2026年10月26日。资料包含情景五元组、七项指标、局部密度式、转折点策略、两阶段分配、复杂度和实验指标；本说明未取得原文逐项复核，故不作为算法复现说明。</w:t>
      </w:r>
    </w:p>
    <w:p>
      <w:r>
        <w:t>[3] 田思琪等．城市轨道交通车站局部空间拥堵风险等级评价方法研究[J]．城市轨道交通研究，2019，22（3）：31—35．DOI：10.16037/j.1007-869x.2019.03.008。已核5页公开全文及相应页码。</w:t>
      </w:r>
    </w:p>
    <w:p>
      <w:r>
        <w:t>本说明用于理解论文和讨论研究方案，不宣称完成三篇模型复现或实际阈值标定。借鉴时应保留各自对象、时空边界、数据与指标口径。</w:t>
      </w:r>
    </w:p>
    <w:sectPr w:rsidR="00FC693F" w:rsidRPr="0006063C" w:rsidSect="00034616">
      <w:headerReference w:type="default" r:id="rId9"/>
      <w:footerReference w:type="default" r:id="rId10"/>
      <w:pgSz w:w="12240" w:h="15840"/>
      <w:pgMar w:top="1037" w:right="1181" w:bottom="1037"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虹桥枢纽情景库与事件评估研究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pPr>
    <w:rPr>
      <w:rFonts w:ascii="Times New Roman" w:hAnsi="Times New Roman" w:eastAsia="宋体"/>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eastAsia="黑体"/>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eastAsia="宋体"/>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xkjxb.cqu.edu.cn/CN/10.20174/j.JUSE.2025.02.32" TargetMode="External"/><Relationship Id="rId12" Type="http://schemas.openxmlformats.org/officeDocument/2006/relationships/hyperlink" Target="https://www.sciencedirect.com/science/article/pii/S0951832023000479" TargetMode="External"/><Relationship Id="rId13" Type="http://schemas.openxmlformats.org/officeDocument/2006/relationships/hyperlink" Target="https://umt1998.tongji.edu.cn/cn/article/pdf/preview/10.16037/j.1007-869x.2019.03.0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三篇相关论文的核心观点与技术方法</dc:title>
  <dc:subject>虹桥枢纽情景库与事件评估相关文献阅读说明</dc:subject>
  <dc:creator>课题组</dc:creator>
  <cp:keywords>情景表达 动态分级 预警触发 拥堵风险</cp:keywords>
  <dc:description>generated by python-docx</dc:description>
  <cp:lastModifiedBy/>
  <cp:revision>1</cp:revision>
  <dcterms:created xsi:type="dcterms:W3CDTF">2013-12-23T23:15:00Z</dcterms:created>
  <dcterms:modified xsi:type="dcterms:W3CDTF">2013-12-23T23:15:00Z</dcterms:modified>
  <cp:category/>
</cp:coreProperties>
</file>