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6A9EDE35"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灾害分级文献体系对照表</w:t>
      </w:r>
    </w:p>
    <w:p w14:paraId="7C2B6D4A">
      <w:pPr/>
      <w:r>
        <w:rPr>
          <w:rFonts w:hint="eastAsia"/>
          <w:b w:val="1"/>
        </w:rPr>
        <w:t>课题</w:t>
      </w:r>
      <w:r>
        <w:rPr>
          <w:rFonts w:hint="eastAsia"/>
        </w:rPr>
        <w:t>：突发事件下超大规模交通枢纽多方式协同联动策略</w:t>
      </w:r>
    </w:p>
    <w:p w14:paraId="0512BAD6">
      <w:pPr/>
      <w:r>
        <w:rPr>
          <w:rFonts w:hint="eastAsia"/>
          <w:b w:val="1"/>
        </w:rPr>
        <w:t>编制</w:t>
      </w:r>
      <w:r>
        <w:rPr>
          <w:rFonts w:hint="eastAsia"/>
        </w:rPr>
        <w:t>：万岩松（T-A1）</w:t>
      </w:r>
    </w:p>
    <w:p w14:paraId="2C3DCBEC">
      <w:pPr/>
      <w:r>
        <w:rPr>
          <w:rFonts w:hint="eastAsia"/>
          <w:b w:val="1"/>
        </w:rPr>
        <w:t>日期</w:t>
      </w:r>
      <w:r>
        <w:rPr>
          <w:rFonts w:hint="eastAsia"/>
        </w:rPr>
        <w:t>：2026-10-01</w:t>
      </w:r>
    </w:p>
    <w:p w14:paraId="46C935A1">
      <w:pPr/>
      <w:r>
        <w:rPr>
          <w:rFonts w:hint="eastAsia"/>
          <w:b w:val="1"/>
        </w:rPr>
        <w:t>用途</w:t>
      </w:r>
      <w:r>
        <w:rPr>
          <w:rFonts w:hint="eastAsia"/>
        </w:rPr>
        <w:t>：查清现有分级体系能否直接用于枢纽应急调度决策，为情景库构建提供文献基础</w:t>
      </w:r>
    </w:p>
    <w:p w14:paraId="2292574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说明：为什么这张表要按"四个侧面"排列</w:t>
      </w:r>
    </w:p>
    <w:p w14:paraId="34DDE6E7">
      <w:pPr/>
      <w:r>
        <w:rPr>
          <w:rFonts w:hint="eastAsia"/>
        </w:rPr>
        <w:t>现有分级体系不是一个整体，而是四个互不相通的侧面：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vAlign w:val="center"/>
          </w:tcPr>
          <w:p w14:paraId="0F7930B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组</w:t>
            </w:r>
          </w:p>
        </w:tc>
        <w:tc>
          <w:tcPr>
            <w:tcW w:w="2076" w:type="dxa"/>
            <w:vAlign w:val="center"/>
          </w:tcPr>
          <w:p w14:paraId="0864AE7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侧面</w:t>
            </w:r>
          </w:p>
        </w:tc>
        <w:tc>
          <w:tcPr>
            <w:tcW w:w="2076" w:type="dxa"/>
            <w:vAlign w:val="center"/>
          </w:tcPr>
          <w:p w14:paraId="5BECA10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回答的问题</w:t>
            </w:r>
          </w:p>
        </w:tc>
        <w:tc>
          <w:tcPr>
            <w:tcW w:w="2076" w:type="dxa"/>
            <w:vAlign w:val="center"/>
          </w:tcPr>
          <w:p w14:paraId="10BFC40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典型来源</w:t>
            </w:r>
          </w:p>
        </w:tc>
      </w:tr>
      <w:tr>
        <w:trPr/>
        <w:tc>
          <w:tcPr>
            <w:tcW w:w="2076" w:type="dxa"/>
            <w:vAlign w:val="center"/>
          </w:tcPr>
          <w:p w14:paraId="464F6913">
            <w:pPr/>
            <w:r>
              <w:rPr>
                <w:rFonts w:hint="eastAsia"/>
                <w:b w:val="1"/>
              </w:rPr>
              <w:t>A 组</w:t>
            </w:r>
          </w:p>
        </w:tc>
        <w:tc>
          <w:tcPr>
            <w:tcW w:w="2076" w:type="dxa"/>
            <w:vAlign w:val="center"/>
          </w:tcPr>
          <w:p w14:paraId="30C95361">
            <w:pPr/>
            <w:r>
              <w:rPr>
                <w:rFonts w:hint="eastAsia"/>
              </w:rPr>
              <w:t>突发事件（灾害）分级</w:t>
            </w:r>
          </w:p>
        </w:tc>
        <w:tc>
          <w:tcPr>
            <w:tcW w:w="2076" w:type="dxa"/>
            <w:vAlign w:val="center"/>
          </w:tcPr>
          <w:p w14:paraId="0D926B42">
            <w:pPr/>
            <w:r>
              <w:rPr>
                <w:rFonts w:hint="eastAsia"/>
              </w:rPr>
              <w:t>这个事件"多大"？该由哪级政府牵头？</w:t>
            </w:r>
          </w:p>
        </w:tc>
        <w:tc>
          <w:tcPr>
            <w:tcW w:w="2076" w:type="dxa"/>
            <w:vAlign w:val="center"/>
          </w:tcPr>
          <w:p w14:paraId="52DADA74">
            <w:pPr/>
            <w:r>
              <w:rPr>
                <w:rFonts w:hint="eastAsia"/>
              </w:rPr>
              <w:t>国家总体预案、行业运营预案</w:t>
            </w:r>
          </w:p>
        </w:tc>
      </w:tr>
      <w:tr>
        <w:trPr/>
        <w:tc>
          <w:tcPr>
            <w:tcW w:w="2076" w:type="dxa"/>
            <w:vAlign w:val="center"/>
          </w:tcPr>
          <w:p w14:paraId="071265E2">
            <w:pPr/>
            <w:r>
              <w:rPr>
                <w:rFonts w:hint="eastAsia"/>
                <w:b w:val="1"/>
              </w:rPr>
              <w:t>B 组</w:t>
            </w:r>
          </w:p>
        </w:tc>
        <w:tc>
          <w:tcPr>
            <w:tcW w:w="2076" w:type="dxa"/>
            <w:vAlign w:val="center"/>
          </w:tcPr>
          <w:p w14:paraId="3C7D803F">
            <w:pPr/>
            <w:r>
              <w:rPr>
                <w:rFonts w:hint="eastAsia"/>
              </w:rPr>
              <w:t>枢纽分级</w:t>
            </w:r>
          </w:p>
        </w:tc>
        <w:tc>
          <w:tcPr>
            <w:tcW w:w="2076" w:type="dxa"/>
            <w:vAlign w:val="center"/>
          </w:tcPr>
          <w:p w14:paraId="5C4F1706">
            <w:pPr/>
            <w:r>
              <w:rPr>
                <w:rFonts w:hint="eastAsia"/>
              </w:rPr>
              <w:t>这个枢纽"多大"？该配什么服务？</w:t>
            </w:r>
          </w:p>
        </w:tc>
        <w:tc>
          <w:tcPr>
            <w:tcW w:w="2076" w:type="dxa"/>
            <w:vAlign w:val="center"/>
          </w:tcPr>
          <w:p w14:paraId="2996AFFD">
            <w:pPr/>
            <w:r>
              <w:rPr>
                <w:rFonts w:hint="eastAsia"/>
              </w:rPr>
              <w:t>行业标准、地方标准</w:t>
            </w:r>
          </w:p>
        </w:tc>
      </w:tr>
      <w:tr>
        <w:trPr/>
        <w:tc>
          <w:tcPr>
            <w:tcW w:w="2076" w:type="dxa"/>
            <w:vAlign w:val="center"/>
          </w:tcPr>
          <w:p w14:paraId="5E24BF9C">
            <w:pPr/>
            <w:r>
              <w:rPr>
                <w:rFonts w:hint="eastAsia"/>
                <w:b w:val="1"/>
              </w:rPr>
              <w:t>C 组</w:t>
            </w:r>
          </w:p>
        </w:tc>
        <w:tc>
          <w:tcPr>
            <w:tcW w:w="2076" w:type="dxa"/>
            <w:vAlign w:val="center"/>
          </w:tcPr>
          <w:p w14:paraId="0C002EF5">
            <w:pPr/>
            <w:r>
              <w:rPr>
                <w:rFonts w:hint="eastAsia"/>
              </w:rPr>
              <w:t>枢纽应急预案分级</w:t>
            </w:r>
          </w:p>
        </w:tc>
        <w:tc>
          <w:tcPr>
            <w:tcW w:w="2076" w:type="dxa"/>
            <w:vAlign w:val="center"/>
          </w:tcPr>
          <w:p w14:paraId="70924DCC">
            <w:pPr/>
            <w:r>
              <w:rPr>
                <w:rFonts w:hint="eastAsia"/>
              </w:rPr>
              <w:t>这个枢纽"该启动哪级响应"？</w:t>
            </w:r>
          </w:p>
        </w:tc>
        <w:tc>
          <w:tcPr>
            <w:tcW w:w="2076" w:type="dxa"/>
            <w:vAlign w:val="center"/>
          </w:tcPr>
          <w:p w14:paraId="1EF2616D">
            <w:pPr/>
            <w:r>
              <w:rPr>
                <w:rFonts w:hint="eastAsia"/>
              </w:rPr>
              <w:t>枢纽/车站级预案</w:t>
            </w:r>
          </w:p>
        </w:tc>
      </w:tr>
      <w:tr>
        <w:trPr/>
        <w:tc>
          <w:tcPr>
            <w:tcW w:w="2076" w:type="dxa"/>
            <w:vAlign w:val="center"/>
          </w:tcPr>
          <w:p w14:paraId="535C8AE4">
            <w:pPr/>
            <w:r>
              <w:rPr>
                <w:rFonts w:hint="eastAsia"/>
                <w:b w:val="1"/>
              </w:rPr>
              <w:t>D 组</w:t>
            </w:r>
          </w:p>
        </w:tc>
        <w:tc>
          <w:tcPr>
            <w:tcW w:w="2076" w:type="dxa"/>
            <w:vAlign w:val="center"/>
          </w:tcPr>
          <w:p w14:paraId="01001B75">
            <w:pPr/>
            <w:r>
              <w:rPr>
                <w:rFonts w:hint="eastAsia"/>
              </w:rPr>
              <w:t>学术情景划分方法</w:t>
            </w:r>
          </w:p>
        </w:tc>
        <w:tc>
          <w:tcPr>
            <w:tcW w:w="2076" w:type="dxa"/>
            <w:vAlign w:val="center"/>
          </w:tcPr>
          <w:p w14:paraId="4EE49B8C">
            <w:pPr/>
            <w:r>
              <w:rPr>
                <w:rFonts w:hint="eastAsia"/>
              </w:rPr>
              <w:t>情景"怎么构建"？</w:t>
            </w:r>
          </w:p>
        </w:tc>
        <w:tc>
          <w:tcPr>
            <w:tcW w:w="2076" w:type="dxa"/>
            <w:vAlign w:val="center"/>
          </w:tcPr>
          <w:p w14:paraId="03A7AC8D">
            <w:pPr/>
            <w:r>
              <w:rPr>
                <w:rFonts w:hint="eastAsia"/>
              </w:rPr>
              <w:t>学术文献</w:t>
            </w:r>
          </w:p>
        </w:tc>
      </w:tr>
    </w:tbl>
    <w:p w14:paraId="5E6FB112">
      <w:pPr/>
      <w:r>
        <w:rPr>
          <w:rFonts w:hint="eastAsia"/>
        </w:rPr>
        <w:t>A 组与 B 组决定了"谁说话算数"，C 组才是"怎么调度"，D 组提供方法论。</w:t>
      </w:r>
      <w:r>
        <w:rPr>
          <w:rFonts w:hint="eastAsia"/>
          <w:b w:val="1"/>
        </w:rPr>
        <w:t>本课题关心的是 C 组的问题，但 C 组的量纲乱，根源在 A、B 组与 C 组之间没有换算关系。</w:t>
      </w:r>
    </w:p>
    <w:p w14:paraId="1C95EAB1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表 A｜突发事件（灾害）分级：行政侧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1038"/>
        <w:gridCol w:w="1038"/>
        <w:gridCol w:w="1038"/>
        <w:gridCol w:w="1038"/>
        <w:gridCol w:w="1038"/>
        <w:gridCol w:w="1038"/>
        <w:gridCol w:w="1038"/>
      </w:tblGrid>
      <w:tr>
        <w:trPr>
          <w:tblHeader w:val="1"/>
        </w:trPr>
        <w:tc>
          <w:tcPr>
            <w:tcW w:w="1038" w:type="dxa"/>
            <w:vAlign w:val="center"/>
          </w:tcPr>
          <w:p w14:paraId="1779487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038" w:type="dxa"/>
            <w:vAlign w:val="center"/>
          </w:tcPr>
          <w:p w14:paraId="0E24CB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038" w:type="dxa"/>
            <w:vAlign w:val="center"/>
          </w:tcPr>
          <w:p w14:paraId="5A80244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制定主体 / 时间</w:t>
            </w:r>
          </w:p>
        </w:tc>
        <w:tc>
          <w:tcPr>
            <w:tcW w:w="1038" w:type="dxa"/>
            <w:vAlign w:val="center"/>
          </w:tcPr>
          <w:p w14:paraId="11CB4AA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分级对象</w:t>
            </w:r>
          </w:p>
        </w:tc>
        <w:tc>
          <w:tcPr>
            <w:tcW w:w="1038" w:type="dxa"/>
            <w:vAlign w:val="center"/>
          </w:tcPr>
          <w:p w14:paraId="08E4C8EB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级数</w:t>
            </w:r>
          </w:p>
        </w:tc>
        <w:tc>
          <w:tcPr>
            <w:tcW w:w="1038" w:type="dxa"/>
            <w:vAlign w:val="center"/>
          </w:tcPr>
          <w:p w14:paraId="3E32246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1038" w:type="dxa"/>
            <w:vAlign w:val="center"/>
          </w:tcPr>
          <w:p w14:paraId="754901B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  <w:tc>
          <w:tcPr>
            <w:tcW w:w="1038" w:type="dxa"/>
            <w:vAlign w:val="center"/>
          </w:tcPr>
          <w:p w14:paraId="41FEF00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对枢纽调度的可用性</w:t>
            </w:r>
          </w:p>
        </w:tc>
      </w:tr>
      <w:tr>
        <w:trPr/>
        <w:tc>
          <w:tcPr>
            <w:tcW w:w="1038" w:type="dxa"/>
            <w:vAlign w:val="center"/>
          </w:tcPr>
          <w:p w14:paraId="56E746BD">
            <w:pPr/>
            <w:r>
              <w:rPr>
                <w:b w:val="1"/>
              </w:rPr>
              <w:t>A1</w:t>
            </w:r>
          </w:p>
        </w:tc>
        <w:tc>
          <w:tcPr>
            <w:tcW w:w="1038" w:type="dxa"/>
            <w:vAlign w:val="center"/>
          </w:tcPr>
          <w:p w14:paraId="3A1697A6">
            <w:pPr/>
            <w:r>
              <w:rPr>
                <w:rFonts w:hint="eastAsia"/>
              </w:rPr>
              <w:t>《国家突发事件总体应急预案》</w:t>
            </w:r>
          </w:p>
        </w:tc>
        <w:tc>
          <w:tcPr>
            <w:tcW w:w="1038" w:type="dxa"/>
            <w:vAlign w:val="center"/>
          </w:tcPr>
          <w:p w14:paraId="16E4B8CC">
            <w:pPr/>
            <w:r>
              <w:rPr>
                <w:rFonts w:hint="eastAsia"/>
              </w:rPr>
              <w:t>中共中央、国务院 / 2025-02</w:t>
            </w:r>
          </w:p>
        </w:tc>
        <w:tc>
          <w:tcPr>
            <w:tcW w:w="1038" w:type="dxa"/>
            <w:vAlign w:val="center"/>
          </w:tcPr>
          <w:p w14:paraId="36CB09F8">
            <w:pPr/>
            <w:r>
              <w:rPr>
                <w:rFonts w:hint="eastAsia"/>
              </w:rPr>
              <w:t>自然灾害、事故灾难、公共卫生事件</w:t>
            </w:r>
          </w:p>
        </w:tc>
        <w:tc>
          <w:tcPr>
            <w:tcW w:w="1038" w:type="dxa"/>
            <w:vAlign w:val="center"/>
          </w:tcPr>
          <w:p w14:paraId="0DACAB04">
            <w:pPr/>
            <w:r>
              <w:rPr>
                <w:rFonts w:hint="eastAsia"/>
              </w:rPr>
              <w:t>4（特别重大 / 重大 / 较大 / 一般）</w:t>
            </w:r>
          </w:p>
        </w:tc>
        <w:tc>
          <w:tcPr>
            <w:tcW w:w="1038" w:type="dxa"/>
            <w:vAlign w:val="center"/>
          </w:tcPr>
          <w:p w14:paraId="14E7C3B0">
            <w:pPr/>
            <w:r>
              <w:rPr>
                <w:rFonts w:hint="eastAsia"/>
              </w:rPr>
              <w:t>社会危害程度、影响范围</w:t>
            </w:r>
          </w:p>
        </w:tc>
        <w:tc>
          <w:tcPr>
            <w:tcW w:w="1038" w:type="dxa"/>
            <w:vAlign w:val="center"/>
          </w:tcPr>
          <w:p w14:paraId="115DC270">
            <w:pPr/>
            <w:r>
              <w:rPr>
                <w:rFonts w:hint="eastAsia"/>
              </w:rPr>
              <w:t>具体标准由国务院或国务院确定的部门制定</w:t>
            </w:r>
          </w:p>
        </w:tc>
        <w:tc>
          <w:tcPr>
            <w:tcW w:w="1038" w:type="dxa"/>
            <w:vAlign w:val="center"/>
          </w:tcPr>
          <w:p w14:paraId="49591FF5">
            <w:pPr/>
            <w:r>
              <w:rPr>
                <w:rFonts w:hint="eastAsia"/>
              </w:rPr>
              <w:t>【注意】未给量化阈值，须查下位文件；分级目的为"信息报送和分级处置"，非调度</w:t>
            </w:r>
          </w:p>
        </w:tc>
      </w:tr>
      <w:tr>
        <w:trPr/>
        <w:tc>
          <w:tcPr>
            <w:tcW w:w="1038" w:type="dxa"/>
            <w:vAlign w:val="center"/>
          </w:tcPr>
          <w:p w14:paraId="5E79E83B">
            <w:pPr/>
            <w:r>
              <w:rPr>
                <w:b w:val="1"/>
              </w:rPr>
              <w:t>A2</w:t>
            </w:r>
          </w:p>
        </w:tc>
        <w:tc>
          <w:tcPr>
            <w:tcW w:w="1038" w:type="dxa"/>
            <w:vAlign w:val="center"/>
          </w:tcPr>
          <w:p w14:paraId="00C95D5A">
            <w:pPr/>
            <w:r>
              <w:rPr>
                <w:rFonts w:hint="eastAsia"/>
              </w:rPr>
              <w:t>《国家城市轨道交通运营突发事件应急预案》国办函〔2015〕32 号</w:t>
            </w:r>
          </w:p>
        </w:tc>
        <w:tc>
          <w:tcPr>
            <w:tcW w:w="1038" w:type="dxa"/>
            <w:vAlign w:val="center"/>
          </w:tcPr>
          <w:p w14:paraId="7DBAA456">
            <w:pPr/>
            <w:r>
              <w:rPr>
                <w:rFonts w:hint="eastAsia"/>
              </w:rPr>
              <w:t>国务院办公厅 / 2015-04-30</w:t>
            </w:r>
          </w:p>
        </w:tc>
        <w:tc>
          <w:tcPr>
            <w:tcW w:w="1038" w:type="dxa"/>
            <w:vAlign w:val="center"/>
          </w:tcPr>
          <w:p w14:paraId="22CAA361">
            <w:pPr/>
            <w:r>
              <w:rPr>
                <w:rFonts w:hint="eastAsia"/>
              </w:rPr>
              <w:t>城市轨道交通运营突发事件</w:t>
            </w:r>
          </w:p>
        </w:tc>
        <w:tc>
          <w:tcPr>
            <w:tcW w:w="1038" w:type="dxa"/>
            <w:vAlign w:val="center"/>
          </w:tcPr>
          <w:p w14:paraId="15005AFC">
            <w:pPr/>
            <w:r>
              <w:rPr>
                <w:rFonts w:hint="eastAsia"/>
              </w:rPr>
              <w:t>4（Ⅰ—Ⅳ）</w:t>
            </w:r>
          </w:p>
        </w:tc>
        <w:tc>
          <w:tcPr>
            <w:tcW w:w="1038" w:type="dxa"/>
            <w:vAlign w:val="center"/>
          </w:tcPr>
          <w:p w14:paraId="4A1E7613">
            <w:pPr/>
            <w:r>
              <w:rPr>
                <w:rFonts w:hint="eastAsia"/>
              </w:rPr>
              <w:t>死亡、重伤、直接经济损失、</w:t>
            </w:r>
            <w:r>
              <w:rPr>
                <w:rFonts w:hint="eastAsia"/>
                <w:b w:val="1"/>
              </w:rPr>
              <w:t>连续中断行车时长</w:t>
            </w:r>
          </w:p>
        </w:tc>
        <w:tc>
          <w:tcPr>
            <w:tcW w:w="1038" w:type="dxa"/>
            <w:vAlign w:val="center"/>
          </w:tcPr>
          <w:p w14:paraId="256E9F09">
            <w:pPr/>
            <w:r>
              <w:rPr>
                <w:rFonts w:hint="eastAsia"/>
              </w:rPr>
              <w:t>Ⅰ级：30 死 / 100 重伤 / 1 亿元；Ⅱ级：10—30 死 / 50—100 重伤 / 5000 万—1 亿 /</w:t>
            </w:r>
            <w:r>
              <w:rPr>
                <w:rFonts w:hint="eastAsia"/>
                <w:b w:val="1"/>
              </w:rPr>
              <w:t>中断 24 h 以上</w:t>
            </w:r>
            <w:r>
              <w:rPr>
                <w:rFonts w:hint="eastAsia"/>
              </w:rPr>
              <w:t>；Ⅲ级：3—10 死 / 10—50 重伤 / 1000 万—5000 万 /</w:t>
            </w:r>
            <w:r>
              <w:rPr>
                <w:rFonts w:hint="eastAsia"/>
                <w:b w:val="1"/>
              </w:rPr>
              <w:t>中断 6—24 h</w:t>
            </w:r>
            <w:r>
              <w:rPr>
                <w:rFonts w:hint="eastAsia"/>
              </w:rPr>
              <w:t>；Ⅳ级：3 死以下 / 10 重伤以下 / 50 万—1000 万 /</w:t>
            </w:r>
            <w:r>
              <w:rPr>
                <w:rFonts w:hint="eastAsia"/>
                <w:b w:val="1"/>
              </w:rPr>
              <w:t>中断 2—6 h</w:t>
            </w:r>
          </w:p>
        </w:tc>
        <w:tc>
          <w:tcPr>
            <w:tcW w:w="1038" w:type="dxa"/>
            <w:vAlign w:val="center"/>
          </w:tcPr>
          <w:p w14:paraId="1E32ACD9">
            <w:pPr/>
            <w:r>
              <w:rPr>
                <w:rFonts w:hint="eastAsia"/>
              </w:rPr>
              <w:t>【可用】唯一含"中断时长"的行政标准，与运营直接相关；但伤亡与损失项为事后统计量</w:t>
            </w:r>
          </w:p>
        </w:tc>
      </w:tr>
      <w:tr>
        <w:trPr/>
        <w:tc>
          <w:tcPr>
            <w:tcW w:w="1038" w:type="dxa"/>
            <w:vAlign w:val="center"/>
          </w:tcPr>
          <w:p w14:paraId="31DB22D0">
            <w:pPr/>
            <w:r>
              <w:rPr>
                <w:b w:val="1"/>
              </w:rPr>
              <w:t>A3</w:t>
            </w:r>
          </w:p>
        </w:tc>
        <w:tc>
          <w:tcPr>
            <w:tcW w:w="1038" w:type="dxa"/>
            <w:vAlign w:val="center"/>
          </w:tcPr>
          <w:p w14:paraId="1DA5C48D">
            <w:pPr/>
            <w:r>
              <w:rPr>
                <w:rFonts w:hint="eastAsia"/>
              </w:rPr>
              <w:t>《国家自然灾害救助应急预案》国办函〔2024〕11 号</w:t>
            </w:r>
          </w:p>
        </w:tc>
        <w:tc>
          <w:tcPr>
            <w:tcW w:w="1038" w:type="dxa"/>
            <w:vAlign w:val="center"/>
          </w:tcPr>
          <w:p w14:paraId="182FCD27">
            <w:pPr/>
            <w:r>
              <w:rPr>
                <w:rFonts w:hint="eastAsia"/>
              </w:rPr>
              <w:t>国务院办公厅 / 2024-01-20</w:t>
            </w:r>
          </w:p>
        </w:tc>
        <w:tc>
          <w:tcPr>
            <w:tcW w:w="1038" w:type="dxa"/>
            <w:vAlign w:val="center"/>
          </w:tcPr>
          <w:p w14:paraId="0E6EA92B">
            <w:pPr/>
            <w:r>
              <w:rPr>
                <w:rFonts w:hint="eastAsia"/>
              </w:rPr>
              <w:t>自然灾害救助</w:t>
            </w:r>
          </w:p>
        </w:tc>
        <w:tc>
          <w:tcPr>
            <w:tcW w:w="1038" w:type="dxa"/>
            <w:vAlign w:val="center"/>
          </w:tcPr>
          <w:p w14:paraId="38B95C48">
            <w:pPr/>
            <w:r>
              <w:rPr>
                <w:rFonts w:hint="eastAsia"/>
              </w:rPr>
              <w:t>4（一级—四级）</w:t>
            </w:r>
          </w:p>
        </w:tc>
        <w:tc>
          <w:tcPr>
            <w:tcW w:w="1038" w:type="dxa"/>
            <w:vAlign w:val="center"/>
          </w:tcPr>
          <w:p w14:paraId="462B6E9E">
            <w:pPr/>
            <w:r>
              <w:rPr>
                <w:rFonts w:hint="eastAsia"/>
              </w:rPr>
              <w:t>死亡失踪人数、紧急转移安置人数、倒损房屋、需政府救助人口</w:t>
            </w:r>
          </w:p>
        </w:tc>
        <w:tc>
          <w:tcPr>
            <w:tcW w:w="1038" w:type="dxa"/>
            <w:vAlign w:val="center"/>
          </w:tcPr>
          <w:p w14:paraId="2924DBD6">
            <w:pPr/>
            <w:r>
              <w:rPr>
                <w:rFonts w:hint="eastAsia"/>
              </w:rPr>
              <w:t xml:space="preserve">Ⅰ级：一省死亡失踪 </w:t>
            </w:r>
            <w:r>
              <w:rPr>
                <w:rFonts w:hint="eastAsia"/>
                <w:b w:val="1"/>
              </w:rPr>
              <w:t>200 人以上</w:t>
            </w:r>
            <w:r>
              <w:rPr>
                <w:rFonts w:hint="eastAsia"/>
              </w:rPr>
              <w:t xml:space="preserve">；或紧急转移安置 </w:t>
            </w:r>
            <w:r>
              <w:rPr>
                <w:rFonts w:hint="eastAsia"/>
                <w:b w:val="1"/>
              </w:rPr>
              <w:t>200 万人以上</w:t>
            </w:r>
            <w:r>
              <w:rPr>
                <w:rFonts w:hint="eastAsia"/>
              </w:rPr>
              <w:t>；或倒损房屋 30 万间以上</w:t>
            </w:r>
          </w:p>
        </w:tc>
        <w:tc>
          <w:tcPr>
            <w:tcW w:w="1038" w:type="dxa"/>
            <w:vAlign w:val="center"/>
          </w:tcPr>
          <w:p w14:paraId="2500A674">
            <w:pPr/>
            <w:r>
              <w:rPr>
                <w:rFonts w:hint="eastAsia"/>
              </w:rPr>
              <w:t>【不可用】以省为单元、以万人/万间为量级，与枢纽尺度差 3—4 个数量级</w:t>
            </w:r>
          </w:p>
        </w:tc>
      </w:tr>
      <w:tr>
        <w:trPr/>
        <w:tc>
          <w:tcPr>
            <w:tcW w:w="1038" w:type="dxa"/>
            <w:vAlign w:val="center"/>
          </w:tcPr>
          <w:p w14:paraId="3C32DCB4">
            <w:pPr/>
            <w:r>
              <w:rPr>
                <w:b w:val="1"/>
              </w:rPr>
              <w:t>A4</w:t>
            </w:r>
          </w:p>
        </w:tc>
        <w:tc>
          <w:tcPr>
            <w:tcW w:w="1038" w:type="dxa"/>
            <w:vAlign w:val="center"/>
          </w:tcPr>
          <w:p w14:paraId="29CF8760">
            <w:pPr/>
            <w:r>
              <w:rPr>
                <w:rFonts w:hint="eastAsia"/>
              </w:rPr>
              <w:t>《生产安全事故报告和调查处理条例》国务院令 493 号</w:t>
            </w:r>
          </w:p>
        </w:tc>
        <w:tc>
          <w:tcPr>
            <w:tcW w:w="1038" w:type="dxa"/>
            <w:vAlign w:val="center"/>
          </w:tcPr>
          <w:p w14:paraId="172CF53E">
            <w:pPr/>
            <w:r>
              <w:rPr>
                <w:rFonts w:hint="eastAsia"/>
              </w:rPr>
              <w:t>国务院 / 2007</w:t>
            </w:r>
          </w:p>
        </w:tc>
        <w:tc>
          <w:tcPr>
            <w:tcW w:w="1038" w:type="dxa"/>
            <w:vAlign w:val="center"/>
          </w:tcPr>
          <w:p w14:paraId="056DA942">
            <w:pPr/>
            <w:r>
              <w:rPr>
                <w:rFonts w:hint="eastAsia"/>
              </w:rPr>
              <w:t>生产安全事故</w:t>
            </w:r>
          </w:p>
        </w:tc>
        <w:tc>
          <w:tcPr>
            <w:tcW w:w="1038" w:type="dxa"/>
            <w:vAlign w:val="center"/>
          </w:tcPr>
          <w:p w14:paraId="5E4BC4AD">
            <w:pPr/>
            <w:r>
              <w:rPr>
                <w:rFonts w:hint="eastAsia"/>
              </w:rPr>
              <w:t>4（特别重大 / 重大 / 较大 / 一般）</w:t>
            </w:r>
          </w:p>
        </w:tc>
        <w:tc>
          <w:tcPr>
            <w:tcW w:w="1038" w:type="dxa"/>
            <w:vAlign w:val="center"/>
          </w:tcPr>
          <w:p w14:paraId="00B94388">
            <w:pPr/>
            <w:r>
              <w:rPr>
                <w:rFonts w:hint="eastAsia"/>
              </w:rPr>
              <w:t>死亡、重伤、直接经济损失</w:t>
            </w:r>
          </w:p>
        </w:tc>
        <w:tc>
          <w:tcPr>
            <w:tcW w:w="1038" w:type="dxa"/>
            <w:vAlign w:val="center"/>
          </w:tcPr>
          <w:p w14:paraId="6BFF99EB">
            <w:pPr/>
            <w:r>
              <w:rPr>
                <w:rFonts w:hint="eastAsia"/>
              </w:rPr>
              <w:t>特别重大：30 死以上 / 100 重伤以上 / 1 亿元以上</w:t>
            </w:r>
          </w:p>
        </w:tc>
        <w:tc>
          <w:tcPr>
            <w:tcW w:w="1038" w:type="dxa"/>
            <w:vAlign w:val="center"/>
          </w:tcPr>
          <w:p w14:paraId="461DB6B9">
            <w:pPr/>
            <w:r>
              <w:rPr>
                <w:rFonts w:hint="eastAsia"/>
              </w:rPr>
              <w:t>【不可用】纯事后统计，无任何运营维度</w:t>
            </w:r>
          </w:p>
        </w:tc>
      </w:tr>
      <w:tr>
        <w:trPr/>
        <w:tc>
          <w:tcPr>
            <w:tcW w:w="1038" w:type="dxa"/>
            <w:vAlign w:val="center"/>
          </w:tcPr>
          <w:p w14:paraId="5F65086F">
            <w:pPr/>
            <w:r>
              <w:rPr>
                <w:b w:val="1"/>
              </w:rPr>
              <w:t>A5</w:t>
            </w:r>
          </w:p>
        </w:tc>
        <w:tc>
          <w:tcPr>
            <w:tcW w:w="1038" w:type="dxa"/>
            <w:vAlign w:val="center"/>
          </w:tcPr>
          <w:p w14:paraId="4C80F88B">
            <w:pPr/>
            <w:r>
              <w:rPr>
                <w:rFonts w:hint="eastAsia"/>
              </w:rPr>
              <w:t>民航《大面积航班延误应急响应机制》（MDRS）</w:t>
            </w:r>
          </w:p>
        </w:tc>
        <w:tc>
          <w:tcPr>
            <w:tcW w:w="1038" w:type="dxa"/>
            <w:vAlign w:val="center"/>
          </w:tcPr>
          <w:p w14:paraId="4249C58F">
            <w:pPr/>
            <w:r>
              <w:rPr>
                <w:rFonts w:hint="eastAsia"/>
              </w:rPr>
              <w:t>民航局空管局</w:t>
            </w:r>
          </w:p>
        </w:tc>
        <w:tc>
          <w:tcPr>
            <w:tcW w:w="1038" w:type="dxa"/>
            <w:vAlign w:val="center"/>
          </w:tcPr>
          <w:p w14:paraId="0E9EB234">
            <w:pPr/>
            <w:r>
              <w:rPr>
                <w:rFonts w:hint="eastAsia"/>
              </w:rPr>
              <w:t>机场大面积航班延误</w:t>
            </w:r>
          </w:p>
        </w:tc>
        <w:tc>
          <w:tcPr>
            <w:tcW w:w="1038" w:type="dxa"/>
            <w:vAlign w:val="center"/>
          </w:tcPr>
          <w:p w14:paraId="37AFDCEB">
            <w:pPr/>
            <w:r>
              <w:rPr>
                <w:rFonts w:hint="eastAsia"/>
              </w:rPr>
              <w:t>3（黄 / 橙 / 红）</w:t>
            </w:r>
          </w:p>
        </w:tc>
        <w:tc>
          <w:tcPr>
            <w:tcW w:w="1038" w:type="dxa"/>
            <w:vAlign w:val="center"/>
          </w:tcPr>
          <w:p w14:paraId="579E23CB">
            <w:pPr/>
            <w:r>
              <w:rPr>
                <w:rFonts w:hint="eastAsia"/>
                <w:b w:val="1"/>
              </w:rPr>
              <w:t>通行能力下降百分比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延误航班架次</w:t>
            </w:r>
          </w:p>
        </w:tc>
        <w:tc>
          <w:tcPr>
            <w:tcW w:w="1038" w:type="dxa"/>
            <w:vAlign w:val="center"/>
          </w:tcPr>
          <w:p w14:paraId="1A2DCD49">
            <w:pPr/>
            <w:r>
              <w:rPr>
                <w:rFonts w:hint="eastAsia"/>
              </w:rPr>
              <w:t xml:space="preserve">黄：能力下降 25%，或延误 &gt;1 h 且未定 20—30 架次；橙：50%，或 30—50 架次；红：75%，或 50 架次以上。另：预警须在开始前 </w:t>
            </w:r>
            <w:r>
              <w:rPr>
                <w:rFonts w:hint="eastAsia"/>
                <w:b w:val="1"/>
              </w:rPr>
              <w:t>6 h 或更早</w:t>
            </w:r>
            <w:r>
              <w:rPr>
                <w:rFonts w:hint="eastAsia"/>
              </w:rPr>
              <w:t>发布</w:t>
            </w:r>
          </w:p>
        </w:tc>
        <w:tc>
          <w:tcPr>
            <w:tcW w:w="1038" w:type="dxa"/>
            <w:vAlign w:val="center"/>
          </w:tcPr>
          <w:p w14:paraId="41F8D008">
            <w:pPr/>
            <w:r>
              <w:rPr>
                <w:rFonts w:hint="eastAsia"/>
              </w:rPr>
              <w:t>【可用】以"通行能力下降"为量纲，运营导向强；但仅覆盖民航</w:t>
            </w:r>
          </w:p>
        </w:tc>
      </w:tr>
      <w:tr>
        <w:trPr/>
        <w:tc>
          <w:tcPr>
            <w:tcW w:w="1038" w:type="dxa"/>
            <w:vAlign w:val="center"/>
          </w:tcPr>
          <w:p w14:paraId="5ACAAB80">
            <w:pPr/>
            <w:r>
              <w:rPr>
                <w:b w:val="1"/>
              </w:rPr>
              <w:t>A6</w:t>
            </w:r>
          </w:p>
        </w:tc>
        <w:tc>
          <w:tcPr>
            <w:tcW w:w="1038" w:type="dxa"/>
            <w:vAlign w:val="center"/>
          </w:tcPr>
          <w:p w14:paraId="4D36A5C0">
            <w:pPr/>
            <w:r>
              <w:rPr>
                <w:rFonts w:hint="eastAsia"/>
              </w:rPr>
              <w:t>《铁路突发大客流及旅客列车大面积晚点应急预案（暂行）》铁运〔2008〕237 号</w:t>
            </w:r>
          </w:p>
        </w:tc>
        <w:tc>
          <w:tcPr>
            <w:tcW w:w="1038" w:type="dxa"/>
            <w:vAlign w:val="center"/>
          </w:tcPr>
          <w:p w14:paraId="549D4EF4">
            <w:pPr/>
            <w:r>
              <w:rPr>
                <w:rFonts w:hint="eastAsia"/>
              </w:rPr>
              <w:t>原铁道部 / 2008</w:t>
            </w:r>
          </w:p>
        </w:tc>
        <w:tc>
          <w:tcPr>
            <w:tcW w:w="1038" w:type="dxa"/>
            <w:vAlign w:val="center"/>
          </w:tcPr>
          <w:p w14:paraId="5ADBF7FE">
            <w:pPr/>
            <w:r>
              <w:rPr>
                <w:rFonts w:hint="eastAsia"/>
              </w:rPr>
              <w:t>铁路突发大客流、列车大面积晚点</w:t>
            </w:r>
          </w:p>
        </w:tc>
        <w:tc>
          <w:tcPr>
            <w:tcW w:w="1038" w:type="dxa"/>
            <w:vAlign w:val="center"/>
          </w:tcPr>
          <w:p w14:paraId="4912367A">
            <w:pPr/>
            <w:r>
              <w:rPr>
                <w:rFonts w:hint="eastAsia"/>
              </w:rPr>
              <w:t>3（Ⅰ—Ⅲ）</w:t>
            </w:r>
          </w:p>
        </w:tc>
        <w:tc>
          <w:tcPr>
            <w:tcW w:w="1038" w:type="dxa"/>
            <w:vAlign w:val="center"/>
          </w:tcPr>
          <w:p w14:paraId="56AC1528">
            <w:pPr/>
            <w:r>
              <w:rPr>
                <w:rFonts w:hint="eastAsia"/>
                <w:b w:val="1"/>
              </w:rPr>
              <w:t>晚点时长 × 晚点列数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中断时长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滞留旅客占候车能力倍数</w:t>
            </w:r>
          </w:p>
        </w:tc>
        <w:tc>
          <w:tcPr>
            <w:tcW w:w="1038" w:type="dxa"/>
            <w:vAlign w:val="center"/>
          </w:tcPr>
          <w:p w14:paraId="62A43FBD">
            <w:pPr/>
            <w:r>
              <w:rPr>
                <w:rFonts w:hint="eastAsia"/>
              </w:rPr>
              <w:t>Ⅲ级：晚点 0.5—1 h 且 10—30 列；Ⅱ级：晚点 1—3 h 且 30—60 列；中断 3 h / 6 h 无法恢复通车；特一等站滞留超候车能力 200%（Ⅱ级）或 100%（Ⅲ级）</w:t>
            </w:r>
          </w:p>
        </w:tc>
        <w:tc>
          <w:tcPr>
            <w:tcW w:w="1038" w:type="dxa"/>
            <w:vAlign w:val="center"/>
          </w:tcPr>
          <w:p w14:paraId="1B12410A">
            <w:pPr/>
            <w:r>
              <w:rPr>
                <w:rFonts w:hint="eastAsia"/>
              </w:rPr>
              <w:t>【最佳】</w:t>
            </w:r>
            <w:r>
              <w:rPr>
                <w:rFonts w:hint="eastAsia"/>
                <w:b w:val="1"/>
              </w:rPr>
              <w:t>双维量纲（时长 × 规模）</w:t>
            </w:r>
            <w:r>
              <w:rPr>
                <w:rFonts w:hint="eastAsia"/>
              </w:rPr>
              <w:t>，与本课题情景库设计最接近，是最佳文献锚点</w:t>
            </w:r>
          </w:p>
        </w:tc>
      </w:tr>
    </w:tbl>
    <w:p w14:paraId="1D2C0F08">
      <w:pPr/>
      <w:r>
        <w:rPr>
          <w:rFonts w:hint="eastAsia"/>
          <w:b w:val="1"/>
        </w:rPr>
        <w:t>A 组小结</w:t>
      </w:r>
      <w:r>
        <w:rPr>
          <w:rFonts w:hint="eastAsia"/>
        </w:rPr>
        <w:t>：6 个来源中，真正的量化分级只有 3 个（A2 中断时长、A5 通行能力%、A6 晚点时长×列数）与运营相关；A1 无量化阈值，A3/A4 的量纲与枢纽尺度完全脱节。</w:t>
      </w:r>
    </w:p>
    <w:p w14:paraId="26A566E4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表 B｜枢纽分级：对象侧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1F80B0A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186" w:type="dxa"/>
            <w:vAlign w:val="center"/>
          </w:tcPr>
          <w:p w14:paraId="1764016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186" w:type="dxa"/>
            <w:vAlign w:val="center"/>
          </w:tcPr>
          <w:p w14:paraId="083775D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层级</w:t>
            </w:r>
          </w:p>
        </w:tc>
        <w:tc>
          <w:tcPr>
            <w:tcW w:w="1186" w:type="dxa"/>
            <w:vAlign w:val="center"/>
          </w:tcPr>
          <w:p w14:paraId="468791C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分级对象</w:t>
            </w:r>
          </w:p>
        </w:tc>
        <w:tc>
          <w:tcPr>
            <w:tcW w:w="1186" w:type="dxa"/>
            <w:vAlign w:val="center"/>
          </w:tcPr>
          <w:p w14:paraId="3E64004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级数</w:t>
            </w:r>
          </w:p>
        </w:tc>
        <w:tc>
          <w:tcPr>
            <w:tcW w:w="1186" w:type="dxa"/>
            <w:vAlign w:val="center"/>
          </w:tcPr>
          <w:p w14:paraId="74A6E4C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1186" w:type="dxa"/>
            <w:vAlign w:val="center"/>
          </w:tcPr>
          <w:p w14:paraId="21164AD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</w:tr>
      <w:tr>
        <w:trPr/>
        <w:tc>
          <w:tcPr>
            <w:tcW w:w="1186" w:type="dxa"/>
            <w:vAlign w:val="center"/>
          </w:tcPr>
          <w:p w14:paraId="3801F369">
            <w:pPr/>
            <w:r>
              <w:rPr>
                <w:b w:val="1"/>
              </w:rPr>
              <w:t>B1</w:t>
            </w:r>
          </w:p>
        </w:tc>
        <w:tc>
          <w:tcPr>
            <w:tcW w:w="1186" w:type="dxa"/>
            <w:vAlign w:val="center"/>
          </w:tcPr>
          <w:p w14:paraId="0E00AA86">
            <w:pPr/>
            <w:r>
              <w:rPr>
                <w:rFonts w:hint="eastAsia"/>
              </w:rPr>
              <w:t>《综合客运枢纽级别划分》</w:t>
            </w:r>
            <w:r>
              <w:rPr>
                <w:b w:val="1"/>
              </w:rPr>
              <w:t>JT/T 1453—2023</w:t>
            </w:r>
          </w:p>
        </w:tc>
        <w:tc>
          <w:tcPr>
            <w:tcW w:w="1186" w:type="dxa"/>
            <w:vAlign w:val="center"/>
          </w:tcPr>
          <w:p w14:paraId="53BC0C13">
            <w:pPr/>
            <w:r>
              <w:rPr>
                <w:rFonts w:hint="eastAsia"/>
              </w:rPr>
              <w:t>交通运输部行业标准</w:t>
            </w:r>
          </w:p>
        </w:tc>
        <w:tc>
          <w:tcPr>
            <w:tcW w:w="1186" w:type="dxa"/>
            <w:vAlign w:val="center"/>
          </w:tcPr>
          <w:p w14:paraId="4C7D602F">
            <w:pPr/>
            <w:r>
              <w:rPr>
                <w:rFonts w:hint="eastAsia"/>
              </w:rPr>
              <w:t>综合客运枢纽</w:t>
            </w:r>
          </w:p>
        </w:tc>
        <w:tc>
          <w:tcPr>
            <w:tcW w:w="1186" w:type="dxa"/>
            <w:vAlign w:val="center"/>
          </w:tcPr>
          <w:p w14:paraId="72489CD2">
            <w:pPr/>
            <w:r>
              <w:rPr>
                <w:rFonts w:hint="eastAsia"/>
              </w:rPr>
              <w:t>4（一级—四级）</w:t>
            </w:r>
          </w:p>
        </w:tc>
        <w:tc>
          <w:tcPr>
            <w:tcW w:w="1186" w:type="dxa"/>
            <w:vAlign w:val="center"/>
          </w:tcPr>
          <w:p w14:paraId="3212BEE5">
            <w:pPr/>
            <w:r>
              <w:rPr>
                <w:rFonts w:hint="eastAsia"/>
                <w:b w:val="1"/>
              </w:rPr>
              <w:t>年度日均枢纽总发送量 x</w:t>
            </w:r>
            <w:r>
              <w:rPr>
                <w:rFonts w:hint="eastAsia"/>
              </w:rPr>
              <w:t>；</w:t>
            </w:r>
            <w:r>
              <w:rPr>
                <w:rFonts w:hint="eastAsia"/>
                <w:b w:val="1"/>
              </w:rPr>
              <w:t>年度日均对外运输方式总发送量 y</w:t>
            </w:r>
            <w:r>
              <w:rPr>
                <w:rFonts w:hint="eastAsia"/>
              </w:rPr>
              <w:t>（万人次）</w:t>
            </w:r>
          </w:p>
        </w:tc>
        <w:tc>
          <w:tcPr>
            <w:tcW w:w="1186" w:type="dxa"/>
            <w:vAlign w:val="center"/>
          </w:tcPr>
          <w:p w14:paraId="7172B890">
            <w:pPr/>
            <w:r>
              <w:rPr>
                <w:rFonts w:hint="eastAsia"/>
              </w:rPr>
              <w:t>铁路/公路主导型：一级 x≥10、y≥5；二级 2≤x、1≤y；三级 1≤x、0.5≤y；四级其余。航空主导型：一级 x≥10、y≥5；二级 6≤x、3≤y；三级 2≤x、1≤y</w:t>
            </w:r>
          </w:p>
        </w:tc>
      </w:tr>
      <w:tr>
        <w:trPr/>
        <w:tc>
          <w:tcPr>
            <w:tcW w:w="1186" w:type="dxa"/>
            <w:vAlign w:val="center"/>
          </w:tcPr>
          <w:p w14:paraId="0E83A60B">
            <w:pPr/>
            <w:r>
              <w:rPr>
                <w:b w:val="1"/>
              </w:rPr>
              <w:t>B2</w:t>
            </w:r>
          </w:p>
        </w:tc>
        <w:tc>
          <w:tcPr>
            <w:tcW w:w="1186" w:type="dxa"/>
            <w:vAlign w:val="center"/>
          </w:tcPr>
          <w:p w14:paraId="0BCED6FB">
            <w:pPr/>
            <w:r>
              <w:rPr>
                <w:rFonts w:hint="eastAsia"/>
              </w:rPr>
              <w:t>《城市综合客运交通枢纽服务规范》</w:t>
            </w:r>
            <w:r>
              <w:rPr>
                <w:b w:val="1"/>
              </w:rPr>
              <w:t>DB11/T 1551—2018</w:t>
            </w:r>
          </w:p>
        </w:tc>
        <w:tc>
          <w:tcPr>
            <w:tcW w:w="1186" w:type="dxa"/>
            <w:vAlign w:val="center"/>
          </w:tcPr>
          <w:p w14:paraId="1BF78147">
            <w:pPr/>
            <w:r>
              <w:rPr>
                <w:rFonts w:hint="eastAsia"/>
              </w:rPr>
              <w:t>北京市地方标准</w:t>
            </w:r>
          </w:p>
        </w:tc>
        <w:tc>
          <w:tcPr>
            <w:tcW w:w="1186" w:type="dxa"/>
            <w:vAlign w:val="center"/>
          </w:tcPr>
          <w:p w14:paraId="0C56DD3D">
            <w:pPr/>
            <w:r>
              <w:rPr>
                <w:rFonts w:hint="eastAsia"/>
              </w:rPr>
              <w:t>城市综合客运交通枢纽</w:t>
            </w:r>
          </w:p>
        </w:tc>
        <w:tc>
          <w:tcPr>
            <w:tcW w:w="1186" w:type="dxa"/>
            <w:vAlign w:val="center"/>
          </w:tcPr>
          <w:p w14:paraId="0E1262A5">
            <w:pPr/>
            <w:r>
              <w:rPr>
                <w:rFonts w:hint="eastAsia"/>
              </w:rPr>
              <w:t>分类 3 类 + 分级 3 级</w:t>
            </w:r>
          </w:p>
        </w:tc>
        <w:tc>
          <w:tcPr>
            <w:tcW w:w="1186" w:type="dxa"/>
            <w:vAlign w:val="center"/>
          </w:tcPr>
          <w:p w14:paraId="1980DA9D">
            <w:pPr/>
            <w:r>
              <w:rPr>
                <w:rFonts w:hint="eastAsia"/>
                <w:b w:val="1"/>
              </w:rPr>
              <w:t>接入交通方式类型</w:t>
            </w:r>
            <w:r>
              <w:rPr>
                <w:rFonts w:hint="eastAsia"/>
              </w:rPr>
              <w:t>（分类）；</w:t>
            </w:r>
            <w:r>
              <w:rPr>
                <w:rFonts w:hint="eastAsia"/>
                <w:b w:val="1"/>
              </w:rPr>
              <w:t>日均换乘量 P</w:t>
            </w:r>
            <w:r>
              <w:rPr>
                <w:rFonts w:hint="eastAsia"/>
              </w:rPr>
              <w:t>（分级）</w:t>
            </w:r>
          </w:p>
        </w:tc>
        <w:tc>
          <w:tcPr>
            <w:tcW w:w="1186" w:type="dxa"/>
            <w:vAlign w:val="center"/>
          </w:tcPr>
          <w:p w14:paraId="0B5B5E07">
            <w:pPr/>
            <w:r>
              <w:rPr>
                <w:rFonts w:hint="eastAsia"/>
              </w:rPr>
              <w:t>A 类：接入航空/铁路/长途汽车等对外方式；B 类：市域公交/轨交；C 类：市内公交/轨交。一级 P≥20 万；二级 10≤P&lt;20 万；三级 P&lt;10 万</w:t>
            </w:r>
          </w:p>
        </w:tc>
      </w:tr>
      <w:tr>
        <w:trPr/>
        <w:tc>
          <w:tcPr>
            <w:tcW w:w="1186" w:type="dxa"/>
            <w:vAlign w:val="center"/>
          </w:tcPr>
          <w:p w14:paraId="204895F2">
            <w:pPr/>
            <w:r>
              <w:rPr>
                <w:b w:val="1"/>
              </w:rPr>
              <w:t>B3</w:t>
            </w:r>
          </w:p>
        </w:tc>
        <w:tc>
          <w:tcPr>
            <w:tcW w:w="1186" w:type="dxa"/>
            <w:vAlign w:val="center"/>
          </w:tcPr>
          <w:p w14:paraId="76C87247">
            <w:pPr/>
            <w:r>
              <w:rPr>
                <w:rFonts w:hint="eastAsia"/>
              </w:rPr>
              <w:t>《城市客运交通枢纽分类分级》（国家标准，标准号待核）</w:t>
            </w:r>
          </w:p>
        </w:tc>
        <w:tc>
          <w:tcPr>
            <w:tcW w:w="1186" w:type="dxa"/>
            <w:vAlign w:val="center"/>
          </w:tcPr>
          <w:p w14:paraId="2D07F3C2">
            <w:pPr/>
            <w:r>
              <w:rPr>
                <w:rFonts w:hint="eastAsia"/>
              </w:rPr>
              <w:t>国家标准</w:t>
            </w:r>
          </w:p>
        </w:tc>
        <w:tc>
          <w:tcPr>
            <w:tcW w:w="1186" w:type="dxa"/>
            <w:vAlign w:val="center"/>
          </w:tcPr>
          <w:p w14:paraId="5326CA2F">
            <w:pPr/>
            <w:r>
              <w:rPr>
                <w:rFonts w:hint="eastAsia"/>
              </w:rPr>
              <w:t>城市客运交通枢纽</w:t>
            </w:r>
          </w:p>
        </w:tc>
        <w:tc>
          <w:tcPr>
            <w:tcW w:w="1186" w:type="dxa"/>
            <w:vAlign w:val="center"/>
          </w:tcPr>
          <w:p w14:paraId="632D02A3">
            <w:pPr/>
            <w:r>
              <w:rPr>
                <w:rFonts w:hint="eastAsia"/>
              </w:rPr>
              <w:t>分类 + 分级</w:t>
            </w:r>
          </w:p>
        </w:tc>
        <w:tc>
          <w:tcPr>
            <w:tcW w:w="1186" w:type="dxa"/>
            <w:vAlign w:val="center"/>
          </w:tcPr>
          <w:p w14:paraId="54EAC9F1">
            <w:pPr/>
            <w:r>
              <w:rPr>
                <w:rFonts w:hint="eastAsia"/>
              </w:rPr>
              <w:t>规划年限枢纽日客流量</w:t>
            </w:r>
          </w:p>
        </w:tc>
        <w:tc>
          <w:tcPr>
            <w:tcW w:w="1186" w:type="dxa"/>
            <w:vAlign w:val="center"/>
          </w:tcPr>
          <w:p w14:paraId="7C786BB2">
            <w:pPr/>
            <w:r>
              <w:rPr>
                <w:rFonts w:hint="eastAsia"/>
              </w:rPr>
              <w:t>分城市综合客运枢纽（航空/铁路/公路/港口）与城市公共交通枢纽（轨交/公交）两类。基于国内 36 个航空、57 个铁路、59 个长途汽车、18 个综合枢纽及 5 城市 776 个轨交枢纽的客流量数据编制</w:t>
            </w:r>
          </w:p>
        </w:tc>
      </w:tr>
      <w:tr>
        <w:trPr/>
        <w:tc>
          <w:tcPr>
            <w:tcW w:w="1186" w:type="dxa"/>
            <w:vAlign w:val="center"/>
          </w:tcPr>
          <w:p w14:paraId="155AE27A">
            <w:pPr/>
            <w:r>
              <w:rPr>
                <w:b w:val="1"/>
              </w:rPr>
              <w:t>B4</w:t>
            </w:r>
          </w:p>
        </w:tc>
        <w:tc>
          <w:tcPr>
            <w:tcW w:w="1186" w:type="dxa"/>
            <w:vAlign w:val="center"/>
          </w:tcPr>
          <w:p w14:paraId="5B3E1DC1">
            <w:pPr/>
            <w:r>
              <w:rPr>
                <w:rFonts w:hint="eastAsia"/>
              </w:rPr>
              <w:t>《湖南省综合客运枢纽布局规划（2019—2035）》</w:t>
            </w:r>
          </w:p>
        </w:tc>
        <w:tc>
          <w:tcPr>
            <w:tcW w:w="1186" w:type="dxa"/>
            <w:vAlign w:val="center"/>
          </w:tcPr>
          <w:p w14:paraId="11EF094A">
            <w:pPr/>
            <w:r>
              <w:rPr>
                <w:rFonts w:hint="eastAsia"/>
              </w:rPr>
              <w:t>省级规划</w:t>
            </w:r>
          </w:p>
        </w:tc>
        <w:tc>
          <w:tcPr>
            <w:tcW w:w="1186" w:type="dxa"/>
            <w:vAlign w:val="center"/>
          </w:tcPr>
          <w:p w14:paraId="44389CA9">
            <w:pPr/>
            <w:r>
              <w:rPr>
                <w:rFonts w:hint="eastAsia"/>
              </w:rPr>
              <w:t>省级综合客运枢纽</w:t>
            </w:r>
          </w:p>
        </w:tc>
        <w:tc>
          <w:tcPr>
            <w:tcW w:w="1186" w:type="dxa"/>
            <w:vAlign w:val="center"/>
          </w:tcPr>
          <w:p w14:paraId="7F2AB70C">
            <w:pPr/>
            <w:r>
              <w:rPr>
                <w:rFonts w:hint="eastAsia"/>
              </w:rPr>
              <w:t>4（特大型 / 大型 / 中型 / 小型）</w:t>
            </w:r>
          </w:p>
        </w:tc>
        <w:tc>
          <w:tcPr>
            <w:tcW w:w="1186" w:type="dxa"/>
            <w:vAlign w:val="center"/>
          </w:tcPr>
          <w:p w14:paraId="0CF9A024">
            <w:pPr/>
            <w:r>
              <w:rPr>
                <w:rFonts w:hint="eastAsia"/>
              </w:rPr>
              <w:t>公路旅客日发送量、铁路旅客日发送量、机场年吞吐量</w:t>
            </w:r>
          </w:p>
        </w:tc>
        <w:tc>
          <w:tcPr>
            <w:tcW w:w="1186" w:type="dxa"/>
            <w:vAlign w:val="center"/>
          </w:tcPr>
          <w:p w14:paraId="6A738170">
            <w:pPr/>
            <w:r>
              <w:rPr>
                <w:rFonts w:hint="eastAsia"/>
              </w:rPr>
              <w:t>特大型：铁路日发送 &gt;5 万，或公路 &gt;0.8 万，或机场 &gt;500 万；大型：铁路 3—5 万；中型：1.5—3 万；小型：&lt;1.5 万</w:t>
            </w:r>
          </w:p>
        </w:tc>
      </w:tr>
    </w:tbl>
    <w:p w14:paraId="32EC41CB">
      <w:pPr/>
      <w:r>
        <w:rPr>
          <w:rFonts w:hint="eastAsia"/>
          <w:b w:val="1"/>
        </w:rPr>
        <w:t>虹桥对标结论</w:t>
      </w:r>
      <w:r>
        <w:rPr>
          <w:rFonts w:hint="eastAsia"/>
        </w:rPr>
        <w:t xml:space="preserve">：虹桥枢纽春运到发总量 2200 万人次、日均到发约 </w:t>
      </w:r>
      <w:r>
        <w:rPr>
          <w:rFonts w:hint="eastAsia"/>
          <w:b w:val="1"/>
        </w:rPr>
        <w:t>55 万人次</w:t>
      </w:r>
      <w:r>
        <w:rPr>
          <w:rFonts w:hint="eastAsia"/>
        </w:rPr>
        <w:t>，远超 B1 一级标准（x≥10 万）与 B2 一级标准（P≥20 万）。</w:t>
      </w:r>
      <w:r>
        <w:rPr>
          <w:rFonts w:hint="eastAsia"/>
          <w:b w:val="1"/>
        </w:rPr>
        <w:t>虹桥属明确的"超大型枢纽"，且多个维度上居国内首位</w:t>
      </w:r>
      <w:r>
        <w:rPr>
          <w:rFonts w:hint="eastAsia"/>
        </w:rPr>
        <w:t>（占全市对外交通总量 52%）。</w:t>
      </w:r>
    </w:p>
    <w:p w14:paraId="30813D2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表 C｜枢纽应急预案分级：场景侧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rPr>
          <w:tblHeader w:val="1"/>
        </w:trPr>
        <w:tc>
          <w:tcPr>
            <w:tcW w:w="1186" w:type="dxa"/>
            <w:vAlign w:val="center"/>
          </w:tcPr>
          <w:p w14:paraId="29A45EE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186" w:type="dxa"/>
            <w:vAlign w:val="center"/>
          </w:tcPr>
          <w:p w14:paraId="2149FF2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来源</w:t>
            </w:r>
          </w:p>
        </w:tc>
        <w:tc>
          <w:tcPr>
            <w:tcW w:w="1186" w:type="dxa"/>
            <w:vAlign w:val="center"/>
          </w:tcPr>
          <w:p w14:paraId="5B816E0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分级对象</w:t>
            </w:r>
          </w:p>
        </w:tc>
        <w:tc>
          <w:tcPr>
            <w:tcW w:w="1186" w:type="dxa"/>
            <w:vAlign w:val="center"/>
          </w:tcPr>
          <w:p w14:paraId="50A4CC02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级数</w:t>
            </w:r>
          </w:p>
        </w:tc>
        <w:tc>
          <w:tcPr>
            <w:tcW w:w="1186" w:type="dxa"/>
            <w:vAlign w:val="center"/>
          </w:tcPr>
          <w:p w14:paraId="0DEB7F07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分级量纲</w:t>
            </w:r>
          </w:p>
        </w:tc>
        <w:tc>
          <w:tcPr>
            <w:tcW w:w="1186" w:type="dxa"/>
            <w:vAlign w:val="center"/>
          </w:tcPr>
          <w:p w14:paraId="46138E1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具体阈值</w:t>
            </w:r>
          </w:p>
        </w:tc>
        <w:tc>
          <w:tcPr>
            <w:tcW w:w="1186" w:type="dxa"/>
            <w:vAlign w:val="center"/>
          </w:tcPr>
          <w:p w14:paraId="0BBA04AF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对枢纽调度的可用性</w:t>
            </w:r>
          </w:p>
        </w:tc>
      </w:tr>
      <w:tr>
        <w:trPr/>
        <w:tc>
          <w:tcPr>
            <w:tcW w:w="1186" w:type="dxa"/>
            <w:vAlign w:val="center"/>
          </w:tcPr>
          <w:p w14:paraId="22DC4E59">
            <w:pPr/>
            <w:r>
              <w:rPr>
                <w:b w:val="1"/>
              </w:rPr>
              <w:t>C1</w:t>
            </w:r>
          </w:p>
        </w:tc>
        <w:tc>
          <w:tcPr>
            <w:tcW w:w="1186" w:type="dxa"/>
            <w:vAlign w:val="center"/>
          </w:tcPr>
          <w:p w14:paraId="74FFC8AF">
            <w:pPr/>
            <w:r>
              <w:rPr>
                <w:rFonts w:hint="eastAsia"/>
              </w:rPr>
              <w:t>《虹桥综合交通枢纽突发事件总体应急预案（2022）》</w:t>
            </w:r>
          </w:p>
        </w:tc>
        <w:tc>
          <w:tcPr>
            <w:tcW w:w="1186" w:type="dxa"/>
            <w:vAlign w:val="center"/>
          </w:tcPr>
          <w:p w14:paraId="653CEBA3">
            <w:pPr/>
            <w:r>
              <w:rPr>
                <w:rFonts w:hint="eastAsia"/>
              </w:rPr>
              <w:t>枢纽突发事件</w:t>
            </w:r>
          </w:p>
        </w:tc>
        <w:tc>
          <w:tcPr>
            <w:tcW w:w="1186" w:type="dxa"/>
            <w:vAlign w:val="center"/>
          </w:tcPr>
          <w:p w14:paraId="537E03B4">
            <w:pPr/>
            <w:r>
              <w:rPr>
                <w:rFonts w:hint="eastAsia"/>
              </w:rPr>
              <w:t>4（Ⅰ—Ⅳ）</w:t>
            </w:r>
          </w:p>
        </w:tc>
        <w:tc>
          <w:tcPr>
            <w:tcW w:w="1186" w:type="dxa"/>
            <w:vAlign w:val="center"/>
          </w:tcPr>
          <w:p w14:paraId="470361E8">
            <w:pPr/>
            <w:r>
              <w:rPr>
                <w:rFonts w:hint="eastAsia"/>
              </w:rPr>
              <w:t>事件性质、规模、</w:t>
            </w:r>
            <w:r>
              <w:rPr>
                <w:rFonts w:hint="eastAsia"/>
                <w:b w:val="1"/>
              </w:rPr>
              <w:t>影响范围</w:t>
            </w:r>
            <w:r>
              <w:rPr>
                <w:rFonts w:hint="eastAsia"/>
              </w:rPr>
              <w:t>（按波及单位数 / 地理范围）</w:t>
            </w:r>
          </w:p>
        </w:tc>
        <w:tc>
          <w:tcPr>
            <w:tcW w:w="1186" w:type="dxa"/>
            <w:vAlign w:val="center"/>
          </w:tcPr>
          <w:p w14:paraId="18BC6C46">
            <w:pPr/>
            <w:r>
              <w:rPr>
                <w:rFonts w:hint="eastAsia"/>
              </w:rPr>
              <w:t>Ⅳ级：性质一般，影响范围涉及</w:t>
            </w:r>
            <w:r>
              <w:rPr>
                <w:rFonts w:hint="eastAsia"/>
                <w:b w:val="1"/>
              </w:rPr>
              <w:t>枢纽内单个运营管理单位</w:t>
            </w:r>
            <w:r>
              <w:rPr>
                <w:rFonts w:hint="eastAsia"/>
              </w:rPr>
              <w:t>；Ⅲ级：性质较为严重，涉及</w:t>
            </w:r>
            <w:r>
              <w:rPr>
                <w:rFonts w:hint="eastAsia"/>
                <w:b w:val="1"/>
              </w:rPr>
              <w:t>两个及以上单位</w:t>
            </w:r>
            <w:r>
              <w:rPr>
                <w:rFonts w:hint="eastAsia"/>
              </w:rPr>
              <w:t>，各自无法单独处置；Ⅱ级：性质严重，波及</w:t>
            </w:r>
            <w:r>
              <w:rPr>
                <w:rFonts w:hint="eastAsia"/>
                <w:b w:val="1"/>
              </w:rPr>
              <w:t>枢纽地区全域</w:t>
            </w:r>
            <w:r>
              <w:rPr>
                <w:rFonts w:hint="eastAsia"/>
              </w:rPr>
              <w:t>；Ⅰ级：性质特别严重，涉及</w:t>
            </w:r>
            <w:r>
              <w:rPr>
                <w:rFonts w:hint="eastAsia"/>
                <w:b w:val="1"/>
              </w:rPr>
              <w:t>枢纽外围地区或超出枢纽处置能力</w:t>
            </w:r>
            <w:r>
              <w:rPr>
                <w:rFonts w:hint="eastAsia"/>
              </w:rPr>
              <w:t>，须请求市应急委</w:t>
            </w:r>
          </w:p>
        </w:tc>
        <w:tc>
          <w:tcPr>
            <w:tcW w:w="1186" w:type="dxa"/>
            <w:vAlign w:val="center"/>
          </w:tcPr>
          <w:p w14:paraId="35955700">
            <w:pPr/>
            <w:r>
              <w:rPr>
                <w:rFonts w:hint="eastAsia"/>
              </w:rPr>
              <w:t>【注意】</w:t>
            </w:r>
            <w:r>
              <w:rPr>
                <w:rFonts w:hint="eastAsia"/>
                <w:b w:val="1"/>
              </w:rPr>
              <w:t>"影响范围"实为组织维度，不含"运力到位需多长时间"</w:t>
            </w:r>
            <w:r>
              <w:rPr>
                <w:rFonts w:hint="eastAsia"/>
              </w:rPr>
              <w:t>；与本课题所需量纲不符</w:t>
            </w:r>
          </w:p>
        </w:tc>
      </w:tr>
      <w:tr>
        <w:trPr/>
        <w:tc>
          <w:tcPr>
            <w:tcW w:w="1186" w:type="dxa"/>
            <w:vAlign w:val="center"/>
          </w:tcPr>
          <w:p w14:paraId="4EBA8F8F">
            <w:pPr/>
            <w:r>
              <w:rPr>
                <w:b w:val="1"/>
              </w:rPr>
              <w:t>C2</w:t>
            </w:r>
          </w:p>
        </w:tc>
        <w:tc>
          <w:tcPr>
            <w:tcW w:w="1186" w:type="dxa"/>
            <w:vAlign w:val="center"/>
          </w:tcPr>
          <w:p w14:paraId="07AD36EA">
            <w:pPr/>
            <w:r>
              <w:rPr>
                <w:rFonts w:hint="eastAsia"/>
              </w:rPr>
              <w:t>《虹桥综合交通枢纽大面积延误专项应急预案》</w:t>
            </w:r>
          </w:p>
        </w:tc>
        <w:tc>
          <w:tcPr>
            <w:tcW w:w="1186" w:type="dxa"/>
            <w:vAlign w:val="center"/>
          </w:tcPr>
          <w:p w14:paraId="5315DE5D">
            <w:pPr/>
            <w:r>
              <w:rPr>
                <w:rFonts w:hint="eastAsia"/>
              </w:rPr>
              <w:t>大面积延误</w:t>
            </w:r>
          </w:p>
        </w:tc>
        <w:tc>
          <w:tcPr>
            <w:tcW w:w="1186" w:type="dxa"/>
            <w:vAlign w:val="center"/>
          </w:tcPr>
          <w:p w14:paraId="386681DB">
            <w:pPr/>
            <w:r>
              <w:rPr>
                <w:rFonts w:hint="eastAsia"/>
              </w:rPr>
              <w:t>2（一级 / 二级）</w:t>
            </w:r>
          </w:p>
        </w:tc>
        <w:tc>
          <w:tcPr>
            <w:tcW w:w="1186" w:type="dxa"/>
            <w:vAlign w:val="center"/>
          </w:tcPr>
          <w:p w14:paraId="033C64E2">
            <w:pPr/>
            <w:r>
              <w:rPr>
                <w:rFonts w:hint="eastAsia"/>
                <w:b w:val="1"/>
              </w:rPr>
              <w:t>夜间 23 点后到达客流量</w:t>
            </w:r>
          </w:p>
        </w:tc>
        <w:tc>
          <w:tcPr>
            <w:tcW w:w="1186" w:type="dxa"/>
            <w:vAlign w:val="center"/>
          </w:tcPr>
          <w:p w14:paraId="094A2A94">
            <w:pPr/>
            <w:r>
              <w:rPr>
                <w:rFonts w:hint="eastAsia"/>
              </w:rPr>
              <w:t xml:space="preserve">二级：约 </w:t>
            </w:r>
            <w:r>
              <w:rPr>
                <w:rFonts w:hint="eastAsia"/>
                <w:b w:val="1"/>
              </w:rPr>
              <w:t>1 万余人次</w:t>
            </w:r>
            <w:r>
              <w:rPr>
                <w:rFonts w:hint="eastAsia"/>
              </w:rPr>
              <w:t xml:space="preserve">；一级：约 </w:t>
            </w:r>
            <w:r>
              <w:rPr>
                <w:rFonts w:hint="eastAsia"/>
                <w:b w:val="1"/>
              </w:rPr>
              <w:t>3.6—4.3 万人次</w:t>
            </w:r>
          </w:p>
        </w:tc>
        <w:tc>
          <w:tcPr>
            <w:tcW w:w="1186" w:type="dxa"/>
            <w:vAlign w:val="center"/>
          </w:tcPr>
          <w:p w14:paraId="35B7EFFD">
            <w:pPr/>
            <w:r>
              <w:rPr>
                <w:rFonts w:hint="eastAsia"/>
              </w:rPr>
              <w:t>【可用】量纲与运营直接相关，可作为情景分级校准锚点；但仅覆盖"夜间到达"单一场景，且与 C1 无映射</w:t>
            </w:r>
          </w:p>
        </w:tc>
      </w:tr>
      <w:tr>
        <w:trPr/>
        <w:tc>
          <w:tcPr>
            <w:tcW w:w="1186" w:type="dxa"/>
            <w:vAlign w:val="center"/>
          </w:tcPr>
          <w:p w14:paraId="4E8F77A3">
            <w:pPr/>
            <w:r>
              <w:rPr>
                <w:b w:val="1"/>
              </w:rPr>
              <w:t>C3</w:t>
            </w:r>
          </w:p>
        </w:tc>
        <w:tc>
          <w:tcPr>
            <w:tcW w:w="1186" w:type="dxa"/>
            <w:vAlign w:val="center"/>
          </w:tcPr>
          <w:p w14:paraId="7EBAEC0C">
            <w:pPr/>
            <w:r>
              <w:rPr>
                <w:rFonts w:hint="eastAsia"/>
              </w:rPr>
              <w:t>《天津市红桥区铁路天津西站大客流滞留事件应急预案》</w:t>
            </w:r>
          </w:p>
        </w:tc>
        <w:tc>
          <w:tcPr>
            <w:tcW w:w="1186" w:type="dxa"/>
            <w:vAlign w:val="center"/>
          </w:tcPr>
          <w:p w14:paraId="0F4BD47A">
            <w:pPr/>
            <w:r>
              <w:rPr>
                <w:rFonts w:hint="eastAsia"/>
              </w:rPr>
              <w:t>车站大客流滞留</w:t>
            </w:r>
          </w:p>
        </w:tc>
        <w:tc>
          <w:tcPr>
            <w:tcW w:w="1186" w:type="dxa"/>
            <w:vAlign w:val="center"/>
          </w:tcPr>
          <w:p w14:paraId="744AE2B4">
            <w:pPr/>
            <w:r>
              <w:rPr>
                <w:rFonts w:hint="eastAsia"/>
              </w:rPr>
              <w:t>2（一级 / 二级）</w:t>
            </w:r>
          </w:p>
        </w:tc>
        <w:tc>
          <w:tcPr>
            <w:tcW w:w="1186" w:type="dxa"/>
            <w:vAlign w:val="center"/>
          </w:tcPr>
          <w:p w14:paraId="59E59BCE">
            <w:pPr/>
            <w:r>
              <w:rPr>
                <w:rFonts w:hint="eastAsia"/>
                <w:b w:val="1"/>
              </w:rPr>
              <w:t>站内滞留旅客绝对人数</w:t>
            </w:r>
          </w:p>
        </w:tc>
        <w:tc>
          <w:tcPr>
            <w:tcW w:w="1186" w:type="dxa"/>
            <w:vAlign w:val="center"/>
          </w:tcPr>
          <w:p w14:paraId="6F76E13C">
            <w:pPr/>
            <w:r>
              <w:rPr>
                <w:rFonts w:hint="eastAsia"/>
              </w:rPr>
              <w:t>二级：5000—20000 人；一级：20000 人以上</w:t>
            </w:r>
          </w:p>
        </w:tc>
        <w:tc>
          <w:tcPr>
            <w:tcW w:w="1186" w:type="dxa"/>
            <w:vAlign w:val="center"/>
          </w:tcPr>
          <w:p w14:paraId="488100C8">
            <w:pPr/>
            <w:r>
              <w:rPr>
                <w:rFonts w:hint="eastAsia"/>
              </w:rPr>
              <w:t>【可用】绝对人数直观；但未含时长维度，无法区分"1 万人滞留 1 h"与"1 万人滞留 6 h"</w:t>
            </w:r>
          </w:p>
        </w:tc>
      </w:tr>
      <w:tr>
        <w:trPr/>
        <w:tc>
          <w:tcPr>
            <w:tcW w:w="1186" w:type="dxa"/>
            <w:vAlign w:val="center"/>
          </w:tcPr>
          <w:p w14:paraId="6E95D6C0">
            <w:pPr/>
            <w:r>
              <w:rPr>
                <w:b w:val="1"/>
              </w:rPr>
              <w:t>C4</w:t>
            </w:r>
          </w:p>
        </w:tc>
        <w:tc>
          <w:tcPr>
            <w:tcW w:w="1186" w:type="dxa"/>
            <w:vAlign w:val="center"/>
          </w:tcPr>
          <w:p w14:paraId="70267529">
            <w:pPr/>
            <w:r>
              <w:rPr>
                <w:rFonts w:hint="eastAsia"/>
              </w:rPr>
              <w:t>上海市轨道交通 6 号线临沂新村站大客流组织方案</w:t>
            </w:r>
          </w:p>
        </w:tc>
        <w:tc>
          <w:tcPr>
            <w:tcW w:w="1186" w:type="dxa"/>
            <w:vAlign w:val="center"/>
          </w:tcPr>
          <w:p w14:paraId="43AEAA96">
            <w:pPr/>
            <w:r>
              <w:rPr>
                <w:rFonts w:hint="eastAsia"/>
              </w:rPr>
              <w:t>车站大客流</w:t>
            </w:r>
          </w:p>
        </w:tc>
        <w:tc>
          <w:tcPr>
            <w:tcW w:w="1186" w:type="dxa"/>
            <w:vAlign w:val="center"/>
          </w:tcPr>
          <w:p w14:paraId="18E493FF">
            <w:pPr/>
            <w:r>
              <w:rPr>
                <w:rFonts w:hint="eastAsia"/>
              </w:rPr>
              <w:t>3（一 / 二 / 三级）</w:t>
            </w:r>
          </w:p>
        </w:tc>
        <w:tc>
          <w:tcPr>
            <w:tcW w:w="1186" w:type="dxa"/>
            <w:vAlign w:val="center"/>
          </w:tcPr>
          <w:p w14:paraId="2AB2FD53">
            <w:pPr/>
            <w:r>
              <w:rPr>
                <w:rFonts w:hint="eastAsia"/>
                <w:b w:val="1"/>
              </w:rPr>
              <w:t>设计客流量百分比</w:t>
            </w:r>
            <w:r>
              <w:t xml:space="preserve"> + </w:t>
            </w:r>
            <w:r>
              <w:rPr>
                <w:rFonts w:hint="eastAsia"/>
                <w:b w:val="1"/>
              </w:rPr>
              <w:t>延误分钟</w:t>
            </w:r>
            <w:r>
              <w:t xml:space="preserve"> + </w:t>
            </w:r>
            <w:r>
              <w:rPr>
                <w:rFonts w:hint="eastAsia"/>
                <w:b w:val="1"/>
              </w:rPr>
              <w:t>候车队列长度</w:t>
            </w:r>
          </w:p>
        </w:tc>
        <w:tc>
          <w:tcPr>
            <w:tcW w:w="1186" w:type="dxa"/>
            <w:vAlign w:val="center"/>
          </w:tcPr>
          <w:p w14:paraId="4A7868C6">
            <w:pPr/>
            <w:r>
              <w:rPr>
                <w:rFonts w:hint="eastAsia"/>
              </w:rPr>
              <w:t>三级：容量六成 + 延误 30 min，或进站突增超 0.2 万人次/h；二级：八成 + 延误 45 min，或连续跳停 3 次；一级：满载 + 延误 60 min，或运营中断</w:t>
            </w:r>
          </w:p>
        </w:tc>
        <w:tc>
          <w:tcPr>
            <w:tcW w:w="1186" w:type="dxa"/>
            <w:vAlign w:val="center"/>
          </w:tcPr>
          <w:p w14:paraId="017768F5">
            <w:pPr/>
            <w:r>
              <w:rPr>
                <w:rFonts w:hint="eastAsia"/>
              </w:rPr>
              <w:t>【可用】多维组合且含延误时间，设计较完整；但为站点级、单方式</w:t>
            </w:r>
          </w:p>
        </w:tc>
      </w:tr>
      <w:tr>
        <w:trPr/>
        <w:tc>
          <w:tcPr>
            <w:tcW w:w="1186" w:type="dxa"/>
            <w:vAlign w:val="center"/>
          </w:tcPr>
          <w:p w14:paraId="285EE2B6">
            <w:pPr/>
            <w:r>
              <w:rPr>
                <w:b w:val="1"/>
              </w:rPr>
              <w:t>C5</w:t>
            </w:r>
          </w:p>
        </w:tc>
        <w:tc>
          <w:tcPr>
            <w:tcW w:w="1186" w:type="dxa"/>
            <w:vAlign w:val="center"/>
          </w:tcPr>
          <w:p w14:paraId="6DE5810F">
            <w:pPr/>
            <w:r>
              <w:rPr>
                <w:rFonts w:hint="eastAsia"/>
              </w:rPr>
              <w:t>北京地铁双井站智能客流预警</w:t>
            </w:r>
          </w:p>
        </w:tc>
        <w:tc>
          <w:tcPr>
            <w:tcW w:w="1186" w:type="dxa"/>
            <w:vAlign w:val="center"/>
          </w:tcPr>
          <w:p w14:paraId="5F94E52B">
            <w:pPr/>
            <w:r>
              <w:rPr>
                <w:rFonts w:hint="eastAsia"/>
              </w:rPr>
              <w:t>车站客流密度</w:t>
            </w:r>
          </w:p>
        </w:tc>
        <w:tc>
          <w:tcPr>
            <w:tcW w:w="1186" w:type="dxa"/>
            <w:vAlign w:val="center"/>
          </w:tcPr>
          <w:p w14:paraId="14CA4854">
            <w:pPr/>
            <w:r>
              <w:rPr>
                <w:rFonts w:hint="eastAsia"/>
              </w:rPr>
              <w:t>3（一 / 二 / 三级）</w:t>
            </w:r>
          </w:p>
        </w:tc>
        <w:tc>
          <w:tcPr>
            <w:tcW w:w="1186" w:type="dxa"/>
            <w:vAlign w:val="center"/>
          </w:tcPr>
          <w:p w14:paraId="0E658E4E">
            <w:pPr/>
            <w:r>
              <w:rPr>
                <w:rFonts w:hint="eastAsia"/>
                <w:b w:val="1"/>
              </w:rPr>
              <w:t>实时客流密度（人次）</w:t>
            </w:r>
          </w:p>
        </w:tc>
        <w:tc>
          <w:tcPr>
            <w:tcW w:w="1186" w:type="dxa"/>
            <w:vAlign w:val="center"/>
          </w:tcPr>
          <w:p w14:paraId="7BEFA1ED">
            <w:pPr/>
            <w:r>
              <w:rPr>
                <w:rFonts w:hint="eastAsia"/>
              </w:rPr>
              <w:t>三级：34—60；二级：60—80；一级：80—100</w:t>
            </w:r>
          </w:p>
        </w:tc>
        <w:tc>
          <w:tcPr>
            <w:tcW w:w="1186" w:type="dxa"/>
            <w:vAlign w:val="center"/>
          </w:tcPr>
          <w:p w14:paraId="1C136220">
            <w:pPr/>
            <w:r>
              <w:rPr>
                <w:rFonts w:hint="eastAsia"/>
              </w:rPr>
              <w:t>【可用】可实时监测、可自动化触发；但量纲为密度，与其他体系不可换算</w:t>
            </w:r>
          </w:p>
        </w:tc>
      </w:tr>
    </w:tbl>
    <w:p w14:paraId="43012D45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★ 关键发现（本课题情景库的现实动因）</w:t>
      </w:r>
    </w:p>
    <w:p w14:paraId="47D6DE19">
      <w:pPr/>
      <w:r>
        <w:rPr>
          <w:rFonts w:hint="eastAsia"/>
          <w:b w:val="1"/>
        </w:rPr>
        <w:t>C1 与 C2 是虹桥同一枢纽内的两套并行分级体系，二者互不兼容：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EAC97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对比项</w:t>
            </w:r>
          </w:p>
        </w:tc>
        <w:tc>
          <w:tcPr>
            <w:tcW w:w="2768" w:type="dxa"/>
            <w:vAlign w:val="center"/>
          </w:tcPr>
          <w:p w14:paraId="7ED5CF7C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C1 总体预案</w:t>
            </w:r>
          </w:p>
        </w:tc>
        <w:tc>
          <w:tcPr>
            <w:tcW w:w="2768" w:type="dxa"/>
            <w:vAlign w:val="center"/>
          </w:tcPr>
          <w:p w14:paraId="15BA7C2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C2 大面积延误专项预案</w:t>
            </w:r>
          </w:p>
        </w:tc>
      </w:tr>
      <w:tr>
        <w:trPr/>
        <w:tc>
          <w:tcPr>
            <w:tcW w:w="2768" w:type="dxa"/>
            <w:vAlign w:val="center"/>
          </w:tcPr>
          <w:p w14:paraId="060321D2">
            <w:pPr/>
            <w:r>
              <w:rPr>
                <w:rFonts w:hint="eastAsia"/>
              </w:rPr>
              <w:t>分级层级数</w:t>
            </w:r>
          </w:p>
        </w:tc>
        <w:tc>
          <w:tcPr>
            <w:tcW w:w="2768" w:type="dxa"/>
            <w:vAlign w:val="center"/>
          </w:tcPr>
          <w:p w14:paraId="342ACD4F">
            <w:pPr/>
            <w:r>
              <w:rPr>
                <w:rFonts w:hint="eastAsia"/>
              </w:rPr>
              <w:t>4 级（Ⅰ—Ⅳ）</w:t>
            </w:r>
          </w:p>
        </w:tc>
        <w:tc>
          <w:tcPr>
            <w:tcW w:w="2768" w:type="dxa"/>
            <w:vAlign w:val="center"/>
          </w:tcPr>
          <w:p w14:paraId="2EC802D1">
            <w:pPr/>
            <w:r>
              <w:rPr>
                <w:rFonts w:hint="eastAsia"/>
              </w:rPr>
              <w:t>2 级（一 / 二）</w:t>
            </w:r>
          </w:p>
        </w:tc>
      </w:tr>
      <w:tr>
        <w:trPr/>
        <w:tc>
          <w:tcPr>
            <w:tcW w:w="2768" w:type="dxa"/>
            <w:vAlign w:val="center"/>
          </w:tcPr>
          <w:p w14:paraId="72480266">
            <w:pPr/>
            <w:r>
              <w:rPr>
                <w:rFonts w:hint="eastAsia"/>
              </w:rPr>
              <w:t>分级量纲</w:t>
            </w:r>
          </w:p>
        </w:tc>
        <w:tc>
          <w:tcPr>
            <w:tcW w:w="2768" w:type="dxa"/>
            <w:vAlign w:val="center"/>
          </w:tcPr>
          <w:p w14:paraId="1234930D">
            <w:pPr/>
            <w:r>
              <w:rPr>
                <w:rFonts w:hint="eastAsia"/>
              </w:rPr>
              <w:t xml:space="preserve">事件性质 + 规模 + </w:t>
            </w:r>
            <w:r>
              <w:rPr>
                <w:rFonts w:hint="eastAsia"/>
                <w:b w:val="1"/>
              </w:rPr>
              <w:t>影响范围</w:t>
            </w:r>
          </w:p>
        </w:tc>
        <w:tc>
          <w:tcPr>
            <w:tcW w:w="2768" w:type="dxa"/>
            <w:vAlign w:val="center"/>
          </w:tcPr>
          <w:p w14:paraId="22016485">
            <w:pPr/>
            <w:r>
              <w:rPr>
                <w:rFonts w:hint="eastAsia"/>
                <w:b w:val="1"/>
              </w:rPr>
              <w:t>夜间到达客流量</w:t>
            </w:r>
          </w:p>
        </w:tc>
      </w:tr>
      <w:tr>
        <w:trPr/>
        <w:tc>
          <w:tcPr>
            <w:tcW w:w="2768" w:type="dxa"/>
            <w:vAlign w:val="center"/>
          </w:tcPr>
          <w:p w14:paraId="7781DD16">
            <w:pPr/>
            <w:r>
              <w:rPr>
                <w:rFonts w:hint="eastAsia"/>
              </w:rPr>
              <w:t>量纲类型</w:t>
            </w:r>
          </w:p>
        </w:tc>
        <w:tc>
          <w:tcPr>
            <w:tcW w:w="2768" w:type="dxa"/>
            <w:vAlign w:val="center"/>
          </w:tcPr>
          <w:p w14:paraId="2C836E7F">
            <w:pPr/>
            <w:r>
              <w:rPr>
                <w:rFonts w:hint="eastAsia"/>
                <w:b w:val="1"/>
              </w:rPr>
              <w:t>组织维度</w:t>
            </w:r>
            <w:r>
              <w:rPr>
                <w:rFonts w:hint="eastAsia"/>
              </w:rPr>
              <w:t>（波及几个单位）</w:t>
            </w:r>
          </w:p>
        </w:tc>
        <w:tc>
          <w:tcPr>
            <w:tcW w:w="2768" w:type="dxa"/>
            <w:vAlign w:val="center"/>
          </w:tcPr>
          <w:p w14:paraId="7B2374D4">
            <w:pPr/>
            <w:r>
              <w:rPr>
                <w:rFonts w:hint="eastAsia"/>
                <w:b w:val="1"/>
              </w:rPr>
              <w:t>运营维度</w:t>
            </w:r>
            <w:r>
              <w:rPr>
                <w:rFonts w:hint="eastAsia"/>
              </w:rPr>
              <w:t>（多少人）</w:t>
            </w:r>
          </w:p>
        </w:tc>
      </w:tr>
      <w:tr>
        <w:trPr/>
        <w:tc>
          <w:tcPr>
            <w:tcW w:w="2768" w:type="dxa"/>
            <w:vAlign w:val="center"/>
          </w:tcPr>
          <w:p w14:paraId="4CAC9F47">
            <w:pPr/>
            <w:r>
              <w:rPr>
                <w:rFonts w:hint="eastAsia"/>
              </w:rPr>
              <w:t>相互映射</w:t>
            </w:r>
          </w:p>
        </w:tc>
        <w:tc>
          <w:tcPr>
            <w:tcW w:w="2768" w:type="dxa"/>
            <w:vAlign w:val="center"/>
          </w:tcPr>
          <w:p w14:paraId="37487FC5">
            <w:pPr/>
            <w:r>
              <w:t>——</w:t>
            </w:r>
          </w:p>
        </w:tc>
        <w:tc>
          <w:tcPr>
            <w:tcW w:w="2768" w:type="dxa"/>
            <w:vAlign w:val="center"/>
          </w:tcPr>
          <w:p w14:paraId="18C80431">
            <w:pPr/>
            <w:r>
              <w:rPr>
                <w:rFonts w:hint="eastAsia"/>
                <w:b w:val="1"/>
              </w:rPr>
              <w:t>无映射关系</w:t>
            </w:r>
          </w:p>
        </w:tc>
      </w:tr>
    </w:tbl>
    <w:p w14:paraId="258770F9">
      <w:pPr/>
      <w:r>
        <w:rPr>
          <w:rFonts w:hint="eastAsia"/>
          <w:b w:val="1"/>
        </w:rPr>
        <w:t>含义</w:t>
      </w:r>
      <w:r>
        <w:rPr>
          <w:rFonts w:hint="eastAsia"/>
        </w:rPr>
        <w:t>：判断"该启动哪级响应"在实际操作中依赖值班人员的经验判断，而非可复现的规则。一个"仅涉及单个单位但需要 1 小时才能调来运力"的事件，与一个"波及全域但运力可即时到位"的事件，在 C1 的分级上无法区分先后。</w:t>
      </w:r>
    </w:p>
    <w:p w14:paraId="5A81D616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表 D｜学术侧情景划分方法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84"/>
        <w:gridCol w:w="1384"/>
        <w:gridCol w:w="1384"/>
        <w:gridCol w:w="1384"/>
        <w:gridCol w:w="1384"/>
        <w:gridCol w:w="1384"/>
      </w:tblGrid>
      <w:tr>
        <w:trPr>
          <w:tblHeader w:val="1"/>
        </w:trPr>
        <w:tc>
          <w:tcPr>
            <w:tcW w:w="1384" w:type="dxa"/>
            <w:vAlign w:val="center"/>
          </w:tcPr>
          <w:p w14:paraId="4265A01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1384" w:type="dxa"/>
            <w:vAlign w:val="center"/>
          </w:tcPr>
          <w:p w14:paraId="524AE85E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文献 / 方法</w:t>
            </w:r>
          </w:p>
        </w:tc>
        <w:tc>
          <w:tcPr>
            <w:tcW w:w="1384" w:type="dxa"/>
            <w:vAlign w:val="center"/>
          </w:tcPr>
          <w:p w14:paraId="18B39CF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核心思路</w:t>
            </w:r>
          </w:p>
        </w:tc>
        <w:tc>
          <w:tcPr>
            <w:tcW w:w="1384" w:type="dxa"/>
            <w:vAlign w:val="center"/>
          </w:tcPr>
          <w:p w14:paraId="5413154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情景维度 / 要素</w:t>
            </w:r>
          </w:p>
        </w:tc>
        <w:tc>
          <w:tcPr>
            <w:tcW w:w="1384" w:type="dxa"/>
            <w:vAlign w:val="center"/>
          </w:tcPr>
          <w:p w14:paraId="1B7831C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面向对象</w:t>
            </w:r>
          </w:p>
        </w:tc>
        <w:tc>
          <w:tcPr>
            <w:tcW w:w="1384" w:type="dxa"/>
            <w:vAlign w:val="center"/>
          </w:tcPr>
          <w:p w14:paraId="2B65C86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与本课题的区别</w:t>
            </w:r>
          </w:p>
        </w:tc>
      </w:tr>
      <w:tr>
        <w:trPr/>
        <w:tc>
          <w:tcPr>
            <w:tcW w:w="1384" w:type="dxa"/>
            <w:vAlign w:val="center"/>
          </w:tcPr>
          <w:p w14:paraId="304872DE">
            <w:pPr/>
            <w:r>
              <w:rPr>
                <w:b w:val="1"/>
              </w:rPr>
              <w:t>D1</w:t>
            </w:r>
          </w:p>
        </w:tc>
        <w:tc>
          <w:tcPr>
            <w:tcW w:w="1384" w:type="dxa"/>
            <w:vAlign w:val="center"/>
          </w:tcPr>
          <w:p w14:paraId="3FDDEAAC">
            <w:pPr/>
            <w:r>
              <w:rPr>
                <w:rFonts w:hint="eastAsia"/>
              </w:rPr>
              <w:t>Scenario Planning（Shell / GBN 情景规划法）</w:t>
            </w:r>
          </w:p>
        </w:tc>
        <w:tc>
          <w:tcPr>
            <w:tcW w:w="1384" w:type="dxa"/>
            <w:vAlign w:val="center"/>
          </w:tcPr>
          <w:p w14:paraId="74D8EEDD">
            <w:pPr/>
            <w:r>
              <w:rPr>
                <w:rFonts w:hint="eastAsia"/>
              </w:rPr>
              <w:t>区分"预定要素"与"关键不确定性"；用</w:t>
            </w:r>
            <w:r>
              <w:rPr>
                <w:rFonts w:hint="eastAsia"/>
                <w:b w:val="1"/>
              </w:rPr>
              <w:t>影响—不确定性矩阵</w:t>
            </w:r>
            <w:r>
              <w:rPr>
                <w:rFonts w:hint="eastAsia"/>
              </w:rPr>
              <w:t>选轴</w:t>
            </w:r>
          </w:p>
        </w:tc>
        <w:tc>
          <w:tcPr>
            <w:tcW w:w="1384" w:type="dxa"/>
            <w:vAlign w:val="center"/>
          </w:tcPr>
          <w:p w14:paraId="2DC81FE6">
            <w:pPr/>
            <w:r>
              <w:rPr>
                <w:rFonts w:hint="eastAsia"/>
              </w:rPr>
              <w:t>2—4 个关键不确定性轴</w:t>
            </w:r>
          </w:p>
        </w:tc>
        <w:tc>
          <w:tcPr>
            <w:tcW w:w="1384" w:type="dxa"/>
            <w:vAlign w:val="center"/>
          </w:tcPr>
          <w:p w14:paraId="1C371C6A">
            <w:pPr/>
            <w:r>
              <w:rPr>
                <w:rFonts w:hint="eastAsia"/>
              </w:rPr>
              <w:t>通用战略规划</w:t>
            </w:r>
          </w:p>
        </w:tc>
        <w:tc>
          <w:tcPr>
            <w:tcW w:w="1384" w:type="dxa"/>
            <w:vAlign w:val="center"/>
          </w:tcPr>
          <w:p w14:paraId="1F7DD0AC">
            <w:pPr/>
            <w:r>
              <w:rPr>
                <w:rFonts w:hint="eastAsia"/>
              </w:rPr>
              <w:t>以定性叙述为主，未落到运营量纲。</w:t>
            </w:r>
            <w:r>
              <w:rPr>
                <w:rFonts w:hint="eastAsia"/>
                <w:b w:val="1"/>
              </w:rPr>
              <w:t>重要警告：避免"Good-Bad-Ugly Trap"</w:t>
            </w:r>
            <w:r>
              <w:rPr>
                <w:rFonts w:hint="eastAsia"/>
              </w:rPr>
              <w:t>——好的情景应"质上不同"，而非同一世界的三档严重程度</w:t>
            </w:r>
          </w:p>
        </w:tc>
      </w:tr>
      <w:tr>
        <w:trPr/>
        <w:tc>
          <w:tcPr>
            <w:tcW w:w="1384" w:type="dxa"/>
            <w:vAlign w:val="center"/>
          </w:tcPr>
          <w:p w14:paraId="26910ADC">
            <w:pPr/>
            <w:r>
              <w:rPr>
                <w:b w:val="1"/>
              </w:rPr>
              <w:t>D2</w:t>
            </w:r>
          </w:p>
        </w:tc>
        <w:tc>
          <w:tcPr>
            <w:tcW w:w="1384" w:type="dxa"/>
            <w:vAlign w:val="center"/>
          </w:tcPr>
          <w:p w14:paraId="4F665903">
            <w:pPr/>
            <w:r>
              <w:rPr>
                <w:rFonts w:hint="eastAsia"/>
              </w:rPr>
              <w:t>"情景—应对"型模式 + 知识元情景表示</w:t>
            </w:r>
          </w:p>
        </w:tc>
        <w:tc>
          <w:tcPr>
            <w:tcW w:w="1384" w:type="dxa"/>
            <w:vAlign w:val="center"/>
          </w:tcPr>
          <w:p w14:paraId="0C814952">
            <w:pPr/>
            <w:r>
              <w:rPr>
                <w:rFonts w:hint="eastAsia"/>
              </w:rPr>
              <w:t>知识元模型 kn=(Nn, An, Rn) 三元组（名称、属性状态集、属性间映射关系集），简化为二元组</w:t>
            </w:r>
          </w:p>
        </w:tc>
        <w:tc>
          <w:tcPr>
            <w:tcW w:w="1384" w:type="dxa"/>
            <w:vAlign w:val="center"/>
          </w:tcPr>
          <w:p w14:paraId="46483D6B">
            <w:pPr/>
            <w:r>
              <w:rPr>
                <w:rFonts w:hint="eastAsia"/>
              </w:rPr>
              <w:t>情景知识元、要素间映射关系</w:t>
            </w:r>
          </w:p>
        </w:tc>
        <w:tc>
          <w:tcPr>
            <w:tcW w:w="1384" w:type="dxa"/>
            <w:vAlign w:val="center"/>
          </w:tcPr>
          <w:p w14:paraId="51A6631F">
            <w:pPr/>
            <w:r>
              <w:rPr>
                <w:rFonts w:hint="eastAsia"/>
              </w:rPr>
              <w:t>非常规突发事件</w:t>
            </w:r>
          </w:p>
        </w:tc>
        <w:tc>
          <w:tcPr>
            <w:tcW w:w="1384" w:type="dxa"/>
            <w:vAlign w:val="center"/>
          </w:tcPr>
          <w:p w14:paraId="5B7A6053">
            <w:pPr/>
            <w:r>
              <w:rPr>
                <w:rFonts w:hint="eastAsia"/>
              </w:rPr>
              <w:t>以</w:t>
            </w:r>
            <w:r>
              <w:rPr>
                <w:rFonts w:hint="eastAsia"/>
                <w:b w:val="1"/>
              </w:rPr>
              <w:t>描述与推演</w:t>
            </w:r>
            <w:r>
              <w:rPr>
                <w:rFonts w:hint="eastAsia"/>
              </w:rPr>
              <w:t>为主，服务于资源需求量推导，非调度触发。但提供了本课题的理论范式依据</w:t>
            </w:r>
          </w:p>
        </w:tc>
      </w:tr>
      <w:tr>
        <w:trPr/>
        <w:tc>
          <w:tcPr>
            <w:tcW w:w="1384" w:type="dxa"/>
            <w:vAlign w:val="center"/>
          </w:tcPr>
          <w:p w14:paraId="624BF9C6">
            <w:pPr/>
            <w:r>
              <w:rPr>
                <w:b w:val="1"/>
              </w:rPr>
              <w:t>D3</w:t>
            </w:r>
          </w:p>
        </w:tc>
        <w:tc>
          <w:tcPr>
            <w:tcW w:w="1384" w:type="dxa"/>
            <w:vAlign w:val="center"/>
          </w:tcPr>
          <w:p w14:paraId="27111ED1">
            <w:pPr/>
            <w:r>
              <w:rPr>
                <w:rFonts w:hint="eastAsia"/>
              </w:rPr>
              <w:t>南京地铁应急资源情景化配置</w:t>
            </w:r>
          </w:p>
        </w:tc>
        <w:tc>
          <w:tcPr>
            <w:tcW w:w="1384" w:type="dxa"/>
            <w:vAlign w:val="center"/>
          </w:tcPr>
          <w:p w14:paraId="2594E615">
            <w:pPr/>
            <w:r>
              <w:rPr>
                <w:rFonts w:hint="eastAsia"/>
              </w:rPr>
              <w:t>"致灾—承灾—孕灾—抗灾"链条</w:t>
            </w:r>
          </w:p>
        </w:tc>
        <w:tc>
          <w:tcPr>
            <w:tcW w:w="1384" w:type="dxa"/>
            <w:vAlign w:val="center"/>
          </w:tcPr>
          <w:p w14:paraId="4A26657D">
            <w:pPr/>
            <w:r>
              <w:rPr>
                <w:rFonts w:hint="eastAsia"/>
                <w:b w:val="1"/>
              </w:rPr>
              <w:t>七维度</w:t>
            </w:r>
            <w:r>
              <w:rPr>
                <w:rFonts w:hint="eastAsia"/>
              </w:rPr>
              <w:t>：事件、乘客、时间、位置、环境、需求、供给</w:t>
            </w:r>
          </w:p>
        </w:tc>
        <w:tc>
          <w:tcPr>
            <w:tcW w:w="1384" w:type="dxa"/>
            <w:vAlign w:val="center"/>
          </w:tcPr>
          <w:p w14:paraId="1EADEDE2">
            <w:pPr/>
            <w:r>
              <w:rPr>
                <w:rFonts w:hint="eastAsia"/>
                <w:b w:val="1"/>
              </w:rPr>
              <w:t>地铁单方式</w:t>
            </w:r>
          </w:p>
        </w:tc>
        <w:tc>
          <w:tcPr>
            <w:tcW w:w="1384" w:type="dxa"/>
            <w:vAlign w:val="center"/>
          </w:tcPr>
          <w:p w14:paraId="0D035B4C">
            <w:pPr/>
            <w:r>
              <w:rPr>
                <w:rFonts w:hint="eastAsia"/>
              </w:rPr>
              <w:t>面向单方式；目的是推导资源需求量，非多方式调度</w:t>
            </w:r>
          </w:p>
        </w:tc>
      </w:tr>
      <w:tr>
        <w:trPr/>
        <w:tc>
          <w:tcPr>
            <w:tcW w:w="1384" w:type="dxa"/>
            <w:vAlign w:val="center"/>
          </w:tcPr>
          <w:p w14:paraId="1414A33B">
            <w:pPr/>
            <w:r>
              <w:rPr>
                <w:b w:val="1"/>
              </w:rPr>
              <w:t>D4</w:t>
            </w:r>
          </w:p>
        </w:tc>
        <w:tc>
          <w:tcPr>
            <w:tcW w:w="1384" w:type="dxa"/>
            <w:vAlign w:val="center"/>
          </w:tcPr>
          <w:p w14:paraId="13FCA0FD">
            <w:pPr/>
            <w:r>
              <w:rPr>
                <w:rFonts w:hint="eastAsia"/>
              </w:rPr>
              <w:t>铁路突发事件应急情景推演与事故动态分级</w:t>
            </w:r>
          </w:p>
        </w:tc>
        <w:tc>
          <w:tcPr>
            <w:tcW w:w="1384" w:type="dxa"/>
            <w:vAlign w:val="center"/>
          </w:tcPr>
          <w:p w14:paraId="202E3C95">
            <w:pPr/>
            <w:r>
              <w:rPr>
                <w:rFonts w:hint="eastAsia"/>
              </w:rPr>
              <w:t>知识元五元表达模型 + 改进密度峰值聚类动态分级</w:t>
            </w:r>
          </w:p>
        </w:tc>
        <w:tc>
          <w:tcPr>
            <w:tcW w:w="1384" w:type="dxa"/>
            <w:vAlign w:val="center"/>
          </w:tcPr>
          <w:p w14:paraId="1F485EAF">
            <w:pPr/>
            <w:r>
              <w:rPr>
                <w:rFonts w:hint="eastAsia"/>
              </w:rPr>
              <w:t>含时间维度的情景要素</w:t>
            </w:r>
          </w:p>
        </w:tc>
        <w:tc>
          <w:tcPr>
            <w:tcW w:w="1384" w:type="dxa"/>
            <w:vAlign w:val="center"/>
          </w:tcPr>
          <w:p w14:paraId="63D8F630">
            <w:pPr/>
            <w:r>
              <w:rPr>
                <w:rFonts w:hint="eastAsia"/>
                <w:b w:val="1"/>
              </w:rPr>
              <w:t>铁路单方式</w:t>
            </w:r>
          </w:p>
        </w:tc>
        <w:tc>
          <w:tcPr>
            <w:tcW w:w="1384" w:type="dxa"/>
            <w:vAlign w:val="center"/>
          </w:tcPr>
          <w:p w14:paraId="465A7648">
            <w:pPr/>
            <w:r>
              <w:rPr>
                <w:rFonts w:hint="eastAsia"/>
              </w:rPr>
              <w:t>依赖事故等级标签；铁路单方式</w:t>
            </w:r>
          </w:p>
        </w:tc>
      </w:tr>
      <w:tr>
        <w:trPr/>
        <w:tc>
          <w:tcPr>
            <w:tcW w:w="1384" w:type="dxa"/>
            <w:vAlign w:val="center"/>
          </w:tcPr>
          <w:p w14:paraId="6948F8F0">
            <w:pPr/>
            <w:r>
              <w:rPr>
                <w:b w:val="1"/>
              </w:rPr>
              <w:t>D5</w:t>
            </w:r>
          </w:p>
        </w:tc>
        <w:tc>
          <w:tcPr>
            <w:tcW w:w="1384" w:type="dxa"/>
            <w:vAlign w:val="center"/>
          </w:tcPr>
          <w:p w14:paraId="44656E1A">
            <w:pPr/>
            <w:r>
              <w:rPr>
                <w:i w:val="1"/>
              </w:rPr>
              <w:t>Digital twin for multi-scenario emergency of railway passenger stations</w:t>
            </w:r>
            <w:r>
              <w:rPr>
                <w:rFonts w:hint="eastAsia"/>
              </w:rPr>
              <w:t>（Frontiers in Physics, 2023）</w:t>
            </w:r>
          </w:p>
        </w:tc>
        <w:tc>
          <w:tcPr>
            <w:tcW w:w="1384" w:type="dxa"/>
            <w:vAlign w:val="center"/>
          </w:tcPr>
          <w:p w14:paraId="6A371F36">
            <w:pPr/>
            <w:r>
              <w:rPr>
                <w:rFonts w:hint="eastAsia"/>
              </w:rPr>
              <w:t>按</w:t>
            </w:r>
            <w:r>
              <w:rPr>
                <w:rFonts w:hint="eastAsia"/>
                <w:b w:val="1"/>
              </w:rPr>
              <w:t>事件类型</w:t>
            </w:r>
            <w:r>
              <w:rPr>
                <w:rFonts w:hint="eastAsia"/>
              </w:rPr>
              <w:t>建 5 类情景 + GSPN 过程建模</w:t>
            </w:r>
          </w:p>
        </w:tc>
        <w:tc>
          <w:tcPr>
            <w:tcW w:w="1384" w:type="dxa"/>
            <w:vAlign w:val="center"/>
          </w:tcPr>
          <w:p w14:paraId="7982A849">
            <w:pPr/>
            <w:r>
              <w:rPr>
                <w:rFonts w:hint="eastAsia"/>
                <w:b w:val="1"/>
              </w:rPr>
              <w:t>事件类型</w:t>
            </w:r>
            <w:r>
              <w:rPr>
                <w:rFonts w:hint="eastAsia"/>
              </w:rPr>
              <w:t>（火灾/水灾/地震/社会安全/公共卫生）</w:t>
            </w:r>
          </w:p>
        </w:tc>
        <w:tc>
          <w:tcPr>
            <w:tcW w:w="1384" w:type="dxa"/>
            <w:vAlign w:val="center"/>
          </w:tcPr>
          <w:p w14:paraId="4D03E944">
            <w:pPr/>
            <w:r>
              <w:rPr>
                <w:rFonts w:hint="eastAsia"/>
              </w:rPr>
              <w:t>铁路客运站</w:t>
            </w:r>
          </w:p>
        </w:tc>
        <w:tc>
          <w:tcPr>
            <w:tcW w:w="1384" w:type="dxa"/>
            <w:vAlign w:val="center"/>
          </w:tcPr>
          <w:p w14:paraId="75B44D03">
            <w:pPr/>
            <w:r>
              <w:rPr>
                <w:rFonts w:hint="eastAsia"/>
                <w:b w:val="1"/>
              </w:rPr>
              <w:t>类型枚举</w:t>
            </w:r>
            <w:r>
              <w:rPr>
                <w:rFonts w:hint="eastAsia"/>
              </w:rPr>
              <w:t>，无法区分同类事件的不同规模；且不解决"同类事件不同规模"的调度差异</w:t>
            </w:r>
          </w:p>
        </w:tc>
      </w:tr>
      <w:tr>
        <w:trPr/>
        <w:tc>
          <w:tcPr>
            <w:tcW w:w="1384" w:type="dxa"/>
            <w:vAlign w:val="center"/>
          </w:tcPr>
          <w:p w14:paraId="1D5E0288">
            <w:pPr/>
            <w:r>
              <w:rPr>
                <w:b w:val="1"/>
              </w:rPr>
              <w:t>D6</w:t>
            </w:r>
          </w:p>
        </w:tc>
        <w:tc>
          <w:tcPr>
            <w:tcW w:w="1384" w:type="dxa"/>
            <w:vAlign w:val="center"/>
          </w:tcPr>
          <w:p w14:paraId="3B03AFCC">
            <w:pPr/>
            <w:r>
              <w:rPr>
                <w:rFonts w:hint="eastAsia"/>
              </w:rPr>
              <w:t>基于随机森林的非常规突发事件结构化情景体系模型（公路交通科技, 2024）</w:t>
            </w:r>
          </w:p>
        </w:tc>
        <w:tc>
          <w:tcPr>
            <w:tcW w:w="1384" w:type="dxa"/>
            <w:vAlign w:val="center"/>
          </w:tcPr>
          <w:p w14:paraId="2081B0E4">
            <w:pPr/>
            <w:r>
              <w:rPr>
                <w:rFonts w:hint="eastAsia"/>
              </w:rPr>
              <w:t>随机森林对事件分级 + 结构化描述空间</w:t>
            </w:r>
          </w:p>
        </w:tc>
        <w:tc>
          <w:tcPr>
            <w:tcW w:w="1384" w:type="dxa"/>
            <w:vAlign w:val="center"/>
          </w:tcPr>
          <w:p w14:paraId="17387510">
            <w:pPr/>
            <w:r>
              <w:rPr>
                <w:rFonts w:hint="eastAsia"/>
              </w:rPr>
              <w:t>事件特征向量</w:t>
            </w:r>
          </w:p>
        </w:tc>
        <w:tc>
          <w:tcPr>
            <w:tcW w:w="1384" w:type="dxa"/>
            <w:vAlign w:val="center"/>
          </w:tcPr>
          <w:p w14:paraId="41676003">
            <w:pPr/>
            <w:r>
              <w:rPr>
                <w:rFonts w:hint="eastAsia"/>
              </w:rPr>
              <w:t>隧道坍塌单一场景</w:t>
            </w:r>
          </w:p>
        </w:tc>
        <w:tc>
          <w:tcPr>
            <w:tcW w:w="1384" w:type="dxa"/>
            <w:vAlign w:val="center"/>
          </w:tcPr>
          <w:p w14:paraId="1365E3DE">
            <w:pPr/>
            <w:r>
              <w:rPr>
                <w:rFonts w:hint="eastAsia"/>
              </w:rPr>
              <w:t>依赖有标签数据，样本量要求高；本课题历史事件样本不足</w:t>
            </w:r>
          </w:p>
        </w:tc>
      </w:tr>
      <w:tr>
        <w:trPr/>
        <w:tc>
          <w:tcPr>
            <w:tcW w:w="1384" w:type="dxa"/>
            <w:vAlign w:val="center"/>
          </w:tcPr>
          <w:p w14:paraId="3BB16BD2">
            <w:pPr/>
            <w:r>
              <w:rPr>
                <w:b w:val="1"/>
              </w:rPr>
              <w:t>D7</w:t>
            </w:r>
          </w:p>
        </w:tc>
        <w:tc>
          <w:tcPr>
            <w:tcW w:w="1384" w:type="dxa"/>
            <w:vAlign w:val="center"/>
          </w:tcPr>
          <w:p w14:paraId="0A485710">
            <w:pPr/>
            <w:r>
              <w:rPr>
                <w:rFonts w:hint="eastAsia"/>
              </w:rPr>
              <w:t xml:space="preserve">Miller-Hooks 货运网络韧性 / IEEE </w:t>
            </w:r>
            <w:r>
              <w:rPr>
                <w:i w:val="1"/>
              </w:rPr>
              <w:t>Detrimental scenario construction</w:t>
            </w:r>
          </w:p>
        </w:tc>
        <w:tc>
          <w:tcPr>
            <w:tcW w:w="1384" w:type="dxa"/>
            <w:vAlign w:val="center"/>
          </w:tcPr>
          <w:p w14:paraId="6D7B61CE">
            <w:pPr/>
            <w:r>
              <w:rPr>
                <w:rFonts w:hint="eastAsia"/>
              </w:rPr>
              <w:t>按灾害类型 5 类，蒙特卡洛生成实现；用</w:t>
            </w:r>
            <w:r>
              <w:rPr>
                <w:rFonts w:hint="eastAsia"/>
                <w:b w:val="1"/>
              </w:rPr>
              <w:t>路段失效组合</w:t>
            </w:r>
            <w:r>
              <w:rPr>
                <w:rFonts w:hint="eastAsia"/>
              </w:rPr>
              <w:t>生成情景集</w:t>
            </w:r>
          </w:p>
        </w:tc>
        <w:tc>
          <w:tcPr>
            <w:tcW w:w="1384" w:type="dxa"/>
            <w:vAlign w:val="center"/>
          </w:tcPr>
          <w:p w14:paraId="649C5AB6">
            <w:pPr/>
            <w:r>
              <w:rPr>
                <w:rFonts w:hint="eastAsia"/>
              </w:rPr>
              <w:t>灾害类型、路段失效组合</w:t>
            </w:r>
          </w:p>
        </w:tc>
        <w:tc>
          <w:tcPr>
            <w:tcW w:w="1384" w:type="dxa"/>
            <w:vAlign w:val="center"/>
          </w:tcPr>
          <w:p w14:paraId="1D6DCB6C">
            <w:pPr/>
            <w:r>
              <w:rPr>
                <w:rFonts w:hint="eastAsia"/>
              </w:rPr>
              <w:t>货运网络 / 网络可靠性</w:t>
            </w:r>
          </w:p>
        </w:tc>
        <w:tc>
          <w:tcPr>
            <w:tcW w:w="1384" w:type="dxa"/>
            <w:vAlign w:val="center"/>
          </w:tcPr>
          <w:p w14:paraId="23DE1295">
            <w:pPr/>
            <w:r>
              <w:rPr>
                <w:rFonts w:hint="eastAsia"/>
              </w:rPr>
              <w:t>面向网络容量与连通性，不涉及客运枢纽的多方式协同</w:t>
            </w:r>
          </w:p>
        </w:tc>
      </w:tr>
      <w:tr>
        <w:trPr/>
        <w:tc>
          <w:tcPr>
            <w:tcW w:w="1384" w:type="dxa"/>
            <w:vAlign w:val="center"/>
          </w:tcPr>
          <w:p w14:paraId="3338A46B">
            <w:pPr/>
            <w:r>
              <w:rPr>
                <w:b w:val="1"/>
              </w:rPr>
              <w:t>D8</w:t>
            </w:r>
          </w:p>
        </w:tc>
        <w:tc>
          <w:tcPr>
            <w:tcW w:w="1384" w:type="dxa"/>
            <w:vAlign w:val="center"/>
          </w:tcPr>
          <w:p w14:paraId="3E018851">
            <w:pPr/>
            <w:r>
              <w:rPr>
                <w:i w:val="1"/>
              </w:rPr>
              <w:t>Resilience-oriented emergency resource dispatch for power–transportation coupled networks</w:t>
            </w:r>
            <w:r>
              <w:rPr>
                <w:rFonts w:hint="eastAsia"/>
              </w:rPr>
              <w:t>（2025）</w:t>
            </w:r>
          </w:p>
        </w:tc>
        <w:tc>
          <w:tcPr>
            <w:tcW w:w="1384" w:type="dxa"/>
            <w:vAlign w:val="center"/>
          </w:tcPr>
          <w:p w14:paraId="40E5092A">
            <w:pPr/>
            <w:r>
              <w:rPr>
                <w:rFonts w:hint="eastAsia"/>
                <w:b w:val="1"/>
              </w:rPr>
              <w:t>tail-aware DTW K-Means 情景削减</w:t>
            </w:r>
            <w:r>
              <w:rPr>
                <w:rFonts w:hint="eastAsia"/>
              </w:rPr>
              <w:t>，保留稀有高影响事件</w:t>
            </w:r>
          </w:p>
        </w:tc>
        <w:tc>
          <w:tcPr>
            <w:tcW w:w="1384" w:type="dxa"/>
            <w:vAlign w:val="center"/>
          </w:tcPr>
          <w:p w14:paraId="32342D0E">
            <w:pPr/>
            <w:r>
              <w:rPr>
                <w:rFonts w:hint="eastAsia"/>
              </w:rPr>
              <w:t>情景削减方法</w:t>
            </w:r>
          </w:p>
        </w:tc>
        <w:tc>
          <w:tcPr>
            <w:tcW w:w="1384" w:type="dxa"/>
            <w:vAlign w:val="center"/>
          </w:tcPr>
          <w:p w14:paraId="06AF4499">
            <w:pPr/>
            <w:r>
              <w:rPr>
                <w:rFonts w:hint="eastAsia"/>
              </w:rPr>
              <w:t>电力—交通耦合网络</w:t>
            </w:r>
          </w:p>
        </w:tc>
        <w:tc>
          <w:tcPr>
            <w:tcW w:w="1384" w:type="dxa"/>
            <w:vAlign w:val="center"/>
          </w:tcPr>
          <w:p w14:paraId="193D074B">
            <w:pPr/>
            <w:r>
              <w:rPr>
                <w:rFonts w:hint="eastAsia"/>
              </w:rPr>
              <w:t>方法与本文可借鉴的方向一致（情景削减），但对象为资源调度</w:t>
            </w:r>
          </w:p>
        </w:tc>
      </w:tr>
    </w:tbl>
    <w:p w14:paraId="125A5E49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对照汇总：三条结论</w:t>
      </w:r>
    </w:p>
    <w:p w14:paraId="134ACA7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结论一：行政分级不可用于调度触发</w:t>
      </w:r>
    </w:p>
    <w:p w14:paraId="6A9C2E83">
      <w:pPr/>
      <w:r>
        <w:rPr>
          <w:rFonts w:hint="eastAsia"/>
        </w:rPr>
        <w:t>A 组 6 个来源中，A1 无量化阈值，A3/A4 的量纲（万人、亿元）与枢纽尺度相差 3—4 个数量级。真正含运营量纲的只有 A2（中断行车时长）、A5（通行能力下降百分比）、A6（晚点时长 × 列数）。</w:t>
      </w:r>
    </w:p>
    <w:p w14:paraId="03AE4CE2">
      <w:pPr/>
      <w:r>
        <w:rPr>
          <w:rFonts w:hint="eastAsia"/>
          <w:b w:val="1"/>
        </w:rPr>
        <w:t>问题的本质不是这些标准不好，而是它们的设计目的不同</w:t>
      </w:r>
      <w:r>
        <w:rPr>
          <w:rFonts w:hint="eastAsia"/>
        </w:rPr>
        <w:t>——A 组标准服务于"信息报送与分级处置"（决定由哪级政府牵头、动用多大行政资源），而调度决策必须在事故报告完成、伤亡核实之前就作出。</w:t>
      </w:r>
      <w:r>
        <w:rPr>
          <w:rFonts w:hint="eastAsia"/>
          <w:b w:val="1"/>
        </w:rPr>
        <w:t>两套目标，两套量纲。</w:t>
      </w:r>
    </w:p>
    <w:p w14:paraId="41D987CD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结论二：量纲不可比，跨越 9 种类型</w:t>
      </w:r>
    </w:p>
    <w:p w14:paraId="3430ADEB">
      <w:pPr/>
      <w:r>
        <w:rPr>
          <w:rFonts w:hint="eastAsia"/>
        </w:rPr>
        <w:t xml:space="preserve">A/B/C 三组共 15 个来源，分级量纲多达 </w:t>
      </w:r>
      <w:r>
        <w:rPr>
          <w:rFonts w:hint="eastAsia"/>
          <w:b w:val="1"/>
        </w:rPr>
        <w:t>9 种</w:t>
      </w:r>
      <w:r>
        <w:rPr>
          <w:rFonts w:hint="eastAsia"/>
        </w:rPr>
        <w:t>：</w:t>
      </w:r>
    </w:p>
    <w:p w14:paraId="3702DC11">
      <w:pPr/>
      <w:r>
        <w:rPr>
          <w:rFonts w:hint="eastAsia"/>
        </w:rPr>
        <w:t>中断行车时长 · 晚点时长×列数 · 通行能力下降% · 死亡失踪人数 · 紧急转移安置人数 · 滞留旅客绝对人数 · 设计客流量占比 · 实时客流密度 · 日均发送量/换乘量</w:t>
      </w:r>
    </w:p>
    <w:p w14:paraId="7BE3E3A0">
      <w:pPr/>
      <w:r>
        <w:rPr>
          <w:rFonts w:hint="eastAsia"/>
          <w:b w:val="1"/>
        </w:rPr>
        <w:t>这 9 种量纲之间没有任何换算关系。</w:t>
      </w:r>
      <w:r>
        <w:rPr>
          <w:rFonts w:hint="eastAsia"/>
        </w:rPr>
        <w:t xml:space="preserve"> 而枢纽应急调度的本质要求恰恰相反——必须有一个统一量纲，让所有交通方式的调度需求能放在同一尺度上比较和排序。</w:t>
      </w:r>
    </w:p>
    <w:p w14:paraId="6D70AA8E">
      <w:pPr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结论三：枢纽层面不闭环</w:t>
      </w:r>
    </w:p>
    <w:p w14:paraId="412C1C8C">
      <w:pPr/>
      <w:r>
        <w:rPr>
          <w:rFonts w:hint="eastAsia"/>
        </w:rPr>
        <w:t>虹桥同一枢纽内 C1（组织维度，4 级）与 C2（客流量维度，2 级）两套并行体系</w:t>
      </w:r>
      <w:r>
        <w:rPr>
          <w:rFonts w:hint="eastAsia"/>
          <w:b w:val="1"/>
        </w:rPr>
        <w:t>无映射关系</w:t>
      </w:r>
      <w:r>
        <w:rPr>
          <w:rFonts w:hint="eastAsia"/>
        </w:rPr>
        <w:t>。这不是虹桥特有的问题，而是"各主体各自为政"的必然结果——国铁按列数、民航按架次、地铁按容量、地方按人数。</w:t>
      </w:r>
    </w:p>
    <w:p w14:paraId="7E3C0B62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本表对情景库构建的直接输入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611FB3A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编号</w:t>
            </w:r>
          </w:p>
        </w:tc>
        <w:tc>
          <w:tcPr>
            <w:tcW w:w="2768" w:type="dxa"/>
            <w:vAlign w:val="center"/>
          </w:tcPr>
          <w:p w14:paraId="34F52348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从对照表得到的输入</w:t>
            </w:r>
          </w:p>
        </w:tc>
        <w:tc>
          <w:tcPr>
            <w:tcW w:w="2768" w:type="dxa"/>
            <w:vAlign w:val="center"/>
          </w:tcPr>
          <w:p w14:paraId="2E256CCD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用于情景库的哪一部分</w:t>
            </w:r>
          </w:p>
        </w:tc>
      </w:tr>
      <w:tr>
        <w:trPr/>
        <w:tc>
          <w:tcPr>
            <w:tcW w:w="2768" w:type="dxa"/>
            <w:vAlign w:val="center"/>
          </w:tcPr>
          <w:p w14:paraId="54FAF074">
            <w:pPr/>
            <w:r>
              <w:t>I-1</w:t>
            </w:r>
          </w:p>
        </w:tc>
        <w:tc>
          <w:tcPr>
            <w:tcW w:w="2768" w:type="dxa"/>
            <w:vAlign w:val="center"/>
          </w:tcPr>
          <w:p w14:paraId="5E6AF60C">
            <w:pPr/>
            <w:r>
              <w:rPr>
                <w:rFonts w:hint="eastAsia"/>
              </w:rPr>
              <w:t>A6 的"晚点时长 × 列数"双维量纲</w:t>
            </w:r>
          </w:p>
        </w:tc>
        <w:tc>
          <w:tcPr>
            <w:tcW w:w="2768" w:type="dxa"/>
            <w:vAlign w:val="center"/>
          </w:tcPr>
          <w:p w14:paraId="6266F715">
            <w:pPr/>
            <w:r>
              <w:rPr>
                <w:rFonts w:hint="eastAsia"/>
              </w:rPr>
              <w:t>情景维度的直接原型（时长维 + 规模维）</w:t>
            </w:r>
          </w:p>
        </w:tc>
      </w:tr>
      <w:tr>
        <w:trPr/>
        <w:tc>
          <w:tcPr>
            <w:tcW w:w="2768" w:type="dxa"/>
            <w:vAlign w:val="center"/>
          </w:tcPr>
          <w:p w14:paraId="2FA65463">
            <w:pPr/>
            <w:r>
              <w:t>I-2</w:t>
            </w:r>
          </w:p>
        </w:tc>
        <w:tc>
          <w:tcPr>
            <w:tcW w:w="2768" w:type="dxa"/>
            <w:vAlign w:val="center"/>
          </w:tcPr>
          <w:p w14:paraId="61D9A9C9">
            <w:pPr/>
            <w:r>
              <w:rPr>
                <w:rFonts w:hint="eastAsia"/>
              </w:rPr>
              <w:t>A2 的"连续中断行车时长"分级（2/6/24 h）</w:t>
            </w:r>
          </w:p>
        </w:tc>
        <w:tc>
          <w:tcPr>
            <w:tcW w:w="2768" w:type="dxa"/>
            <w:vAlign w:val="center"/>
          </w:tcPr>
          <w:p w14:paraId="646BA87B">
            <w:pPr/>
            <w:r>
              <w:rPr>
                <w:rFonts w:hint="eastAsia"/>
              </w:rPr>
              <w:t>影响时长 D 维度的取值锚点与级距参考</w:t>
            </w:r>
          </w:p>
        </w:tc>
      </w:tr>
      <w:tr>
        <w:trPr/>
        <w:tc>
          <w:tcPr>
            <w:tcW w:w="2768" w:type="dxa"/>
            <w:vAlign w:val="center"/>
          </w:tcPr>
          <w:p w14:paraId="11B08316">
            <w:pPr/>
            <w:r>
              <w:t>I-3</w:t>
            </w:r>
          </w:p>
        </w:tc>
        <w:tc>
          <w:tcPr>
            <w:tcW w:w="2768" w:type="dxa"/>
            <w:vAlign w:val="center"/>
          </w:tcPr>
          <w:p w14:paraId="2F7C109C">
            <w:pPr/>
            <w:r>
              <w:rPr>
                <w:rFonts w:hint="eastAsia"/>
              </w:rPr>
              <w:t>A5 的"通行能力下降百分比"</w:t>
            </w:r>
          </w:p>
        </w:tc>
        <w:tc>
          <w:tcPr>
            <w:tcW w:w="2768" w:type="dxa"/>
            <w:vAlign w:val="center"/>
          </w:tcPr>
          <w:p w14:paraId="783F6D51">
            <w:pPr/>
            <w:r>
              <w:rPr>
                <w:rFonts w:hint="eastAsia"/>
              </w:rPr>
              <w:t>总量变化 ΔQ 维度的一种可能表达（相对量）</w:t>
            </w:r>
          </w:p>
        </w:tc>
      </w:tr>
      <w:tr>
        <w:trPr/>
        <w:tc>
          <w:tcPr>
            <w:tcW w:w="2768" w:type="dxa"/>
            <w:vAlign w:val="center"/>
          </w:tcPr>
          <w:p w14:paraId="258EDE4A">
            <w:pPr/>
            <w:r>
              <w:t>I-4</w:t>
            </w:r>
          </w:p>
        </w:tc>
        <w:tc>
          <w:tcPr>
            <w:tcW w:w="2768" w:type="dxa"/>
            <w:vAlign w:val="center"/>
          </w:tcPr>
          <w:p w14:paraId="116347A0">
            <w:pPr/>
            <w:r>
              <w:rPr>
                <w:rFonts w:hint="eastAsia"/>
              </w:rPr>
              <w:t>C2 的两级阈值（1 万 / 3.5 万人次）</w:t>
            </w:r>
          </w:p>
        </w:tc>
        <w:tc>
          <w:tcPr>
            <w:tcW w:w="2768" w:type="dxa"/>
            <w:vAlign w:val="center"/>
          </w:tcPr>
          <w:p w14:paraId="65CB7811">
            <w:pPr/>
            <w:r>
              <w:rPr>
                <w:rFonts w:hint="eastAsia"/>
              </w:rPr>
              <w:t>分级规则的</w:t>
            </w:r>
            <w:r>
              <w:rPr>
                <w:rFonts w:hint="eastAsia"/>
                <w:b w:val="1"/>
              </w:rPr>
              <w:t>校准锚点</w:t>
            </w:r>
          </w:p>
        </w:tc>
      </w:tr>
      <w:tr>
        <w:trPr/>
        <w:tc>
          <w:tcPr>
            <w:tcW w:w="2768" w:type="dxa"/>
            <w:vAlign w:val="center"/>
          </w:tcPr>
          <w:p w14:paraId="2E82CD3E">
            <w:pPr/>
            <w:r>
              <w:t>I-5</w:t>
            </w:r>
          </w:p>
        </w:tc>
        <w:tc>
          <w:tcPr>
            <w:tcW w:w="2768" w:type="dxa"/>
            <w:vAlign w:val="center"/>
          </w:tcPr>
          <w:p w14:paraId="2CFEA1B4">
            <w:pPr/>
            <w:r>
              <w:rPr>
                <w:rFonts w:hint="eastAsia"/>
              </w:rPr>
              <w:t>C1 与 C2 两套体系无映射</w:t>
            </w:r>
          </w:p>
        </w:tc>
        <w:tc>
          <w:tcPr>
            <w:tcW w:w="2768" w:type="dxa"/>
            <w:vAlign w:val="center"/>
          </w:tcPr>
          <w:p w14:paraId="035FBAFE">
            <w:pPr/>
            <w:r>
              <w:rPr>
                <w:rFonts w:hint="eastAsia"/>
              </w:rPr>
              <w:t>情景库创新的</w:t>
            </w:r>
            <w:r>
              <w:rPr>
                <w:rFonts w:hint="eastAsia"/>
                <w:b w:val="1"/>
              </w:rPr>
              <w:t>现实动因</w:t>
            </w:r>
          </w:p>
        </w:tc>
      </w:tr>
      <w:tr>
        <w:trPr/>
        <w:tc>
          <w:tcPr>
            <w:tcW w:w="2768" w:type="dxa"/>
            <w:vAlign w:val="center"/>
          </w:tcPr>
          <w:p w14:paraId="4C0E5051">
            <w:pPr/>
            <w:r>
              <w:t>I-6</w:t>
            </w:r>
          </w:p>
        </w:tc>
        <w:tc>
          <w:tcPr>
            <w:tcW w:w="2768" w:type="dxa"/>
            <w:vAlign w:val="center"/>
          </w:tcPr>
          <w:p w14:paraId="1E02F2EE">
            <w:pPr/>
            <w:r>
              <w:rPr>
                <w:rFonts w:hint="eastAsia"/>
              </w:rPr>
              <w:t>D1 的"Good-Bad-Ugly Trap"警告</w:t>
            </w:r>
          </w:p>
        </w:tc>
        <w:tc>
          <w:tcPr>
            <w:tcW w:w="2768" w:type="dxa"/>
            <w:vAlign w:val="center"/>
          </w:tcPr>
          <w:p w14:paraId="1591BD18">
            <w:pPr/>
            <w:r>
              <w:rPr>
                <w:rFonts w:hint="eastAsia"/>
              </w:rPr>
              <w:t>情景维度设计原则：组合须"质上不同"，而非同一维度的三档</w:t>
            </w:r>
          </w:p>
        </w:tc>
      </w:tr>
      <w:tr>
        <w:trPr/>
        <w:tc>
          <w:tcPr>
            <w:tcW w:w="2768" w:type="dxa"/>
            <w:vAlign w:val="center"/>
          </w:tcPr>
          <w:p w14:paraId="5EC9503F">
            <w:pPr/>
            <w:r>
              <w:t>I-7</w:t>
            </w:r>
          </w:p>
        </w:tc>
        <w:tc>
          <w:tcPr>
            <w:tcW w:w="2768" w:type="dxa"/>
            <w:vAlign w:val="center"/>
          </w:tcPr>
          <w:p w14:paraId="1B3FB7A8">
            <w:pPr/>
            <w:r>
              <w:rPr>
                <w:rFonts w:hint="eastAsia"/>
              </w:rPr>
              <w:t>D2 的"情景—应对"范式</w:t>
            </w:r>
          </w:p>
        </w:tc>
        <w:tc>
          <w:tcPr>
            <w:tcW w:w="2768" w:type="dxa"/>
            <w:vAlign w:val="center"/>
          </w:tcPr>
          <w:p w14:paraId="1F6C2266">
            <w:pPr/>
            <w:r>
              <w:rPr>
                <w:rFonts w:hint="eastAsia"/>
              </w:rPr>
              <w:t>情景库的</w:t>
            </w:r>
            <w:r>
              <w:rPr>
                <w:rFonts w:hint="eastAsia"/>
                <w:b w:val="1"/>
              </w:rPr>
              <w:t>理论合法性</w:t>
            </w:r>
            <w:r>
              <w:rPr>
                <w:rFonts w:hint="eastAsia"/>
              </w:rPr>
              <w:t>：非常规事件下"预测—应对"失效，必须用"情景—应对"</w:t>
            </w:r>
          </w:p>
        </w:tc>
      </w:tr>
      <w:tr>
        <w:trPr/>
        <w:tc>
          <w:tcPr>
            <w:tcW w:w="2768" w:type="dxa"/>
            <w:vAlign w:val="center"/>
          </w:tcPr>
          <w:p w14:paraId="49E3C92B">
            <w:pPr/>
            <w:r>
              <w:t>I-8</w:t>
            </w:r>
          </w:p>
        </w:tc>
        <w:tc>
          <w:tcPr>
            <w:tcW w:w="2768" w:type="dxa"/>
            <w:vAlign w:val="center"/>
          </w:tcPr>
          <w:p w14:paraId="1D48DB7C">
            <w:pPr/>
            <w:r>
              <w:rPr>
                <w:rFonts w:hint="eastAsia"/>
              </w:rPr>
              <w:t>D3 的七维度体系</w:t>
            </w:r>
          </w:p>
        </w:tc>
        <w:tc>
          <w:tcPr>
            <w:tcW w:w="2768" w:type="dxa"/>
            <w:vAlign w:val="center"/>
          </w:tcPr>
          <w:p w14:paraId="5611B217">
            <w:pPr/>
            <w:r>
              <w:rPr>
                <w:rFonts w:hint="eastAsia"/>
              </w:rPr>
              <w:t>情景维度设计的</w:t>
            </w:r>
            <w:r>
              <w:rPr>
                <w:rFonts w:hint="eastAsia"/>
                <w:b w:val="1"/>
              </w:rPr>
              <w:t>完备性检查表</w:t>
            </w:r>
          </w:p>
        </w:tc>
      </w:tr>
      <w:tr>
        <w:trPr/>
        <w:tc>
          <w:tcPr>
            <w:tcW w:w="2768" w:type="dxa"/>
            <w:vAlign w:val="center"/>
          </w:tcPr>
          <w:p w14:paraId="00D8CB24">
            <w:pPr/>
            <w:r>
              <w:t>I-9</w:t>
            </w:r>
          </w:p>
        </w:tc>
        <w:tc>
          <w:tcPr>
            <w:tcW w:w="2768" w:type="dxa"/>
            <w:vAlign w:val="center"/>
          </w:tcPr>
          <w:p w14:paraId="28309DC5">
            <w:pPr/>
            <w:r>
              <w:rPr>
                <w:rFonts w:hint="eastAsia"/>
              </w:rPr>
              <w:t>D8 的 tail-aware 情景削减</w:t>
            </w:r>
          </w:p>
        </w:tc>
        <w:tc>
          <w:tcPr>
            <w:tcW w:w="2768" w:type="dxa"/>
            <w:vAlign w:val="center"/>
          </w:tcPr>
          <w:p w14:paraId="2F90965F">
            <w:pPr/>
            <w:r>
              <w:rPr>
                <w:rFonts w:hint="eastAsia"/>
              </w:rPr>
              <w:t>典型情景生成方法（保留稀有高影响事件）</w:t>
            </w:r>
          </w:p>
        </w:tc>
      </w:tr>
    </w:tbl>
    <w:p w14:paraId="2DEC6F97"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待核实事项（标注证据等级）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vAlign w:val="center"/>
          </w:tcPr>
          <w:p w14:paraId="1510A885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事项</w:t>
            </w:r>
          </w:p>
        </w:tc>
        <w:tc>
          <w:tcPr>
            <w:tcW w:w="2768" w:type="dxa"/>
            <w:vAlign w:val="center"/>
          </w:tcPr>
          <w:p w14:paraId="1BCD0E83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现状</w:t>
            </w:r>
          </w:p>
        </w:tc>
        <w:tc>
          <w:tcPr>
            <w:tcW w:w="2768" w:type="dxa"/>
            <w:vAlign w:val="center"/>
          </w:tcPr>
          <w:p w14:paraId="02A98C99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处理</w:t>
            </w:r>
          </w:p>
        </w:tc>
      </w:tr>
      <w:tr>
        <w:trPr/>
        <w:tc>
          <w:tcPr>
            <w:tcW w:w="2768" w:type="dxa"/>
            <w:vAlign w:val="center"/>
          </w:tcPr>
          <w:p w14:paraId="34DD79B9">
            <w:pPr/>
            <w:r>
              <w:rPr>
                <w:rFonts w:hint="eastAsia"/>
              </w:rPr>
              <w:t>B3 的标准号</w:t>
            </w:r>
          </w:p>
        </w:tc>
        <w:tc>
          <w:tcPr>
            <w:tcW w:w="2768" w:type="dxa"/>
            <w:vAlign w:val="center"/>
          </w:tcPr>
          <w:p w14:paraId="397708FB">
            <w:pPr/>
            <w:r>
              <w:rPr>
                <w:rFonts w:hint="eastAsia"/>
              </w:rPr>
              <w:t>仅从公开条文摘录获得内容，标准号未确认</w:t>
            </w:r>
          </w:p>
        </w:tc>
        <w:tc>
          <w:tcPr>
            <w:tcW w:w="2768" w:type="dxa"/>
            <w:vAlign w:val="center"/>
          </w:tcPr>
          <w:p w14:paraId="36945093">
            <w:pPr/>
            <w:r>
              <w:rPr>
                <w:rFonts w:hint="eastAsia"/>
              </w:rPr>
              <w:t>标注"标准号待核"；如无法确认，正文引用时降级为"相关国家标准"</w:t>
            </w:r>
          </w:p>
        </w:tc>
      </w:tr>
      <w:tr>
        <w:trPr/>
        <w:tc>
          <w:tcPr>
            <w:tcW w:w="2768" w:type="dxa"/>
            <w:vAlign w:val="center"/>
          </w:tcPr>
          <w:p w14:paraId="7F822870">
            <w:pPr/>
            <w:r>
              <w:rPr>
                <w:rFonts w:hint="eastAsia"/>
              </w:rPr>
              <w:t>C2 及其阈值（1 万 / 3.5 万）</w:t>
            </w:r>
          </w:p>
        </w:tc>
        <w:tc>
          <w:tcPr>
            <w:tcW w:w="2768" w:type="dxa"/>
            <w:vAlign w:val="center"/>
          </w:tcPr>
          <w:p w14:paraId="4257162E">
            <w:pPr/>
            <w:r>
              <w:rPr>
                <w:rFonts w:hint="eastAsia"/>
              </w:rPr>
              <w:t>来自管委会官网与公开报道，非预案原文</w:t>
            </w:r>
          </w:p>
        </w:tc>
        <w:tc>
          <w:tcPr>
            <w:tcW w:w="2768" w:type="dxa"/>
            <w:vAlign w:val="center"/>
          </w:tcPr>
          <w:p w14:paraId="58C9497C">
            <w:pPr/>
            <w:r>
              <w:rPr>
                <w:rFonts w:hint="eastAsia"/>
              </w:rPr>
              <w:t>引用时标注"据公开报道"；作为校准锚点使用时说明来源等级</w:t>
            </w:r>
          </w:p>
        </w:tc>
      </w:tr>
      <w:tr>
        <w:trPr/>
        <w:tc>
          <w:tcPr>
            <w:tcW w:w="2768" w:type="dxa"/>
            <w:vAlign w:val="center"/>
          </w:tcPr>
          <w:p w14:paraId="5623ED76">
            <w:pPr/>
            <w:r>
              <w:rPr>
                <w:rFonts w:hint="eastAsia"/>
              </w:rPr>
              <w:t>A5 MDRS 的完整阈值表</w:t>
            </w:r>
          </w:p>
        </w:tc>
        <w:tc>
          <w:tcPr>
            <w:tcW w:w="2768" w:type="dxa"/>
            <w:vAlign w:val="center"/>
          </w:tcPr>
          <w:p w14:paraId="11EC488D">
            <w:pPr/>
            <w:r>
              <w:rPr>
                <w:rFonts w:hint="eastAsia"/>
              </w:rPr>
              <w:t>来自行业期刊与空管培训材料</w:t>
            </w:r>
          </w:p>
        </w:tc>
        <w:tc>
          <w:tcPr>
            <w:tcW w:w="2768" w:type="dxa"/>
            <w:vAlign w:val="center"/>
          </w:tcPr>
          <w:p w14:paraId="210633FA">
            <w:pPr/>
            <w:r>
              <w:rPr>
                <w:rFonts w:hint="eastAsia"/>
              </w:rPr>
              <w:t>引用时标注来源</w:t>
            </w:r>
          </w:p>
        </w:tc>
      </w:tr>
      <w:tr>
        <w:trPr/>
        <w:tc>
          <w:tcPr>
            <w:tcW w:w="2768" w:type="dxa"/>
            <w:vAlign w:val="center"/>
          </w:tcPr>
          <w:p w14:paraId="383F7CB6">
            <w:pPr/>
            <w:r>
              <w:rPr>
                <w:rFonts w:hint="eastAsia"/>
              </w:rPr>
              <w:t>各来源的最新修订状态</w:t>
            </w:r>
          </w:p>
        </w:tc>
        <w:tc>
          <w:tcPr>
            <w:tcW w:w="2768" w:type="dxa"/>
            <w:vAlign w:val="center"/>
          </w:tcPr>
          <w:p w14:paraId="1C1C5DFD">
            <w:pPr/>
            <w:r>
              <w:rPr>
                <w:rFonts w:hint="eastAsia"/>
              </w:rPr>
              <w:t>A2 为 2015 版，可能已有修订</w:t>
            </w:r>
          </w:p>
        </w:tc>
        <w:tc>
          <w:tcPr>
            <w:tcW w:w="2768" w:type="dxa"/>
            <w:vAlign w:val="center"/>
          </w:tcPr>
          <w:p w14:paraId="575528E4">
            <w:pPr/>
            <w:r>
              <w:rPr>
                <w:rFonts w:hint="eastAsia"/>
              </w:rPr>
              <w:t>定稿前逐一核查现行有效版本</w:t>
            </w:r>
          </w:p>
        </w:tc>
      </w:tr>
    </w:tbl>
    <w:p w14:paraId="15E7B9DC">
      <w:pPr/>
      <w:r>
        <w:rPr>
          <w:rFonts w:hint="eastAsia"/>
          <w:i w:val="1"/>
        </w:rPr>
        <w:t>本表为 T-A1 产出。研究思路、五维设计与分级规则见《枢纽情景库构建方案 v1（文献论证稿）》。</w:t>
      </w:r>
    </w:p>
    <w:p w14:paraId="373FA5CA">
      <w:pPr/>
    </w:p>
    <w:sectPr>
      <w:footerReference r:id="rId6" w:type="even"/>
      <w:footerReference r:id="rId5" w:type="first"/>
      <w:footerReference r:id="rId4" w:type="default"/>
      <w:pgSz w:w="16838" w:h="11906" w:orient="landscape"/>
      <w:pgMar w:top="1134" w:right="1134" w:bottom="1134" w:left="1134"/>
      <w:pgNumType w:fmt="decimal" w:start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095D6B1F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4CCD23FC"/>
</w:ftr>
</file>

<file path=word/footer2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502E9AF5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13BD24D2"/>
</w:ftr>
</file>

<file path=word/footer3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sdt>
    <w:sdtPr>
      <w:docPartObj>
        <w:docPartGallery w:val="Page Numbers (Bottom of Page)"/>
        <w:docPartUnique w:val="1"/>
      </w:docPartObj>
    </w:sdtPr>
    <w:sdtContent>
      <w:p w14:paraId="2263B836">
        <w:pPr>
          <w:framePr w:wrap="none" w:hAnchor="margin" w:vAnchor="text" w:xAlign="center" w:y="1"/>
        </w:pPr>
        <w:r>
          <w:fldChar w:fldCharType="begin"/>
        </w:r>
        <w:r>
          <w:instrText>PAGE</w:instrText>
        </w:r>
        <w:r>
          <w:fldChar w:fldCharType="separate"/>
        </w:r>
        <w:r>
          <w:t>1</w:t>
        </w:r>
        <w:r>
          <w:fldChar w:fldCharType="end"/>
        </w:r>
      </w:p>
    </w:sdtContent>
  </w:sdt>
  <w:p w14:paraId="65DBE307"/>
</w:ftr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  <w:rsids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2"/>
        <w:szCs w:val="22"/>
      </w:rPr>
    </w:rPrDefault>
    <w:pPrDefault>
      <w:pPr>
        <w:spacing w:before="0" w:after="100" w:line="300" w:lineRule="auto"/>
        <w:ind w:firstLine="0"/>
        <w:jc/>
      </w:pPr>
    </w:pPrDefault>
  </w:docDefaults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footer" Target="footer3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5" Type="http://schemas.openxmlformats.org/officeDocument/2006/relationships/footer" Target="footer2.xml" /><Relationship Id="rId2" Type="http://schemas.openxmlformats.org/officeDocument/2006/relationships/fontTable" Target="fontTable.xml" /><Relationship Id="rId4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2026-10-01T10:32:27Z</dcterms:created>
  <dcterms:modified xsi:type="dcterms:W3CDTF">2026-10-01T10:32:27Z</dcterms:modified>
</cp:coreProperties>
</file>