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技术架构：防盗系统设置两层防盗门，不结账无法出门。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44"/>
          <w:szCs w:val="44"/>
          <w:u w:val="none"/>
        </w:rPr>
        <w:t>通过“刷脸”进入第一扇门后，经过一个能容下四人左右的空间后，轻按墙上的按钮，才能打开第二扇内门进入店中。而在“盒子”的出口处，还有两组大门，消费者离店时，也需要通过人脸识别后解锁最外侧的门。</w:t>
      </w:r>
    </w:p>
    <w:p>
      <w:pPr>
        <w:spacing w:line="480" w:lineRule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44"/>
          <w:szCs w:val="44"/>
          <w:u w:val="none"/>
        </w:rPr>
      </w:pPr>
    </w:p>
    <w:p>
      <w:pPr>
        <w:spacing w:line="480" w:lineRule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44"/>
          <w:szCs w:val="4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44"/>
          <w:szCs w:val="44"/>
          <w:u w:val="none"/>
          <w:lang w:val="en-US" w:eastAsia="zh-CN"/>
        </w:rPr>
        <w:t>技术难点：无技术难点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D2577"/>
    <w:rsid w:val="6C1675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2019-03-15T01:59:00Z</dcterms:created>
  <dc:creator>ASUS</dc:creator>
  <cp:lastModifiedBy>ASUS</cp:lastModifiedBy>
  <dcterms:modified xsi:type="dcterms:W3CDTF">2019-03-15T02:17:33Z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