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18267">
      <w:pPr>
        <w:pStyle w:val="8"/>
        <w:ind w:firstLine="480"/>
        <w:jc w:val="center"/>
        <w:rPr>
          <w:rFonts w:hint="default" w:eastAsia="宋体"/>
          <w:sz w:val="32"/>
          <w:szCs w:val="32"/>
          <w:lang w:val="en-US" w:eastAsia="zh-CN"/>
        </w:rPr>
      </w:pPr>
      <w:r>
        <w:rPr>
          <w:rFonts w:hint="eastAsia"/>
          <w:sz w:val="32"/>
          <w:szCs w:val="32"/>
          <w:lang w:val="en-US" w:eastAsia="zh-CN"/>
        </w:rPr>
        <w:t>第26届电子科技大学数学建模竞赛</w:t>
      </w:r>
    </w:p>
    <w:p w14:paraId="5894F697">
      <w:pPr>
        <w:bidi w:val="0"/>
        <w:jc w:val="center"/>
        <w:rPr>
          <w:rFonts w:hint="eastAsia"/>
          <w:sz w:val="30"/>
          <w:szCs w:val="30"/>
        </w:rPr>
      </w:pPr>
      <w:bookmarkStart w:id="0" w:name="_Toc226035845"/>
      <w:r>
        <w:rPr>
          <w:rFonts w:hint="eastAsia"/>
          <w:sz w:val="30"/>
          <w:szCs w:val="30"/>
          <w:lang w:val="en-US" w:eastAsia="zh-CN"/>
        </w:rPr>
        <w:t>A题：</w:t>
      </w:r>
      <w:r>
        <w:rPr>
          <w:rFonts w:hint="eastAsia"/>
          <w:sz w:val="30"/>
          <w:szCs w:val="30"/>
        </w:rPr>
        <w:t>库位分配优化问题</w:t>
      </w:r>
      <w:bookmarkEnd w:id="0"/>
    </w:p>
    <w:p w14:paraId="7E3F3714">
      <w:pPr>
        <w:rPr>
          <w:rFonts w:hint="default" w:eastAsia="宋体"/>
          <w:lang w:val="en-US" w:eastAsia="zh-CN"/>
        </w:rPr>
      </w:pPr>
      <w:r>
        <w:rPr>
          <w:rFonts w:hint="eastAsia"/>
          <w:lang w:val="en-US" w:eastAsia="zh-CN"/>
        </w:rPr>
        <w:t>一|、背景</w:t>
      </w:r>
    </w:p>
    <w:p w14:paraId="65C4EF8C">
      <w:pPr>
        <w:ind w:firstLine="480"/>
      </w:pPr>
      <w:r>
        <w:rPr>
          <w:rFonts w:hint="eastAsia"/>
        </w:rPr>
        <w:t>1）</w:t>
      </w:r>
      <w:r>
        <w:t>S</w:t>
      </w:r>
      <w:r>
        <w:rPr>
          <w:rFonts w:hint="eastAsia"/>
        </w:rPr>
        <w:t>工厂自动立体库有7个巷道，共14个货架，7个堆垛机，每个货架分为50层，6</w:t>
      </w:r>
      <w:r>
        <w:t>8</w:t>
      </w:r>
      <w:r>
        <w:rPr>
          <w:rFonts w:hint="eastAsia"/>
        </w:rPr>
        <w:t>列，货架为双深位货架，每个货位的编号按照 “货架编号_货架行数_货架列数_浅深位编号”方式编号，其中浅深位编号定义01为浅位货位，02为深位货位，例如：01</w:t>
      </w:r>
      <w:r>
        <w:t>_</w:t>
      </w:r>
      <w:r>
        <w:rPr>
          <w:rFonts w:hint="eastAsia"/>
        </w:rPr>
        <w:t>54</w:t>
      </w:r>
      <w:r>
        <w:t>_</w:t>
      </w:r>
      <w:r>
        <w:rPr>
          <w:rFonts w:hint="eastAsia"/>
        </w:rPr>
        <w:t>06</w:t>
      </w:r>
      <w:r>
        <w:t>_0</w:t>
      </w:r>
      <w:r>
        <w:rPr>
          <w:rFonts w:hint="eastAsia"/>
        </w:rPr>
        <w:t>2代表位于第1个货架、第54层、第06列的深位货位，货架编号方式如图</w:t>
      </w:r>
      <w:r>
        <w:t>1</w:t>
      </w:r>
      <w:r>
        <w:rPr>
          <w:rFonts w:hint="eastAsia"/>
        </w:rPr>
        <w:t>所示。</w:t>
      </w:r>
      <w:r>
        <w:t>S</w:t>
      </w:r>
      <w:r>
        <w:rPr>
          <w:rFonts w:hint="eastAsia"/>
        </w:rPr>
        <w:t>工厂所涉及的生产物料存在该立体库中，均以箱</w:t>
      </w:r>
      <w:r>
        <w:rPr>
          <w:rFonts w:hint="eastAsia"/>
          <w:lang w:val="en-US" w:eastAsia="zh-CN"/>
        </w:rPr>
        <w:t>为</w:t>
      </w:r>
      <w:r>
        <w:rPr>
          <w:rFonts w:hint="eastAsia"/>
        </w:rPr>
        <w:t>单元存放，所有货位规格相同，每个货位只能存储一个箱子。</w:t>
      </w:r>
    </w:p>
    <w:p w14:paraId="4F26AEE4">
      <w:pPr>
        <w:pStyle w:val="19"/>
        <w:ind w:left="420" w:hanging="420"/>
        <w:rPr>
          <w:rFonts w:cs="宋体"/>
        </w:rPr>
      </w:pPr>
      <w:r>
        <w:rPr>
          <w:rFonts w:cs="宋体"/>
        </w:rPr>
        <w:drawing>
          <wp:inline distT="0" distB="0" distL="0" distR="0">
            <wp:extent cx="3418205" cy="3186430"/>
            <wp:effectExtent l="0" t="0" r="0" b="0"/>
            <wp:docPr id="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418205" cy="3186430"/>
                    </a:xfrm>
                    <a:prstGeom prst="rect">
                      <a:avLst/>
                    </a:prstGeom>
                    <a:noFill/>
                    <a:ln>
                      <a:noFill/>
                    </a:ln>
                  </pic:spPr>
                </pic:pic>
              </a:graphicData>
            </a:graphic>
          </wp:inline>
        </w:drawing>
      </w:r>
    </w:p>
    <w:p w14:paraId="1A104349">
      <w:pPr>
        <w:pStyle w:val="19"/>
        <w:ind w:left="420" w:hanging="420"/>
        <w:rPr>
          <w:rFonts w:cs="宋体"/>
        </w:rPr>
      </w:pPr>
      <w:r>
        <w:rPr>
          <w:rFonts w:hint="eastAsia" w:cs="宋体"/>
        </w:rPr>
        <w:t>图</w:t>
      </w:r>
      <w:r>
        <w:rPr>
          <w:rFonts w:cs="宋体"/>
        </w:rPr>
        <w:t xml:space="preserve">1 </w:t>
      </w:r>
      <w:r>
        <w:rPr>
          <w:rFonts w:hint="eastAsia" w:cs="宋体"/>
        </w:rPr>
        <w:t>货位编号示意图</w:t>
      </w:r>
    </w:p>
    <w:p w14:paraId="7CF214EB">
      <w:pPr>
        <w:ind w:firstLine="480"/>
      </w:pPr>
      <w:r>
        <w:rPr>
          <w:rFonts w:hint="eastAsia"/>
        </w:rPr>
        <w:t>2）立库中的货架每层的高度不是统一的。由于S工厂的原材料运载单元有三种类型：E</w:t>
      </w:r>
      <w:r>
        <w:t>1</w:t>
      </w:r>
      <w:r>
        <w:rPr>
          <w:rFonts w:hint="eastAsia"/>
        </w:rPr>
        <w:t>、</w:t>
      </w:r>
      <w:r>
        <w:t>E3</w:t>
      </w:r>
      <w:r>
        <w:rPr>
          <w:rFonts w:hint="eastAsia"/>
        </w:rPr>
        <w:t>、</w:t>
      </w:r>
      <w:r>
        <w:t>E4</w:t>
      </w:r>
      <w:r>
        <w:rPr>
          <w:rFonts w:hint="eastAsia"/>
        </w:rPr>
        <w:t>箱；立库中的货架根据不同的运载单元设定货架每层的高度；货架从第1层至第8层的高度设置200mm，只能存入E</w:t>
      </w:r>
      <w:r>
        <w:t>1</w:t>
      </w:r>
      <w:r>
        <w:rPr>
          <w:rFonts w:hint="eastAsia"/>
        </w:rPr>
        <w:t>箱子；第9层至第42层的高度设置400mm，可以存入E</w:t>
      </w:r>
      <w:r>
        <w:t>1</w:t>
      </w:r>
      <w:r>
        <w:rPr>
          <w:rFonts w:hint="eastAsia"/>
        </w:rPr>
        <w:t>箱子和E</w:t>
      </w:r>
      <w:r>
        <w:t>3</w:t>
      </w:r>
      <w:r>
        <w:rPr>
          <w:rFonts w:hint="eastAsia"/>
        </w:rPr>
        <w:t>箱子; 第</w:t>
      </w:r>
      <w:r>
        <w:t>43</w:t>
      </w:r>
      <w:r>
        <w:rPr>
          <w:rFonts w:hint="eastAsia"/>
        </w:rPr>
        <w:t>层至第</w:t>
      </w:r>
      <w:r>
        <w:t>50</w:t>
      </w:r>
      <w:r>
        <w:rPr>
          <w:rFonts w:hint="eastAsia"/>
        </w:rPr>
        <w:t>层的高度设置500mm，可以存入E</w:t>
      </w:r>
      <w:r>
        <w:t>4</w:t>
      </w:r>
      <w:r>
        <w:rPr>
          <w:rFonts w:hint="eastAsia"/>
        </w:rPr>
        <w:t>、E</w:t>
      </w:r>
      <w:r>
        <w:t>3</w:t>
      </w:r>
      <w:r>
        <w:rPr>
          <w:rFonts w:hint="eastAsia"/>
        </w:rPr>
        <w:t>、</w:t>
      </w:r>
      <w:r>
        <w:t>E1</w:t>
      </w:r>
      <w:r>
        <w:rPr>
          <w:rFonts w:hint="eastAsia"/>
        </w:rPr>
        <w:t>箱子；货架层数高度分布示意如图</w:t>
      </w:r>
      <w:r>
        <w:t>2</w:t>
      </w:r>
      <w:r>
        <w:rPr>
          <w:rFonts w:hint="eastAsia"/>
        </w:rPr>
        <w:t>所示。</w:t>
      </w:r>
    </w:p>
    <w:p w14:paraId="6E196D8F">
      <w:pPr>
        <w:pStyle w:val="19"/>
        <w:ind w:left="420" w:hanging="420"/>
        <w:rPr>
          <w:rFonts w:cs="宋体"/>
        </w:rPr>
      </w:pPr>
      <w:r>
        <w:rPr>
          <w:rFonts w:cs="宋体"/>
        </w:rPr>
        <w:drawing>
          <wp:inline distT="0" distB="0" distL="0" distR="0">
            <wp:extent cx="4135755" cy="298259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35755" cy="2982595"/>
                    </a:xfrm>
                    <a:prstGeom prst="rect">
                      <a:avLst/>
                    </a:prstGeom>
                    <a:noFill/>
                    <a:ln>
                      <a:noFill/>
                    </a:ln>
                  </pic:spPr>
                </pic:pic>
              </a:graphicData>
            </a:graphic>
          </wp:inline>
        </w:drawing>
      </w:r>
    </w:p>
    <w:p w14:paraId="608D0042">
      <w:pPr>
        <w:pStyle w:val="19"/>
        <w:ind w:left="420" w:hanging="420"/>
        <w:rPr>
          <w:rFonts w:cs="宋体"/>
        </w:rPr>
      </w:pPr>
      <w:r>
        <w:rPr>
          <w:rFonts w:hint="eastAsia" w:cs="宋体"/>
        </w:rPr>
        <w:t>图</w:t>
      </w:r>
      <w:r>
        <w:rPr>
          <w:rFonts w:cs="宋体"/>
        </w:rPr>
        <w:t>2</w:t>
      </w:r>
      <w:r>
        <w:rPr>
          <w:rFonts w:hint="eastAsia" w:cs="宋体"/>
        </w:rPr>
        <w:t>立库货架每层高度示意图</w:t>
      </w:r>
    </w:p>
    <w:p w14:paraId="1C4FC0D1">
      <w:pPr>
        <w:pStyle w:val="19"/>
        <w:ind w:left="199" w:hanging="199" w:hangingChars="95"/>
        <w:jc w:val="both"/>
        <w:rPr>
          <w:rFonts w:cs="宋体"/>
        </w:rPr>
      </w:pPr>
    </w:p>
    <w:p w14:paraId="3AA4C76D">
      <w:pPr>
        <w:ind w:firstLine="480"/>
        <w:rPr>
          <w:rFonts w:hint="eastAsia" w:eastAsia="宋体"/>
          <w:lang w:val="en-US" w:eastAsia="zh-CN"/>
        </w:rPr>
      </w:pPr>
      <w:r>
        <w:rPr>
          <w:rFonts w:hint="eastAsia"/>
        </w:rPr>
        <w:t>3）基于</w:t>
      </w:r>
      <w:r>
        <w:rPr>
          <w:rFonts w:hint="eastAsia"/>
          <w:lang w:val="en-US" w:eastAsia="zh-CN"/>
        </w:rPr>
        <w:t>某一时段（可以是天或周）</w:t>
      </w:r>
      <w:r>
        <w:rPr>
          <w:rFonts w:hint="eastAsia"/>
        </w:rPr>
        <w:t>生产数据作为问题</w:t>
      </w:r>
      <w:r>
        <w:rPr>
          <w:rFonts w:hint="eastAsia"/>
          <w:lang w:val="en-US" w:eastAsia="zh-CN"/>
        </w:rPr>
        <w:t>的</w:t>
      </w:r>
      <w:r>
        <w:rPr>
          <w:rFonts w:hint="eastAsia"/>
        </w:rPr>
        <w:t>基础数据，分别有原材料库存数量数据、生产线订料数据以及原材料入库数据。基于原材料库存数量数据给每箱原材料分</w:t>
      </w:r>
      <w:r>
        <w:rPr>
          <w:rFonts w:hint="eastAsia"/>
          <w:lang w:val="en-US" w:eastAsia="zh-CN"/>
        </w:rPr>
        <w:t>货位</w:t>
      </w:r>
      <w:r>
        <w:rPr>
          <w:rFonts w:hint="eastAsia"/>
          <w:lang w:eastAsia="zh-CN"/>
        </w:rPr>
        <w:t>；</w:t>
      </w:r>
      <w:r>
        <w:rPr>
          <w:rFonts w:hint="eastAsia"/>
        </w:rPr>
        <w:t>在</w:t>
      </w:r>
      <w:r>
        <w:rPr>
          <w:rFonts w:hint="eastAsia"/>
          <w:lang w:val="en-US" w:eastAsia="zh-CN"/>
        </w:rPr>
        <w:t>货</w:t>
      </w:r>
      <w:r>
        <w:rPr>
          <w:rFonts w:hint="eastAsia"/>
        </w:rPr>
        <w:t>位分配后的情况下，以生产线订料数据</w:t>
      </w:r>
      <w:r>
        <w:rPr>
          <w:rFonts w:hint="eastAsia"/>
          <w:lang w:val="en-US" w:eastAsia="zh-CN"/>
        </w:rPr>
        <w:t>为基础，</w:t>
      </w:r>
      <w:r>
        <w:rPr>
          <w:rFonts w:hint="eastAsia"/>
        </w:rPr>
        <w:t>求解堆垛机叉取货物时间额总和</w:t>
      </w:r>
      <w:r>
        <w:rPr>
          <w:rFonts w:hint="eastAsia"/>
          <w:lang w:eastAsia="zh-CN"/>
        </w:rPr>
        <w:t>；</w:t>
      </w:r>
      <w:r>
        <w:rPr>
          <w:rFonts w:hint="eastAsia"/>
          <w:lang w:val="en-US" w:eastAsia="zh-CN"/>
        </w:rPr>
        <w:t>同时，</w:t>
      </w:r>
      <w:r>
        <w:rPr>
          <w:rFonts w:hint="eastAsia"/>
        </w:rPr>
        <w:t>以原材料入库数据</w:t>
      </w:r>
      <w:r>
        <w:rPr>
          <w:rFonts w:hint="eastAsia"/>
          <w:lang w:val="en-US" w:eastAsia="zh-CN"/>
        </w:rPr>
        <w:t>为基础，</w:t>
      </w:r>
      <w:r>
        <w:rPr>
          <w:rFonts w:hint="eastAsia"/>
        </w:rPr>
        <w:t>求解堆垛机</w:t>
      </w:r>
      <w:r>
        <w:rPr>
          <w:rFonts w:hint="eastAsia"/>
          <w:lang w:val="en-US" w:eastAsia="zh-CN"/>
        </w:rPr>
        <w:t>从入库处叉取原料箱放入货位的</w:t>
      </w:r>
      <w:r>
        <w:rPr>
          <w:rFonts w:hint="eastAsia"/>
        </w:rPr>
        <w:t>时间额总和</w:t>
      </w:r>
      <w:r>
        <w:rPr>
          <w:rFonts w:hint="eastAsia"/>
          <w:lang w:eastAsia="zh-CN"/>
        </w:rPr>
        <w:t>。</w:t>
      </w:r>
    </w:p>
    <w:p w14:paraId="4A59069F">
      <w:pPr>
        <w:ind w:firstLine="480"/>
      </w:pPr>
      <w:r>
        <w:t>4</w:t>
      </w:r>
      <w:r>
        <w:rPr>
          <w:rFonts w:hint="eastAsia"/>
        </w:rPr>
        <w:t>）立库出库规则：当堆垛机要取浅位货位上的料箱时，堆垛机将浅位货位的料箱取出，再移动到立库出口位置</w:t>
      </w:r>
      <w:r>
        <w:rPr>
          <w:rFonts w:hint="eastAsia"/>
          <w:lang w:eastAsia="zh-CN"/>
        </w:rPr>
        <w:t>，</w:t>
      </w:r>
      <w:r>
        <w:rPr>
          <w:rFonts w:hint="eastAsia"/>
          <w:lang w:val="en-US" w:eastAsia="zh-CN"/>
        </w:rPr>
        <w:t>即完成订单</w:t>
      </w:r>
      <w:r>
        <w:rPr>
          <w:rFonts w:hint="eastAsia"/>
        </w:rPr>
        <w:t>；当堆垛机要取深位货位上的料箱时，需要将深位与浅位货位上的料箱一并取出，再将浅位上的料箱存放到另一边货架上空余货位位置，堆垛机再将深位料箱运输到立库出口</w:t>
      </w:r>
      <w:r>
        <w:rPr>
          <w:rFonts w:hint="eastAsia"/>
          <w:lang w:eastAsia="zh-CN"/>
        </w:rPr>
        <w:t>，</w:t>
      </w:r>
      <w:r>
        <w:rPr>
          <w:rFonts w:hint="eastAsia"/>
          <w:lang w:val="en-US" w:eastAsia="zh-CN"/>
        </w:rPr>
        <w:t>即完成订单</w:t>
      </w:r>
      <w:r>
        <w:rPr>
          <w:rFonts w:hint="eastAsia"/>
        </w:rPr>
        <w:t>。</w:t>
      </w:r>
    </w:p>
    <w:p w14:paraId="705BE631">
      <w:pPr>
        <w:ind w:firstLine="480"/>
      </w:pPr>
      <w:r>
        <w:rPr>
          <w:rFonts w:hint="eastAsia"/>
          <w:lang w:val="en-US" w:eastAsia="zh-CN"/>
        </w:rPr>
        <w:t>对于</w:t>
      </w:r>
      <w:r>
        <w:rPr>
          <w:rFonts w:hint="eastAsia"/>
        </w:rPr>
        <w:t>深位货架的</w:t>
      </w:r>
      <w:r>
        <w:rPr>
          <w:rFonts w:hint="eastAsia"/>
          <w:lang w:val="en-US" w:eastAsia="zh-CN"/>
        </w:rPr>
        <w:t>料箱，</w:t>
      </w:r>
      <w:r>
        <w:rPr>
          <w:rFonts w:hint="eastAsia"/>
        </w:rPr>
        <w:t>堆垛机在叉取货物时存在“倒腾”的低效率动作。自动立库一共有7个巷道与7个堆垛机，堆垛机每次存取，货叉上可放2个存储位；对于深位货架，为了方便区分</w:t>
      </w:r>
      <w:r>
        <w:rPr>
          <w:rFonts w:hint="eastAsia"/>
          <w:lang w:eastAsia="zh-CN"/>
        </w:rPr>
        <w:t>，</w:t>
      </w:r>
      <w:r>
        <w:rPr>
          <w:rFonts w:hint="eastAsia"/>
          <w:lang w:val="en-US" w:eastAsia="zh-CN"/>
        </w:rPr>
        <w:t>同一巷道中相对的</w:t>
      </w:r>
      <w:r>
        <w:rPr>
          <w:rFonts w:hint="eastAsia"/>
        </w:rPr>
        <w:t>货架</w:t>
      </w:r>
      <w:r>
        <w:rPr>
          <w:rFonts w:hint="eastAsia"/>
          <w:lang w:eastAsia="zh-CN"/>
        </w:rPr>
        <w:t>，</w:t>
      </w:r>
      <w:r>
        <w:rPr>
          <w:rFonts w:hint="eastAsia"/>
          <w:lang w:val="en-US" w:eastAsia="zh-CN"/>
        </w:rPr>
        <w:t>位置相对的</w:t>
      </w:r>
      <w:r>
        <w:rPr>
          <w:rFonts w:hint="eastAsia"/>
        </w:rPr>
        <w:t>货格上的</w:t>
      </w:r>
      <w:r>
        <w:rPr>
          <w:rFonts w:hint="eastAsia"/>
          <w:lang w:val="en-US" w:eastAsia="zh-CN"/>
        </w:rPr>
        <w:t>双</w:t>
      </w:r>
      <w:r>
        <w:rPr>
          <w:rFonts w:hint="eastAsia"/>
        </w:rPr>
        <w:t>深位货位，定义：</w:t>
      </w:r>
    </w:p>
    <w:p w14:paraId="109ACF14">
      <w:pPr>
        <w:ind w:left="1200" w:firstLine="0" w:firstLineChars="0"/>
      </w:pPr>
      <w:r>
        <w:rPr>
          <w:rFonts w:hint="eastAsia"/>
        </w:rPr>
        <w:t>浅位货位：靠近堆垛机的货位；</w:t>
      </w:r>
    </w:p>
    <w:p w14:paraId="1E06EDB0">
      <w:pPr>
        <w:ind w:left="1200" w:firstLine="0" w:firstLineChars="0"/>
      </w:pPr>
      <w:r>
        <w:rPr>
          <w:rFonts w:hint="eastAsia"/>
        </w:rPr>
        <w:t>深位货位：远离堆垛机的货位；</w:t>
      </w:r>
    </w:p>
    <w:p w14:paraId="0AD92DFE">
      <w:pPr>
        <w:ind w:firstLine="480"/>
      </w:pPr>
      <w:r>
        <w:rPr>
          <w:rFonts w:hint="eastAsia"/>
        </w:rPr>
        <w:t>如图3所示，当堆垛机要取深位货位上的目标料箱时，需要将深位与浅位货位上的料箱一并取出，先将浅位上的料箱</w:t>
      </w:r>
      <w:r>
        <w:rPr>
          <w:rFonts w:hint="eastAsia"/>
          <w:lang w:val="en-US" w:eastAsia="zh-CN"/>
        </w:rPr>
        <w:t>A</w:t>
      </w:r>
      <w:r>
        <w:rPr>
          <w:rFonts w:hint="eastAsia"/>
        </w:rPr>
        <w:t>存放到对面货架上空余货位位置B</w:t>
      </w:r>
      <w:r>
        <w:rPr>
          <w:rFonts w:hint="eastAsia"/>
          <w:lang w:eastAsia="zh-CN"/>
        </w:rPr>
        <w:t>（</w:t>
      </w:r>
      <w:r>
        <w:rPr>
          <w:rFonts w:hint="eastAsia"/>
          <w:lang w:val="en-US" w:eastAsia="zh-CN"/>
        </w:rPr>
        <w:t>如果同一货格都空时，优先放置</w:t>
      </w:r>
      <w:r>
        <w:rPr>
          <w:rFonts w:hint="eastAsia"/>
        </w:rPr>
        <w:t>深位货位</w:t>
      </w:r>
      <w:r>
        <w:rPr>
          <w:rFonts w:hint="eastAsia"/>
          <w:lang w:eastAsia="zh-CN"/>
        </w:rPr>
        <w:t>）</w:t>
      </w:r>
      <w:r>
        <w:rPr>
          <w:rFonts w:hint="eastAsia"/>
        </w:rPr>
        <w:t>，堆垛机再将深位料箱运输到</w:t>
      </w:r>
      <w:r>
        <w:rPr>
          <w:rFonts w:hint="eastAsia"/>
          <w:lang w:val="en-US" w:eastAsia="zh-CN"/>
        </w:rPr>
        <w:t>立库</w:t>
      </w:r>
      <w:r>
        <w:rPr>
          <w:rFonts w:hint="eastAsia"/>
        </w:rPr>
        <w:t>出口。所以，当浅位货位与深位货位都存在运输箱且堆垛机需要叉取深位货位运输箱时，</w:t>
      </w:r>
      <w:r>
        <w:rPr>
          <w:rFonts w:hint="eastAsia" w:ascii="宋体" w:hAnsi="宋体" w:cs="宋体"/>
        </w:rPr>
        <w:t>浅位货位的运输箱是否可以被叉取取决另一边货架是否有空余货位</w:t>
      </w:r>
      <w:r>
        <w:rPr>
          <w:rFonts w:hint="eastAsia"/>
        </w:rPr>
        <w:t>；换句话说，在深浅货位都有运输箱的情况下，假如堆垛机一边货架无空闲货位，另一边的货架深位料箱无法取出。</w:t>
      </w:r>
    </w:p>
    <w:p w14:paraId="14C74BDB">
      <w:pPr>
        <w:pStyle w:val="19"/>
        <w:ind w:left="420" w:hanging="420"/>
        <w:rPr>
          <w:rFonts w:cs="宋体"/>
        </w:rPr>
      </w:pPr>
      <w:r>
        <w:rPr>
          <w:rFonts w:cs="宋体"/>
        </w:rPr>
        <w:drawing>
          <wp:inline distT="0" distB="0" distL="0" distR="0">
            <wp:extent cx="3573145" cy="1490980"/>
            <wp:effectExtent l="0" t="0" r="0" b="0"/>
            <wp:docPr id="5379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8029"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73145" cy="1490980"/>
                    </a:xfrm>
                    <a:prstGeom prst="rect">
                      <a:avLst/>
                    </a:prstGeom>
                    <a:noFill/>
                    <a:ln>
                      <a:noFill/>
                    </a:ln>
                  </pic:spPr>
                </pic:pic>
              </a:graphicData>
            </a:graphic>
          </wp:inline>
        </w:drawing>
      </w:r>
    </w:p>
    <w:p w14:paraId="3CB5BF2A">
      <w:pPr>
        <w:pStyle w:val="19"/>
        <w:ind w:left="420" w:hanging="420"/>
        <w:rPr>
          <w:rFonts w:cs="宋体"/>
        </w:rPr>
      </w:pPr>
      <w:r>
        <w:rPr>
          <w:rFonts w:hint="eastAsia" w:cs="宋体"/>
        </w:rPr>
        <w:t>图3-16</w:t>
      </w:r>
      <w:r>
        <w:rPr>
          <w:rFonts w:cs="宋体"/>
        </w:rPr>
        <w:t xml:space="preserve"> </w:t>
      </w:r>
      <w:r>
        <w:rPr>
          <w:rFonts w:hint="eastAsia" w:cs="宋体"/>
        </w:rPr>
        <w:t>双深位货架深位货位叉取示意图</w:t>
      </w:r>
    </w:p>
    <w:p w14:paraId="545FE21E">
      <w:pPr>
        <w:ind w:firstLine="480"/>
      </w:pPr>
      <w:r>
        <w:t>5</w:t>
      </w:r>
      <w:r>
        <w:rPr>
          <w:rFonts w:hint="eastAsia"/>
        </w:rPr>
        <w:t>）仓储管理系统将来料箱分配给巷道后，堆垛机将来料箱叉起运输至货架上目标货位；堆垛机每次可入库两个料箱。</w:t>
      </w:r>
    </w:p>
    <w:p w14:paraId="7C3CC36E">
      <w:pPr>
        <w:ind w:firstLine="480"/>
        <w:rPr>
          <w:rFonts w:hint="eastAsia"/>
        </w:rPr>
      </w:pPr>
      <w:r>
        <w:rPr>
          <w:rFonts w:hint="eastAsia"/>
        </w:rPr>
        <w:t>6）在深位货位与浅位货位所存储的原材料相同的情况下，订料数量为两箱时，深位货位料箱与浅位货位料箱一并取出发往产线，当订料数量为一箱时，浅位货位上的料箱优先被取出来发往产线。</w:t>
      </w:r>
    </w:p>
    <w:p w14:paraId="024C0E25">
      <w:pPr>
        <w:ind w:firstLine="480"/>
        <w:rPr>
          <w:rFonts w:hint="default" w:eastAsia="宋体"/>
          <w:lang w:val="en-US" w:eastAsia="zh-CN"/>
        </w:rPr>
      </w:pPr>
      <w:r>
        <w:rPr>
          <w:rFonts w:hint="eastAsia"/>
          <w:lang w:val="en-US" w:eastAsia="zh-CN"/>
        </w:rPr>
        <w:t>7</w:t>
      </w:r>
      <w:r>
        <w:rPr>
          <w:rFonts w:hint="eastAsia"/>
          <w:lang w:eastAsia="zh-CN"/>
        </w:rPr>
        <w:t>）</w:t>
      </w:r>
      <w:r>
        <w:rPr>
          <w:rFonts w:hint="eastAsia"/>
        </w:rPr>
        <w:t>堆垛机</w:t>
      </w:r>
      <w:r>
        <w:rPr>
          <w:rFonts w:hint="eastAsia"/>
          <w:lang w:val="en-US" w:eastAsia="zh-CN"/>
        </w:rPr>
        <w:t>上货入库与取货出货都是要时间的，可分为立库出（入）口至货位的行进时间，一般与max(行位，列位)有关，可以考虑线性关系（匀速行进与升降），也可以考虑非线性关系（即时为有加减速的实际过程）；上货（取货）时间，一般可以假设为常数；取深货位</w:t>
      </w:r>
      <w:r>
        <w:rPr>
          <w:rFonts w:hint="eastAsia"/>
        </w:rPr>
        <w:t>料箱</w:t>
      </w:r>
      <w:r>
        <w:rPr>
          <w:rFonts w:hint="eastAsia"/>
          <w:lang w:val="en-US" w:eastAsia="zh-CN"/>
        </w:rPr>
        <w:t>时重新放置浅货位</w:t>
      </w:r>
      <w:r>
        <w:rPr>
          <w:rFonts w:hint="eastAsia"/>
        </w:rPr>
        <w:t>料箱</w:t>
      </w:r>
      <w:r>
        <w:rPr>
          <w:rFonts w:hint="eastAsia"/>
          <w:lang w:val="en-US" w:eastAsia="zh-CN"/>
        </w:rPr>
        <w:t>的时间，如果</w:t>
      </w:r>
      <w:r>
        <w:rPr>
          <w:rFonts w:hint="eastAsia"/>
        </w:rPr>
        <w:t>堆垛机</w:t>
      </w:r>
      <w:r>
        <w:rPr>
          <w:rFonts w:hint="eastAsia"/>
          <w:lang w:val="en-US" w:eastAsia="zh-CN"/>
        </w:rPr>
        <w:t>在不移动的情形下，相当于上料时间。</w:t>
      </w:r>
    </w:p>
    <w:p w14:paraId="122967C9">
      <w:pPr>
        <w:ind w:firstLine="480"/>
      </w:pPr>
      <w:r>
        <w:rPr>
          <w:rFonts w:hint="eastAsia"/>
          <w:lang w:val="en-US" w:eastAsia="zh-CN"/>
        </w:rPr>
        <w:t>8</w:t>
      </w:r>
      <w:r>
        <w:rPr>
          <w:rFonts w:hint="eastAsia"/>
        </w:rPr>
        <w:t>）相关数据表：部分原材料编码与库存数量情况如表</w:t>
      </w:r>
      <w:r>
        <w:t>1</w:t>
      </w:r>
      <w:r>
        <w:rPr>
          <w:rFonts w:hint="eastAsia"/>
        </w:rPr>
        <w:t>，</w:t>
      </w:r>
      <w:r>
        <w:rPr>
          <w:rFonts w:hint="eastAsia"/>
          <w:color w:val="FF0000"/>
          <w:sz w:val="21"/>
        </w:rPr>
        <w:t xml:space="preserve"> </w:t>
      </w:r>
      <w:r>
        <w:rPr>
          <w:rFonts w:hint="eastAsia"/>
        </w:rPr>
        <w:t>部分生产线订料数据如表</w:t>
      </w:r>
      <w:r>
        <w:rPr>
          <w:rFonts w:hint="eastAsia"/>
          <w:lang w:val="en-US" w:eastAsia="zh-CN"/>
        </w:rPr>
        <w:t>2</w:t>
      </w:r>
      <w:r>
        <w:rPr>
          <w:rFonts w:hint="eastAsia"/>
        </w:rPr>
        <w:t>。</w:t>
      </w:r>
      <w:r>
        <w:rPr>
          <w:rFonts w:hint="eastAsia"/>
          <w:lang w:val="en-US" w:eastAsia="zh-CN"/>
        </w:rPr>
        <w:t>部分入库</w:t>
      </w:r>
      <w:r>
        <w:rPr>
          <w:rFonts w:hint="eastAsia"/>
        </w:rPr>
        <w:t>材料数据如表</w:t>
      </w:r>
      <w:r>
        <w:rPr>
          <w:rFonts w:hint="eastAsia"/>
          <w:lang w:val="en-US" w:eastAsia="zh-CN"/>
        </w:rPr>
        <w:t>3</w:t>
      </w:r>
      <w:r>
        <w:rPr>
          <w:rFonts w:hint="eastAsia"/>
          <w:lang w:eastAsia="zh-CN"/>
        </w:rPr>
        <w:t>，</w:t>
      </w:r>
    </w:p>
    <w:p w14:paraId="599FD44E">
      <w:pPr>
        <w:pStyle w:val="19"/>
        <w:ind w:left="420" w:hanging="420"/>
        <w:rPr>
          <w:rFonts w:hint="eastAsia"/>
        </w:rPr>
      </w:pPr>
      <w:r>
        <w:rPr>
          <w:rFonts w:hint="eastAsia"/>
        </w:rPr>
        <w:t>表</w:t>
      </w:r>
      <w:r>
        <w:t>1</w:t>
      </w:r>
      <w:r>
        <w:rPr>
          <w:rFonts w:hint="eastAsia"/>
        </w:rPr>
        <w:t>部分原材料编码与库存数量情况（原材料2000种）</w:t>
      </w:r>
    </w:p>
    <w:tbl>
      <w:tblPr>
        <w:tblStyle w:val="26"/>
        <w:tblW w:w="7124" w:type="dxa"/>
        <w:jc w:val="center"/>
        <w:tblLayout w:type="autofit"/>
        <w:tblCellMar>
          <w:top w:w="0" w:type="dxa"/>
          <w:left w:w="108" w:type="dxa"/>
          <w:bottom w:w="0" w:type="dxa"/>
          <w:right w:w="108" w:type="dxa"/>
        </w:tblCellMar>
      </w:tblPr>
      <w:tblGrid>
        <w:gridCol w:w="2516"/>
        <w:gridCol w:w="1540"/>
        <w:gridCol w:w="1540"/>
        <w:gridCol w:w="1528"/>
      </w:tblGrid>
      <w:tr w14:paraId="7D49D26D">
        <w:tblPrEx>
          <w:tblCellMar>
            <w:top w:w="0" w:type="dxa"/>
            <w:left w:w="108" w:type="dxa"/>
            <w:bottom w:w="0" w:type="dxa"/>
            <w:right w:w="108" w:type="dxa"/>
          </w:tblCellMar>
        </w:tblPrEx>
        <w:trPr>
          <w:trHeight w:val="622"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63A09AC3">
            <w:pPr>
              <w:pStyle w:val="19"/>
              <w:ind w:left="420" w:hanging="420"/>
              <w:jc w:val="center"/>
            </w:pPr>
            <w:r>
              <w:rPr>
                <w:rFonts w:hint="eastAsia"/>
              </w:rPr>
              <w:t>原材料编号</w:t>
            </w:r>
          </w:p>
        </w:tc>
        <w:tc>
          <w:tcPr>
            <w:tcW w:w="1540" w:type="dxa"/>
            <w:tcBorders>
              <w:top w:val="single" w:color="auto" w:sz="4" w:space="0"/>
              <w:left w:val="single" w:color="auto" w:sz="4" w:space="0"/>
              <w:bottom w:val="single" w:color="auto" w:sz="4" w:space="0"/>
              <w:right w:val="single" w:color="auto" w:sz="4" w:space="0"/>
            </w:tcBorders>
            <w:noWrap/>
            <w:vAlign w:val="center"/>
          </w:tcPr>
          <w:p w14:paraId="615A9026">
            <w:pPr>
              <w:pStyle w:val="19"/>
              <w:ind w:left="420" w:hanging="420"/>
              <w:jc w:val="center"/>
              <w:rPr>
                <w:rFonts w:hint="eastAsia"/>
              </w:rPr>
            </w:pPr>
            <w:r>
              <w:rPr>
                <w:rFonts w:ascii="宋体" w:hAnsi="宋体" w:cs="宋体"/>
                <w:kern w:val="0"/>
                <w:sz w:val="21"/>
                <w:szCs w:val="21"/>
              </w:rPr>
              <w:t>箱子类型</w:t>
            </w:r>
          </w:p>
        </w:tc>
        <w:tc>
          <w:tcPr>
            <w:tcW w:w="1540" w:type="dxa"/>
            <w:tcBorders>
              <w:top w:val="single" w:color="auto" w:sz="4" w:space="0"/>
              <w:left w:val="single" w:color="auto" w:sz="4" w:space="0"/>
              <w:bottom w:val="single" w:color="auto" w:sz="4" w:space="0"/>
              <w:right w:val="single" w:color="auto" w:sz="4" w:space="0"/>
            </w:tcBorders>
            <w:noWrap/>
            <w:vAlign w:val="center"/>
          </w:tcPr>
          <w:p w14:paraId="6AA3E4D6">
            <w:pPr>
              <w:pStyle w:val="19"/>
              <w:ind w:left="420" w:hanging="420"/>
              <w:jc w:val="center"/>
            </w:pPr>
            <w:r>
              <w:rPr>
                <w:rFonts w:hint="eastAsia"/>
              </w:rPr>
              <w:t>消耗占比</w:t>
            </w:r>
          </w:p>
        </w:tc>
        <w:tc>
          <w:tcPr>
            <w:tcW w:w="1528" w:type="dxa"/>
            <w:tcBorders>
              <w:top w:val="single" w:color="auto" w:sz="4" w:space="0"/>
              <w:left w:val="single" w:color="auto" w:sz="4" w:space="0"/>
              <w:bottom w:val="single" w:color="auto" w:sz="4" w:space="0"/>
              <w:right w:val="single" w:color="auto" w:sz="4" w:space="0"/>
            </w:tcBorders>
            <w:noWrap/>
            <w:vAlign w:val="center"/>
          </w:tcPr>
          <w:p w14:paraId="2C8ECC8C">
            <w:pPr>
              <w:pStyle w:val="19"/>
              <w:ind w:left="420" w:hanging="420"/>
              <w:jc w:val="center"/>
            </w:pPr>
            <w:r>
              <w:rPr>
                <w:rFonts w:hint="eastAsia"/>
              </w:rPr>
              <w:t>库存数量</w:t>
            </w:r>
            <w:r>
              <w:t>/</w:t>
            </w:r>
            <w:r>
              <w:rPr>
                <w:rFonts w:hint="eastAsia"/>
              </w:rPr>
              <w:t>箱</w:t>
            </w:r>
          </w:p>
        </w:tc>
      </w:tr>
      <w:tr w14:paraId="13FCFC9D">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7D1E6A0F">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B6T0000000316</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E96954">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E4</w:t>
            </w:r>
          </w:p>
        </w:tc>
        <w:tc>
          <w:tcPr>
            <w:tcW w:w="1540" w:type="dxa"/>
            <w:tcBorders>
              <w:top w:val="single" w:color="auto" w:sz="4" w:space="0"/>
              <w:left w:val="single" w:color="auto" w:sz="4" w:space="0"/>
              <w:bottom w:val="single" w:color="auto" w:sz="4" w:space="0"/>
              <w:right w:val="single" w:color="auto" w:sz="4" w:space="0"/>
            </w:tcBorders>
            <w:noWrap/>
            <w:vAlign w:val="center"/>
          </w:tcPr>
          <w:p w14:paraId="7B6EE6ED">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0.016</w:t>
            </w:r>
          </w:p>
        </w:tc>
        <w:tc>
          <w:tcPr>
            <w:tcW w:w="1528" w:type="dxa"/>
            <w:tcBorders>
              <w:top w:val="single" w:color="auto" w:sz="4" w:space="0"/>
              <w:left w:val="single" w:color="auto" w:sz="4" w:space="0"/>
              <w:bottom w:val="single" w:color="auto" w:sz="4" w:space="0"/>
              <w:right w:val="single" w:color="auto" w:sz="4" w:space="0"/>
            </w:tcBorders>
            <w:noWrap/>
            <w:vAlign w:val="center"/>
          </w:tcPr>
          <w:p w14:paraId="689E179E">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20</w:t>
            </w:r>
          </w:p>
        </w:tc>
      </w:tr>
      <w:tr w14:paraId="51F69C6F">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6B73E24F">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B6T0000000317</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5976A6">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E4</w:t>
            </w:r>
          </w:p>
        </w:tc>
        <w:tc>
          <w:tcPr>
            <w:tcW w:w="1540" w:type="dxa"/>
            <w:tcBorders>
              <w:top w:val="single" w:color="auto" w:sz="4" w:space="0"/>
              <w:left w:val="single" w:color="auto" w:sz="4" w:space="0"/>
              <w:bottom w:val="single" w:color="auto" w:sz="4" w:space="0"/>
              <w:right w:val="single" w:color="auto" w:sz="4" w:space="0"/>
            </w:tcBorders>
            <w:noWrap/>
            <w:vAlign w:val="center"/>
          </w:tcPr>
          <w:p w14:paraId="2812963E">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0.0121</w:t>
            </w:r>
          </w:p>
        </w:tc>
        <w:tc>
          <w:tcPr>
            <w:tcW w:w="1528" w:type="dxa"/>
            <w:tcBorders>
              <w:top w:val="single" w:color="auto" w:sz="4" w:space="0"/>
              <w:left w:val="single" w:color="auto" w:sz="4" w:space="0"/>
              <w:bottom w:val="single" w:color="auto" w:sz="4" w:space="0"/>
              <w:right w:val="single" w:color="auto" w:sz="4" w:space="0"/>
            </w:tcBorders>
            <w:noWrap/>
            <w:vAlign w:val="center"/>
          </w:tcPr>
          <w:p w14:paraId="6C1A8F41">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20</w:t>
            </w:r>
          </w:p>
        </w:tc>
      </w:tr>
      <w:tr w14:paraId="1E2BB718">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7CDC36D9">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B6T0000000318</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B5F7AB">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E4</w:t>
            </w:r>
          </w:p>
        </w:tc>
        <w:tc>
          <w:tcPr>
            <w:tcW w:w="1540" w:type="dxa"/>
            <w:tcBorders>
              <w:top w:val="single" w:color="auto" w:sz="4" w:space="0"/>
              <w:left w:val="single" w:color="auto" w:sz="4" w:space="0"/>
              <w:bottom w:val="single" w:color="auto" w:sz="4" w:space="0"/>
              <w:right w:val="single" w:color="auto" w:sz="4" w:space="0"/>
            </w:tcBorders>
            <w:noWrap/>
            <w:vAlign w:val="center"/>
          </w:tcPr>
          <w:p w14:paraId="1F962A93">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0.0119</w:t>
            </w:r>
          </w:p>
        </w:tc>
        <w:tc>
          <w:tcPr>
            <w:tcW w:w="1528" w:type="dxa"/>
            <w:tcBorders>
              <w:top w:val="single" w:color="auto" w:sz="4" w:space="0"/>
              <w:left w:val="single" w:color="auto" w:sz="4" w:space="0"/>
              <w:bottom w:val="single" w:color="auto" w:sz="4" w:space="0"/>
              <w:right w:val="single" w:color="auto" w:sz="4" w:space="0"/>
            </w:tcBorders>
            <w:noWrap/>
            <w:vAlign w:val="center"/>
          </w:tcPr>
          <w:p w14:paraId="5EEBFBE7">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20</w:t>
            </w:r>
          </w:p>
        </w:tc>
      </w:tr>
      <w:tr w14:paraId="1B2CC836">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0E1BD5F5">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B6T0000000319</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C4AEA3">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E4</w:t>
            </w:r>
          </w:p>
        </w:tc>
        <w:tc>
          <w:tcPr>
            <w:tcW w:w="1540" w:type="dxa"/>
            <w:tcBorders>
              <w:top w:val="single" w:color="auto" w:sz="4" w:space="0"/>
              <w:left w:val="single" w:color="auto" w:sz="4" w:space="0"/>
              <w:bottom w:val="single" w:color="auto" w:sz="4" w:space="0"/>
              <w:right w:val="single" w:color="auto" w:sz="4" w:space="0"/>
            </w:tcBorders>
            <w:noWrap/>
            <w:vAlign w:val="center"/>
          </w:tcPr>
          <w:p w14:paraId="60315997">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0.0132</w:t>
            </w:r>
          </w:p>
        </w:tc>
        <w:tc>
          <w:tcPr>
            <w:tcW w:w="1528" w:type="dxa"/>
            <w:tcBorders>
              <w:top w:val="single" w:color="auto" w:sz="4" w:space="0"/>
              <w:left w:val="single" w:color="auto" w:sz="4" w:space="0"/>
              <w:bottom w:val="single" w:color="auto" w:sz="4" w:space="0"/>
              <w:right w:val="single" w:color="auto" w:sz="4" w:space="0"/>
            </w:tcBorders>
            <w:noWrap/>
            <w:vAlign w:val="center"/>
          </w:tcPr>
          <w:p w14:paraId="6046E785">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22</w:t>
            </w:r>
          </w:p>
        </w:tc>
      </w:tr>
      <w:tr w14:paraId="3EBEA1BF">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200992DD">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B6T0000000320</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3E766C">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E3</w:t>
            </w:r>
          </w:p>
        </w:tc>
        <w:tc>
          <w:tcPr>
            <w:tcW w:w="1540" w:type="dxa"/>
            <w:tcBorders>
              <w:top w:val="single" w:color="auto" w:sz="4" w:space="0"/>
              <w:left w:val="single" w:color="auto" w:sz="4" w:space="0"/>
              <w:bottom w:val="single" w:color="auto" w:sz="4" w:space="0"/>
              <w:right w:val="single" w:color="auto" w:sz="4" w:space="0"/>
            </w:tcBorders>
            <w:noWrap/>
            <w:vAlign w:val="center"/>
          </w:tcPr>
          <w:p w14:paraId="72C0045B">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0.0201</w:t>
            </w:r>
          </w:p>
        </w:tc>
        <w:tc>
          <w:tcPr>
            <w:tcW w:w="1528" w:type="dxa"/>
            <w:tcBorders>
              <w:top w:val="single" w:color="auto" w:sz="4" w:space="0"/>
              <w:left w:val="single" w:color="auto" w:sz="4" w:space="0"/>
              <w:bottom w:val="single" w:color="auto" w:sz="4" w:space="0"/>
              <w:right w:val="single" w:color="auto" w:sz="4" w:space="0"/>
            </w:tcBorders>
            <w:noWrap/>
            <w:vAlign w:val="center"/>
          </w:tcPr>
          <w:p w14:paraId="4B74110B">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31</w:t>
            </w:r>
          </w:p>
        </w:tc>
      </w:tr>
      <w:tr w14:paraId="6F2470F7">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324FF28E">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B6T0000000321</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17A1CC">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E3</w:t>
            </w:r>
          </w:p>
        </w:tc>
        <w:tc>
          <w:tcPr>
            <w:tcW w:w="1540" w:type="dxa"/>
            <w:tcBorders>
              <w:top w:val="single" w:color="auto" w:sz="4" w:space="0"/>
              <w:left w:val="single" w:color="auto" w:sz="4" w:space="0"/>
              <w:bottom w:val="single" w:color="auto" w:sz="4" w:space="0"/>
              <w:right w:val="single" w:color="auto" w:sz="4" w:space="0"/>
            </w:tcBorders>
            <w:noWrap/>
            <w:vAlign w:val="center"/>
          </w:tcPr>
          <w:p w14:paraId="1B316DC6">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0.0294</w:t>
            </w:r>
          </w:p>
        </w:tc>
        <w:tc>
          <w:tcPr>
            <w:tcW w:w="1528" w:type="dxa"/>
            <w:tcBorders>
              <w:top w:val="single" w:color="auto" w:sz="4" w:space="0"/>
              <w:left w:val="single" w:color="auto" w:sz="4" w:space="0"/>
              <w:bottom w:val="single" w:color="auto" w:sz="4" w:space="0"/>
              <w:right w:val="single" w:color="auto" w:sz="4" w:space="0"/>
            </w:tcBorders>
            <w:noWrap/>
            <w:vAlign w:val="center"/>
          </w:tcPr>
          <w:p w14:paraId="524D00CC">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60</w:t>
            </w:r>
          </w:p>
        </w:tc>
      </w:tr>
      <w:tr w14:paraId="09942BE8">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640EB248">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B6T0000000322</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93B405">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E3</w:t>
            </w:r>
          </w:p>
        </w:tc>
        <w:tc>
          <w:tcPr>
            <w:tcW w:w="1540" w:type="dxa"/>
            <w:tcBorders>
              <w:top w:val="single" w:color="auto" w:sz="4" w:space="0"/>
              <w:left w:val="single" w:color="auto" w:sz="4" w:space="0"/>
              <w:bottom w:val="single" w:color="auto" w:sz="4" w:space="0"/>
              <w:right w:val="single" w:color="auto" w:sz="4" w:space="0"/>
            </w:tcBorders>
            <w:noWrap/>
            <w:vAlign w:val="center"/>
          </w:tcPr>
          <w:p w14:paraId="307E0CCE">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0.0254</w:t>
            </w:r>
          </w:p>
        </w:tc>
        <w:tc>
          <w:tcPr>
            <w:tcW w:w="1528" w:type="dxa"/>
            <w:tcBorders>
              <w:top w:val="single" w:color="auto" w:sz="4" w:space="0"/>
              <w:left w:val="single" w:color="auto" w:sz="4" w:space="0"/>
              <w:bottom w:val="single" w:color="auto" w:sz="4" w:space="0"/>
              <w:right w:val="single" w:color="auto" w:sz="4" w:space="0"/>
            </w:tcBorders>
            <w:noWrap/>
            <w:vAlign w:val="center"/>
          </w:tcPr>
          <w:p w14:paraId="6EBDFCB2">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60</w:t>
            </w:r>
          </w:p>
        </w:tc>
      </w:tr>
      <w:tr w14:paraId="3A621A74">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146524D9">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B6T0000000323</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0BB785">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E3</w:t>
            </w:r>
          </w:p>
        </w:tc>
        <w:tc>
          <w:tcPr>
            <w:tcW w:w="1540" w:type="dxa"/>
            <w:tcBorders>
              <w:top w:val="single" w:color="auto" w:sz="4" w:space="0"/>
              <w:left w:val="single" w:color="auto" w:sz="4" w:space="0"/>
              <w:bottom w:val="single" w:color="auto" w:sz="4" w:space="0"/>
              <w:right w:val="single" w:color="auto" w:sz="4" w:space="0"/>
            </w:tcBorders>
            <w:noWrap/>
            <w:vAlign w:val="center"/>
          </w:tcPr>
          <w:p w14:paraId="3B7468A4">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0.0136</w:t>
            </w:r>
          </w:p>
        </w:tc>
        <w:tc>
          <w:tcPr>
            <w:tcW w:w="1528" w:type="dxa"/>
            <w:tcBorders>
              <w:top w:val="single" w:color="auto" w:sz="4" w:space="0"/>
              <w:left w:val="single" w:color="auto" w:sz="4" w:space="0"/>
              <w:bottom w:val="single" w:color="auto" w:sz="4" w:space="0"/>
              <w:right w:val="single" w:color="auto" w:sz="4" w:space="0"/>
            </w:tcBorders>
            <w:noWrap/>
            <w:vAlign w:val="center"/>
          </w:tcPr>
          <w:p w14:paraId="7BDF2382">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60</w:t>
            </w:r>
          </w:p>
        </w:tc>
      </w:tr>
      <w:tr w14:paraId="42DEA226">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609DA117">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B6T0000000324</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621AD6">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E3</w:t>
            </w:r>
          </w:p>
        </w:tc>
        <w:tc>
          <w:tcPr>
            <w:tcW w:w="1540" w:type="dxa"/>
            <w:tcBorders>
              <w:top w:val="single" w:color="auto" w:sz="4" w:space="0"/>
              <w:left w:val="single" w:color="auto" w:sz="4" w:space="0"/>
              <w:bottom w:val="single" w:color="auto" w:sz="4" w:space="0"/>
              <w:right w:val="single" w:color="auto" w:sz="4" w:space="0"/>
            </w:tcBorders>
            <w:noWrap/>
            <w:vAlign w:val="center"/>
          </w:tcPr>
          <w:p w14:paraId="390A50C1">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0.1368</w:t>
            </w:r>
          </w:p>
        </w:tc>
        <w:tc>
          <w:tcPr>
            <w:tcW w:w="1528" w:type="dxa"/>
            <w:tcBorders>
              <w:top w:val="single" w:color="auto" w:sz="4" w:space="0"/>
              <w:left w:val="single" w:color="auto" w:sz="4" w:space="0"/>
              <w:bottom w:val="single" w:color="auto" w:sz="4" w:space="0"/>
              <w:right w:val="single" w:color="auto" w:sz="4" w:space="0"/>
            </w:tcBorders>
            <w:noWrap/>
            <w:vAlign w:val="center"/>
          </w:tcPr>
          <w:p w14:paraId="5BC8D6A0">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30</w:t>
            </w:r>
          </w:p>
        </w:tc>
      </w:tr>
      <w:tr w14:paraId="2A0E383A">
        <w:tblPrEx>
          <w:tblCellMar>
            <w:top w:w="0" w:type="dxa"/>
            <w:left w:w="108" w:type="dxa"/>
            <w:bottom w:w="0" w:type="dxa"/>
            <w:right w:w="108" w:type="dxa"/>
          </w:tblCellMar>
        </w:tblPrEx>
        <w:trPr>
          <w:trHeight w:val="290" w:hRule="atLeast"/>
          <w:jc w:val="center"/>
        </w:trPr>
        <w:tc>
          <w:tcPr>
            <w:tcW w:w="2516" w:type="dxa"/>
            <w:tcBorders>
              <w:top w:val="single" w:color="auto" w:sz="4" w:space="0"/>
              <w:left w:val="single" w:color="auto" w:sz="4" w:space="0"/>
              <w:bottom w:val="single" w:color="auto" w:sz="4" w:space="0"/>
              <w:right w:val="single" w:color="auto" w:sz="4" w:space="0"/>
            </w:tcBorders>
            <w:noWrap/>
            <w:vAlign w:val="center"/>
          </w:tcPr>
          <w:p w14:paraId="71FF6677">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B6T0000000325</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D96824">
            <w:pPr>
              <w:keepNext w:val="0"/>
              <w:keepLines w:val="0"/>
              <w:widowControl/>
              <w:suppressLineNumbers w:val="0"/>
              <w:ind w:left="0" w:leftChars="0" w:firstLine="0" w:firstLineChars="0"/>
              <w:jc w:val="center"/>
              <w:textAlignment w:val="center"/>
              <w:rPr>
                <w:rFonts w:ascii="Calibri" w:hAnsi="Calibri" w:eastAsia="Times New Roman" w:cs="Calibri"/>
                <w:kern w:val="0"/>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E3</w:t>
            </w:r>
          </w:p>
        </w:tc>
        <w:tc>
          <w:tcPr>
            <w:tcW w:w="1540" w:type="dxa"/>
            <w:tcBorders>
              <w:top w:val="single" w:color="auto" w:sz="4" w:space="0"/>
              <w:left w:val="single" w:color="auto" w:sz="4" w:space="0"/>
              <w:bottom w:val="single" w:color="auto" w:sz="4" w:space="0"/>
              <w:right w:val="single" w:color="auto" w:sz="4" w:space="0"/>
            </w:tcBorders>
            <w:noWrap/>
            <w:vAlign w:val="center"/>
          </w:tcPr>
          <w:p w14:paraId="3187B94C">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0.0316</w:t>
            </w:r>
          </w:p>
        </w:tc>
        <w:tc>
          <w:tcPr>
            <w:tcW w:w="1528" w:type="dxa"/>
            <w:tcBorders>
              <w:top w:val="single" w:color="auto" w:sz="4" w:space="0"/>
              <w:left w:val="single" w:color="auto" w:sz="4" w:space="0"/>
              <w:bottom w:val="single" w:color="auto" w:sz="4" w:space="0"/>
              <w:right w:val="single" w:color="auto" w:sz="4" w:space="0"/>
            </w:tcBorders>
            <w:noWrap/>
            <w:vAlign w:val="center"/>
          </w:tcPr>
          <w:p w14:paraId="3EDC7200">
            <w:pPr>
              <w:keepNext w:val="0"/>
              <w:keepLines w:val="0"/>
              <w:widowControl/>
              <w:suppressLineNumbers w:val="0"/>
              <w:ind w:left="0" w:leftChars="0" w:firstLine="0" w:firstLineChars="0"/>
              <w:jc w:val="center"/>
              <w:textAlignment w:val="center"/>
              <w:rPr>
                <w:sz w:val="24"/>
                <w:szCs w:val="24"/>
              </w:rPr>
            </w:pPr>
            <w:r>
              <w:rPr>
                <w:rFonts w:hint="eastAsia" w:ascii="宋体" w:hAnsi="宋体" w:eastAsia="宋体" w:cs="宋体"/>
                <w:i w:val="0"/>
                <w:iCs w:val="0"/>
                <w:color w:val="000000"/>
                <w:kern w:val="0"/>
                <w:sz w:val="24"/>
                <w:szCs w:val="24"/>
                <w:u w:val="none"/>
                <w:lang w:val="en-US" w:eastAsia="zh-CN" w:bidi="ar"/>
              </w:rPr>
              <w:t>34</w:t>
            </w:r>
          </w:p>
        </w:tc>
      </w:tr>
      <w:tr w14:paraId="1DFFAD83">
        <w:tblPrEx>
          <w:tblCellMar>
            <w:top w:w="0" w:type="dxa"/>
            <w:left w:w="108" w:type="dxa"/>
            <w:bottom w:w="0" w:type="dxa"/>
            <w:right w:w="108" w:type="dxa"/>
          </w:tblCellMar>
        </w:tblPrEx>
        <w:trPr>
          <w:trHeight w:val="300" w:hRule="atLeast"/>
          <w:jc w:val="center"/>
        </w:trPr>
        <w:tc>
          <w:tcPr>
            <w:tcW w:w="2516" w:type="dxa"/>
            <w:tcBorders>
              <w:top w:val="single" w:color="auto" w:sz="4" w:space="0"/>
              <w:left w:val="single" w:color="auto" w:sz="4" w:space="0"/>
              <w:bottom w:val="single" w:color="auto" w:sz="4" w:space="0"/>
              <w:right w:val="single" w:color="auto" w:sz="4" w:space="0"/>
            </w:tcBorders>
            <w:noWrap/>
            <w:vAlign w:val="bottom"/>
          </w:tcPr>
          <w:p w14:paraId="5E93EF77">
            <w:pPr>
              <w:widowControl/>
              <w:spacing w:line="240" w:lineRule="auto"/>
              <w:ind w:firstLine="0" w:firstLineChars="0"/>
              <w:jc w:val="center"/>
              <w:rPr>
                <w:sz w:val="24"/>
                <w:szCs w:val="24"/>
              </w:rPr>
            </w:pPr>
            <w:r>
              <w:rPr>
                <w:rFonts w:hint="eastAsia" w:ascii="Calibri" w:hAnsi="Calibri" w:eastAsia="Times New Roman" w:cs="Calibri"/>
                <w:kern w:val="0"/>
                <w:sz w:val="24"/>
                <w:szCs w:val="24"/>
              </w:rPr>
              <w:t>···</w:t>
            </w:r>
          </w:p>
        </w:tc>
        <w:tc>
          <w:tcPr>
            <w:tcW w:w="154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FD4285E">
            <w:pPr>
              <w:widowControl/>
              <w:spacing w:line="240" w:lineRule="auto"/>
              <w:ind w:firstLine="0" w:firstLineChars="0"/>
              <w:jc w:val="center"/>
              <w:rPr>
                <w:rFonts w:hint="eastAsia" w:ascii="Calibri" w:hAnsi="Calibri" w:eastAsia="Times New Roman" w:cs="Calibri"/>
                <w:kern w:val="0"/>
                <w:sz w:val="24"/>
                <w:szCs w:val="24"/>
                <w:lang w:val="en-US" w:eastAsia="zh-CN" w:bidi="ar-SA"/>
              </w:rPr>
            </w:pPr>
            <w:r>
              <w:rPr>
                <w:rFonts w:hint="eastAsia" w:ascii="Calibri" w:hAnsi="Calibri" w:eastAsia="Times New Roman" w:cs="Calibri"/>
                <w:kern w:val="0"/>
                <w:sz w:val="24"/>
                <w:szCs w:val="24"/>
              </w:rPr>
              <w:t>···</w:t>
            </w:r>
          </w:p>
        </w:tc>
        <w:tc>
          <w:tcPr>
            <w:tcW w:w="1540" w:type="dxa"/>
            <w:tcBorders>
              <w:top w:val="single" w:color="auto" w:sz="4" w:space="0"/>
              <w:left w:val="single" w:color="auto" w:sz="4" w:space="0"/>
              <w:bottom w:val="single" w:color="auto" w:sz="4" w:space="0"/>
              <w:right w:val="single" w:color="auto" w:sz="4" w:space="0"/>
            </w:tcBorders>
            <w:noWrap/>
            <w:vAlign w:val="bottom"/>
          </w:tcPr>
          <w:p w14:paraId="50DC5AC6">
            <w:pPr>
              <w:widowControl/>
              <w:spacing w:line="240" w:lineRule="auto"/>
              <w:ind w:firstLine="0" w:firstLineChars="0"/>
              <w:jc w:val="center"/>
              <w:rPr>
                <w:sz w:val="24"/>
                <w:szCs w:val="24"/>
              </w:rPr>
            </w:pPr>
            <w:r>
              <w:rPr>
                <w:rFonts w:hint="eastAsia" w:ascii="Calibri" w:hAnsi="Calibri" w:eastAsia="Times New Roman" w:cs="Calibri"/>
                <w:kern w:val="0"/>
                <w:sz w:val="24"/>
                <w:szCs w:val="24"/>
              </w:rPr>
              <w:t>··</w:t>
            </w:r>
          </w:p>
        </w:tc>
        <w:tc>
          <w:tcPr>
            <w:tcW w:w="1528" w:type="dxa"/>
            <w:tcBorders>
              <w:top w:val="single" w:color="auto" w:sz="4" w:space="0"/>
              <w:left w:val="single" w:color="auto" w:sz="4" w:space="0"/>
              <w:bottom w:val="single" w:color="auto" w:sz="4" w:space="0"/>
              <w:right w:val="single" w:color="auto" w:sz="4" w:space="0"/>
            </w:tcBorders>
            <w:noWrap/>
            <w:vAlign w:val="bottom"/>
          </w:tcPr>
          <w:p w14:paraId="30934D0D">
            <w:pPr>
              <w:widowControl/>
              <w:spacing w:line="240" w:lineRule="auto"/>
              <w:ind w:firstLine="0" w:firstLineChars="0"/>
              <w:jc w:val="center"/>
              <w:rPr>
                <w:sz w:val="24"/>
                <w:szCs w:val="24"/>
              </w:rPr>
            </w:pPr>
            <w:r>
              <w:rPr>
                <w:rFonts w:hint="eastAsia" w:ascii="Calibri" w:hAnsi="Calibri" w:eastAsia="Times New Roman" w:cs="Calibri"/>
                <w:kern w:val="0"/>
                <w:sz w:val="24"/>
                <w:szCs w:val="24"/>
              </w:rPr>
              <w:t>···</w:t>
            </w:r>
          </w:p>
        </w:tc>
      </w:tr>
    </w:tbl>
    <w:p w14:paraId="0E8E2920">
      <w:pPr>
        <w:ind w:firstLine="480"/>
      </w:pPr>
    </w:p>
    <w:p w14:paraId="54944767">
      <w:pPr>
        <w:pStyle w:val="19"/>
        <w:ind w:left="420" w:hanging="420"/>
      </w:pPr>
      <w:r>
        <w:rPr>
          <w:rFonts w:hint="eastAsia"/>
        </w:rPr>
        <w:t>表</w:t>
      </w:r>
      <w:r>
        <w:rPr>
          <w:rFonts w:hint="eastAsia"/>
          <w:lang w:val="en-US" w:eastAsia="zh-CN"/>
        </w:rPr>
        <w:t>2</w:t>
      </w:r>
      <w:r>
        <w:rPr>
          <w:rFonts w:hint="eastAsia"/>
        </w:rPr>
        <w:t>部分生产线订料数据</w:t>
      </w:r>
    </w:p>
    <w:tbl>
      <w:tblPr>
        <w:tblStyle w:val="26"/>
        <w:tblW w:w="8244" w:type="dxa"/>
        <w:jc w:val="center"/>
        <w:tblLayout w:type="fixed"/>
        <w:tblCellMar>
          <w:top w:w="0" w:type="dxa"/>
          <w:left w:w="108" w:type="dxa"/>
          <w:bottom w:w="0" w:type="dxa"/>
          <w:right w:w="108" w:type="dxa"/>
        </w:tblCellMar>
      </w:tblPr>
      <w:tblGrid>
        <w:gridCol w:w="877"/>
        <w:gridCol w:w="1823"/>
        <w:gridCol w:w="810"/>
        <w:gridCol w:w="1924"/>
        <w:gridCol w:w="810"/>
        <w:gridCol w:w="2000"/>
      </w:tblGrid>
      <w:tr w14:paraId="29AA9AE0">
        <w:tblPrEx>
          <w:tblCellMar>
            <w:top w:w="0" w:type="dxa"/>
            <w:left w:w="108" w:type="dxa"/>
            <w:bottom w:w="0" w:type="dxa"/>
            <w:right w:w="108" w:type="dxa"/>
          </w:tblCellMar>
        </w:tblPrEx>
        <w:trPr>
          <w:trHeight w:val="609" w:hRule="atLeast"/>
          <w:jc w:val="center"/>
        </w:trPr>
        <w:tc>
          <w:tcPr>
            <w:tcW w:w="877" w:type="dxa"/>
            <w:tcBorders>
              <w:top w:val="single" w:color="auto" w:sz="4" w:space="0"/>
              <w:left w:val="single" w:color="auto" w:sz="4" w:space="0"/>
              <w:bottom w:val="single" w:color="auto" w:sz="4" w:space="0"/>
              <w:right w:val="single" w:color="auto" w:sz="4" w:space="0"/>
            </w:tcBorders>
            <w:noWrap/>
          </w:tcPr>
          <w:p w14:paraId="22B91365">
            <w:pPr>
              <w:widowControl/>
              <w:spacing w:line="240" w:lineRule="auto"/>
              <w:ind w:firstLine="0" w:firstLineChars="0"/>
              <w:jc w:val="center"/>
              <w:rPr>
                <w:rFonts w:ascii="Calibri" w:hAnsi="Calibri" w:eastAsia="Times New Roman" w:cs="Calibri"/>
                <w:kern w:val="0"/>
                <w:sz w:val="21"/>
                <w:szCs w:val="21"/>
              </w:rPr>
            </w:pPr>
            <w:r>
              <w:rPr>
                <w:rFonts w:hint="eastAsia" w:ascii="宋体" w:hAnsi="宋体" w:cs="宋体"/>
                <w:kern w:val="0"/>
                <w:sz w:val="21"/>
                <w:szCs w:val="21"/>
              </w:rPr>
              <w:t>订单</w:t>
            </w:r>
            <w:r>
              <w:rPr>
                <w:rFonts w:ascii="宋体" w:hAnsi="宋体" w:cs="宋体"/>
                <w:kern w:val="0"/>
                <w:sz w:val="21"/>
                <w:szCs w:val="21"/>
              </w:rPr>
              <w:t>号</w:t>
            </w:r>
          </w:p>
        </w:tc>
        <w:tc>
          <w:tcPr>
            <w:tcW w:w="1823" w:type="dxa"/>
            <w:tcBorders>
              <w:top w:val="single" w:color="auto" w:sz="4" w:space="0"/>
              <w:left w:val="single" w:color="auto" w:sz="4" w:space="0"/>
              <w:bottom w:val="single" w:color="auto" w:sz="4" w:space="0"/>
              <w:right w:val="single" w:color="auto" w:sz="4" w:space="0"/>
            </w:tcBorders>
            <w:noWrap/>
          </w:tcPr>
          <w:p w14:paraId="3129C855">
            <w:pPr>
              <w:widowControl/>
              <w:spacing w:line="240" w:lineRule="auto"/>
              <w:ind w:firstLine="0" w:firstLineChars="0"/>
              <w:jc w:val="center"/>
              <w:rPr>
                <w:rFonts w:ascii="Calibri" w:hAnsi="Calibri" w:eastAsia="Times New Roman" w:cs="Calibri"/>
                <w:kern w:val="0"/>
                <w:sz w:val="21"/>
                <w:szCs w:val="21"/>
              </w:rPr>
            </w:pPr>
            <w:r>
              <w:rPr>
                <w:rFonts w:ascii="宋体" w:hAnsi="宋体" w:cs="宋体"/>
                <w:kern w:val="0"/>
                <w:sz w:val="21"/>
                <w:szCs w:val="21"/>
              </w:rPr>
              <w:t>箱号</w:t>
            </w:r>
          </w:p>
        </w:tc>
        <w:tc>
          <w:tcPr>
            <w:tcW w:w="810" w:type="dxa"/>
            <w:tcBorders>
              <w:top w:val="single" w:color="auto" w:sz="4" w:space="0"/>
              <w:left w:val="single" w:color="auto" w:sz="4" w:space="0"/>
              <w:bottom w:val="single" w:color="auto" w:sz="4" w:space="0"/>
              <w:right w:val="single" w:color="auto" w:sz="4" w:space="0"/>
            </w:tcBorders>
            <w:noWrap/>
          </w:tcPr>
          <w:p w14:paraId="2AF73906">
            <w:pPr>
              <w:widowControl/>
              <w:spacing w:line="240" w:lineRule="auto"/>
              <w:ind w:firstLine="0" w:firstLineChars="0"/>
              <w:jc w:val="center"/>
              <w:rPr>
                <w:rFonts w:ascii="Calibri" w:hAnsi="Calibri" w:eastAsia="Times New Roman" w:cs="Calibri"/>
                <w:kern w:val="0"/>
                <w:sz w:val="21"/>
                <w:szCs w:val="21"/>
              </w:rPr>
            </w:pPr>
            <w:r>
              <w:rPr>
                <w:rFonts w:ascii="宋体" w:hAnsi="宋体" w:cs="宋体"/>
                <w:kern w:val="0"/>
                <w:sz w:val="21"/>
                <w:szCs w:val="21"/>
              </w:rPr>
              <w:t>箱子类型</w:t>
            </w:r>
          </w:p>
        </w:tc>
        <w:tc>
          <w:tcPr>
            <w:tcW w:w="1924" w:type="dxa"/>
            <w:tcBorders>
              <w:top w:val="single" w:color="auto" w:sz="4" w:space="0"/>
              <w:left w:val="single" w:color="auto" w:sz="4" w:space="0"/>
              <w:bottom w:val="single" w:color="auto" w:sz="4" w:space="0"/>
              <w:right w:val="single" w:color="auto" w:sz="4" w:space="0"/>
            </w:tcBorders>
            <w:noWrap/>
          </w:tcPr>
          <w:p w14:paraId="69537458">
            <w:pPr>
              <w:widowControl/>
              <w:spacing w:line="240" w:lineRule="auto"/>
              <w:ind w:firstLine="0" w:firstLineChars="0"/>
              <w:jc w:val="center"/>
              <w:rPr>
                <w:rFonts w:ascii="Calibri" w:hAnsi="Calibri" w:eastAsia="Times New Roman" w:cs="Calibri"/>
                <w:kern w:val="0"/>
                <w:sz w:val="21"/>
                <w:szCs w:val="21"/>
              </w:rPr>
            </w:pPr>
            <w:r>
              <w:rPr>
                <w:rFonts w:ascii="宋体" w:hAnsi="宋体" w:cs="宋体"/>
                <w:kern w:val="0"/>
                <w:sz w:val="21"/>
                <w:szCs w:val="21"/>
              </w:rPr>
              <w:t>原材料号</w:t>
            </w:r>
          </w:p>
        </w:tc>
        <w:tc>
          <w:tcPr>
            <w:tcW w:w="810" w:type="dxa"/>
            <w:tcBorders>
              <w:top w:val="single" w:color="auto" w:sz="4" w:space="0"/>
              <w:left w:val="single" w:color="auto" w:sz="4" w:space="0"/>
              <w:bottom w:val="single" w:color="auto" w:sz="4" w:space="0"/>
              <w:right w:val="single" w:color="auto" w:sz="4" w:space="0"/>
            </w:tcBorders>
            <w:noWrap/>
          </w:tcPr>
          <w:p w14:paraId="2D0165C9">
            <w:pPr>
              <w:widowControl/>
              <w:spacing w:line="240" w:lineRule="auto"/>
              <w:ind w:firstLine="0" w:firstLineChars="0"/>
              <w:jc w:val="center"/>
              <w:rPr>
                <w:rFonts w:ascii="Calibri" w:hAnsi="Calibri" w:eastAsia="Times New Roman" w:cs="Calibri"/>
                <w:kern w:val="0"/>
                <w:sz w:val="21"/>
                <w:szCs w:val="21"/>
              </w:rPr>
            </w:pPr>
            <w:r>
              <w:rPr>
                <w:rFonts w:ascii="宋体" w:hAnsi="宋体" w:cs="宋体"/>
                <w:kern w:val="0"/>
                <w:sz w:val="21"/>
                <w:szCs w:val="21"/>
              </w:rPr>
              <w:t>单位</w:t>
            </w:r>
          </w:p>
        </w:tc>
        <w:tc>
          <w:tcPr>
            <w:tcW w:w="2000" w:type="dxa"/>
            <w:tcBorders>
              <w:top w:val="single" w:color="auto" w:sz="4" w:space="0"/>
              <w:left w:val="single" w:color="auto" w:sz="4" w:space="0"/>
              <w:bottom w:val="single" w:color="auto" w:sz="4" w:space="0"/>
              <w:right w:val="single" w:color="auto" w:sz="4" w:space="0"/>
            </w:tcBorders>
          </w:tcPr>
          <w:p w14:paraId="47C2A3E7">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时间</w:t>
            </w:r>
          </w:p>
        </w:tc>
      </w:tr>
      <w:tr w14:paraId="7521A792">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11044876">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56</w:t>
            </w:r>
          </w:p>
        </w:tc>
        <w:tc>
          <w:tcPr>
            <w:tcW w:w="1823" w:type="dxa"/>
            <w:tcBorders>
              <w:top w:val="single" w:color="auto" w:sz="4" w:space="0"/>
              <w:left w:val="single" w:color="auto" w:sz="4" w:space="0"/>
              <w:bottom w:val="single" w:color="auto" w:sz="4" w:space="0"/>
              <w:right w:val="single" w:color="auto" w:sz="4" w:space="0"/>
            </w:tcBorders>
            <w:noWrap/>
            <w:vAlign w:val="center"/>
          </w:tcPr>
          <w:p w14:paraId="6C5C9C79">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SE3V WRPBJE</w:t>
            </w:r>
          </w:p>
        </w:tc>
        <w:tc>
          <w:tcPr>
            <w:tcW w:w="810" w:type="dxa"/>
            <w:tcBorders>
              <w:top w:val="single" w:color="auto" w:sz="4" w:space="0"/>
              <w:left w:val="single" w:color="auto" w:sz="4" w:space="0"/>
              <w:bottom w:val="single" w:color="auto" w:sz="4" w:space="0"/>
              <w:right w:val="single" w:color="auto" w:sz="4" w:space="0"/>
            </w:tcBorders>
            <w:noWrap/>
            <w:vAlign w:val="center"/>
          </w:tcPr>
          <w:p w14:paraId="37EBC458">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E3</w:t>
            </w:r>
          </w:p>
        </w:tc>
        <w:tc>
          <w:tcPr>
            <w:tcW w:w="1924" w:type="dxa"/>
            <w:tcBorders>
              <w:top w:val="single" w:color="auto" w:sz="4" w:space="0"/>
              <w:left w:val="single" w:color="auto" w:sz="4" w:space="0"/>
              <w:bottom w:val="single" w:color="auto" w:sz="4" w:space="0"/>
              <w:right w:val="single" w:color="auto" w:sz="4" w:space="0"/>
            </w:tcBorders>
            <w:noWrap/>
            <w:vAlign w:val="center"/>
          </w:tcPr>
          <w:p w14:paraId="6AD83D81">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B6T0000001104</w:t>
            </w:r>
          </w:p>
        </w:tc>
        <w:tc>
          <w:tcPr>
            <w:tcW w:w="810" w:type="dxa"/>
            <w:tcBorders>
              <w:top w:val="single" w:color="auto" w:sz="4" w:space="0"/>
              <w:left w:val="single" w:color="auto" w:sz="4" w:space="0"/>
              <w:bottom w:val="single" w:color="auto" w:sz="4" w:space="0"/>
              <w:right w:val="single" w:color="auto" w:sz="4" w:space="0"/>
            </w:tcBorders>
            <w:noWrap/>
            <w:vAlign w:val="center"/>
          </w:tcPr>
          <w:p w14:paraId="4E963FFD">
            <w:pPr>
              <w:keepNext w:val="0"/>
              <w:keepLines w:val="0"/>
              <w:widowControl/>
              <w:suppressLineNumbers w:val="0"/>
              <w:ind w:left="0" w:leftChars="0" w:firstLine="0" w:firstLineChars="0"/>
              <w:jc w:val="left"/>
              <w:textAlignment w:val="center"/>
              <w:rPr>
                <w:rFonts w:hint="eastAsia"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2CB9EB7B">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16:30</w:t>
            </w:r>
          </w:p>
        </w:tc>
      </w:tr>
      <w:tr w14:paraId="6881361B">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27268400">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57</w:t>
            </w:r>
          </w:p>
        </w:tc>
        <w:tc>
          <w:tcPr>
            <w:tcW w:w="1823" w:type="dxa"/>
            <w:tcBorders>
              <w:top w:val="single" w:color="auto" w:sz="4" w:space="0"/>
              <w:left w:val="single" w:color="auto" w:sz="4" w:space="0"/>
              <w:bottom w:val="single" w:color="auto" w:sz="4" w:space="0"/>
              <w:right w:val="single" w:color="auto" w:sz="4" w:space="0"/>
            </w:tcBorders>
            <w:noWrap/>
            <w:vAlign w:val="center"/>
          </w:tcPr>
          <w:p w14:paraId="0BA2C680">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SE3V K5RBW2</w:t>
            </w:r>
          </w:p>
        </w:tc>
        <w:tc>
          <w:tcPr>
            <w:tcW w:w="810" w:type="dxa"/>
            <w:tcBorders>
              <w:top w:val="single" w:color="auto" w:sz="4" w:space="0"/>
              <w:left w:val="single" w:color="auto" w:sz="4" w:space="0"/>
              <w:bottom w:val="single" w:color="auto" w:sz="4" w:space="0"/>
              <w:right w:val="single" w:color="auto" w:sz="4" w:space="0"/>
            </w:tcBorders>
            <w:noWrap/>
            <w:vAlign w:val="center"/>
          </w:tcPr>
          <w:p w14:paraId="7EA5CF73">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E3</w:t>
            </w:r>
          </w:p>
        </w:tc>
        <w:tc>
          <w:tcPr>
            <w:tcW w:w="1924" w:type="dxa"/>
            <w:tcBorders>
              <w:top w:val="single" w:color="auto" w:sz="4" w:space="0"/>
              <w:left w:val="single" w:color="auto" w:sz="4" w:space="0"/>
              <w:bottom w:val="single" w:color="auto" w:sz="4" w:space="0"/>
              <w:right w:val="single" w:color="auto" w:sz="4" w:space="0"/>
            </w:tcBorders>
            <w:noWrap/>
            <w:vAlign w:val="center"/>
          </w:tcPr>
          <w:p w14:paraId="3A145C66">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B6T0000001104</w:t>
            </w:r>
          </w:p>
        </w:tc>
        <w:tc>
          <w:tcPr>
            <w:tcW w:w="810" w:type="dxa"/>
            <w:tcBorders>
              <w:top w:val="single" w:color="auto" w:sz="4" w:space="0"/>
              <w:left w:val="single" w:color="auto" w:sz="4" w:space="0"/>
              <w:bottom w:val="single" w:color="auto" w:sz="4" w:space="0"/>
              <w:right w:val="single" w:color="auto" w:sz="4" w:space="0"/>
            </w:tcBorders>
            <w:noWrap/>
            <w:vAlign w:val="center"/>
          </w:tcPr>
          <w:p w14:paraId="65E049EF">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4C1A3A38">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16:30</w:t>
            </w:r>
          </w:p>
        </w:tc>
      </w:tr>
      <w:tr w14:paraId="1082A3BE">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4005934F">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58</w:t>
            </w:r>
          </w:p>
        </w:tc>
        <w:tc>
          <w:tcPr>
            <w:tcW w:w="1823" w:type="dxa"/>
            <w:tcBorders>
              <w:top w:val="single" w:color="auto" w:sz="4" w:space="0"/>
              <w:left w:val="single" w:color="auto" w:sz="4" w:space="0"/>
              <w:bottom w:val="single" w:color="auto" w:sz="4" w:space="0"/>
              <w:right w:val="single" w:color="auto" w:sz="4" w:space="0"/>
            </w:tcBorders>
            <w:noWrap/>
            <w:vAlign w:val="center"/>
          </w:tcPr>
          <w:p w14:paraId="30F10DF3">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SE3V ZLAOI4</w:t>
            </w:r>
          </w:p>
        </w:tc>
        <w:tc>
          <w:tcPr>
            <w:tcW w:w="810" w:type="dxa"/>
            <w:tcBorders>
              <w:top w:val="single" w:color="auto" w:sz="4" w:space="0"/>
              <w:left w:val="single" w:color="auto" w:sz="4" w:space="0"/>
              <w:bottom w:val="single" w:color="auto" w:sz="4" w:space="0"/>
              <w:right w:val="single" w:color="auto" w:sz="4" w:space="0"/>
            </w:tcBorders>
            <w:noWrap/>
            <w:vAlign w:val="center"/>
          </w:tcPr>
          <w:p w14:paraId="2AB0EB5C">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E3</w:t>
            </w:r>
          </w:p>
        </w:tc>
        <w:tc>
          <w:tcPr>
            <w:tcW w:w="1924" w:type="dxa"/>
            <w:tcBorders>
              <w:top w:val="single" w:color="auto" w:sz="4" w:space="0"/>
              <w:left w:val="single" w:color="auto" w:sz="4" w:space="0"/>
              <w:bottom w:val="single" w:color="auto" w:sz="4" w:space="0"/>
              <w:right w:val="single" w:color="auto" w:sz="4" w:space="0"/>
            </w:tcBorders>
            <w:noWrap/>
            <w:vAlign w:val="center"/>
          </w:tcPr>
          <w:p w14:paraId="6041F838">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B6T0000001104</w:t>
            </w:r>
          </w:p>
        </w:tc>
        <w:tc>
          <w:tcPr>
            <w:tcW w:w="810" w:type="dxa"/>
            <w:tcBorders>
              <w:top w:val="single" w:color="auto" w:sz="4" w:space="0"/>
              <w:left w:val="single" w:color="auto" w:sz="4" w:space="0"/>
              <w:bottom w:val="single" w:color="auto" w:sz="4" w:space="0"/>
              <w:right w:val="single" w:color="auto" w:sz="4" w:space="0"/>
            </w:tcBorders>
            <w:noWrap/>
            <w:vAlign w:val="center"/>
          </w:tcPr>
          <w:p w14:paraId="6B755D21">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7C0CF0E2">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16:30</w:t>
            </w:r>
          </w:p>
        </w:tc>
      </w:tr>
      <w:tr w14:paraId="3B2E698B">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7ED06119">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59</w:t>
            </w:r>
          </w:p>
        </w:tc>
        <w:tc>
          <w:tcPr>
            <w:tcW w:w="1823" w:type="dxa"/>
            <w:tcBorders>
              <w:top w:val="single" w:color="auto" w:sz="4" w:space="0"/>
              <w:left w:val="single" w:color="auto" w:sz="4" w:space="0"/>
              <w:bottom w:val="single" w:color="auto" w:sz="4" w:space="0"/>
              <w:right w:val="single" w:color="auto" w:sz="4" w:space="0"/>
            </w:tcBorders>
            <w:noWrap/>
            <w:vAlign w:val="center"/>
          </w:tcPr>
          <w:p w14:paraId="1B29FB50">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SE1V QE3RZS</w:t>
            </w:r>
          </w:p>
        </w:tc>
        <w:tc>
          <w:tcPr>
            <w:tcW w:w="810" w:type="dxa"/>
            <w:tcBorders>
              <w:top w:val="single" w:color="auto" w:sz="4" w:space="0"/>
              <w:left w:val="single" w:color="auto" w:sz="4" w:space="0"/>
              <w:bottom w:val="single" w:color="auto" w:sz="4" w:space="0"/>
              <w:right w:val="single" w:color="auto" w:sz="4" w:space="0"/>
            </w:tcBorders>
            <w:noWrap/>
            <w:vAlign w:val="center"/>
          </w:tcPr>
          <w:p w14:paraId="349AF006">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E1</w:t>
            </w:r>
          </w:p>
        </w:tc>
        <w:tc>
          <w:tcPr>
            <w:tcW w:w="1924" w:type="dxa"/>
            <w:tcBorders>
              <w:top w:val="single" w:color="auto" w:sz="4" w:space="0"/>
              <w:left w:val="single" w:color="auto" w:sz="4" w:space="0"/>
              <w:bottom w:val="single" w:color="auto" w:sz="4" w:space="0"/>
              <w:right w:val="single" w:color="auto" w:sz="4" w:space="0"/>
            </w:tcBorders>
            <w:noWrap/>
            <w:vAlign w:val="center"/>
          </w:tcPr>
          <w:p w14:paraId="36F6E65B">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B6T0000001664</w:t>
            </w:r>
          </w:p>
        </w:tc>
        <w:tc>
          <w:tcPr>
            <w:tcW w:w="810" w:type="dxa"/>
            <w:tcBorders>
              <w:top w:val="single" w:color="auto" w:sz="4" w:space="0"/>
              <w:left w:val="single" w:color="auto" w:sz="4" w:space="0"/>
              <w:bottom w:val="single" w:color="auto" w:sz="4" w:space="0"/>
              <w:right w:val="single" w:color="auto" w:sz="4" w:space="0"/>
            </w:tcBorders>
            <w:noWrap/>
            <w:vAlign w:val="center"/>
          </w:tcPr>
          <w:p w14:paraId="682A55E7">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701E7E1A">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15:02</w:t>
            </w:r>
          </w:p>
        </w:tc>
      </w:tr>
      <w:tr w14:paraId="29797977">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7E93BF2D">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60</w:t>
            </w:r>
          </w:p>
        </w:tc>
        <w:tc>
          <w:tcPr>
            <w:tcW w:w="1823" w:type="dxa"/>
            <w:tcBorders>
              <w:top w:val="single" w:color="auto" w:sz="4" w:space="0"/>
              <w:left w:val="single" w:color="auto" w:sz="4" w:space="0"/>
              <w:bottom w:val="single" w:color="auto" w:sz="4" w:space="0"/>
              <w:right w:val="single" w:color="auto" w:sz="4" w:space="0"/>
            </w:tcBorders>
            <w:noWrap/>
            <w:vAlign w:val="center"/>
          </w:tcPr>
          <w:p w14:paraId="051A1EB5">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SE1V J49ITN</w:t>
            </w:r>
          </w:p>
        </w:tc>
        <w:tc>
          <w:tcPr>
            <w:tcW w:w="810" w:type="dxa"/>
            <w:tcBorders>
              <w:top w:val="single" w:color="auto" w:sz="4" w:space="0"/>
              <w:left w:val="single" w:color="auto" w:sz="4" w:space="0"/>
              <w:bottom w:val="single" w:color="auto" w:sz="4" w:space="0"/>
              <w:right w:val="single" w:color="auto" w:sz="4" w:space="0"/>
            </w:tcBorders>
            <w:noWrap/>
            <w:vAlign w:val="center"/>
          </w:tcPr>
          <w:p w14:paraId="5618B4E2">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E1</w:t>
            </w:r>
          </w:p>
        </w:tc>
        <w:tc>
          <w:tcPr>
            <w:tcW w:w="1924" w:type="dxa"/>
            <w:tcBorders>
              <w:top w:val="single" w:color="auto" w:sz="4" w:space="0"/>
              <w:left w:val="single" w:color="auto" w:sz="4" w:space="0"/>
              <w:bottom w:val="single" w:color="auto" w:sz="4" w:space="0"/>
              <w:right w:val="single" w:color="auto" w:sz="4" w:space="0"/>
            </w:tcBorders>
            <w:noWrap/>
            <w:vAlign w:val="center"/>
          </w:tcPr>
          <w:p w14:paraId="0CE0259C">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B6T0000001664</w:t>
            </w:r>
          </w:p>
        </w:tc>
        <w:tc>
          <w:tcPr>
            <w:tcW w:w="810" w:type="dxa"/>
            <w:tcBorders>
              <w:top w:val="single" w:color="auto" w:sz="4" w:space="0"/>
              <w:left w:val="single" w:color="auto" w:sz="4" w:space="0"/>
              <w:bottom w:val="single" w:color="auto" w:sz="4" w:space="0"/>
              <w:right w:val="single" w:color="auto" w:sz="4" w:space="0"/>
            </w:tcBorders>
            <w:noWrap/>
            <w:vAlign w:val="center"/>
          </w:tcPr>
          <w:p w14:paraId="05B5C5FF">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7DD0C166">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15:02</w:t>
            </w:r>
          </w:p>
        </w:tc>
      </w:tr>
      <w:tr w14:paraId="7E0C5D79">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34359C0E">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61</w:t>
            </w:r>
          </w:p>
        </w:tc>
        <w:tc>
          <w:tcPr>
            <w:tcW w:w="1823" w:type="dxa"/>
            <w:tcBorders>
              <w:top w:val="single" w:color="auto" w:sz="4" w:space="0"/>
              <w:left w:val="single" w:color="auto" w:sz="4" w:space="0"/>
              <w:bottom w:val="single" w:color="auto" w:sz="4" w:space="0"/>
              <w:right w:val="single" w:color="auto" w:sz="4" w:space="0"/>
            </w:tcBorders>
            <w:noWrap/>
            <w:vAlign w:val="center"/>
          </w:tcPr>
          <w:p w14:paraId="07B0860D">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SE1V 7S55J2</w:t>
            </w:r>
          </w:p>
        </w:tc>
        <w:tc>
          <w:tcPr>
            <w:tcW w:w="810" w:type="dxa"/>
            <w:tcBorders>
              <w:top w:val="single" w:color="auto" w:sz="4" w:space="0"/>
              <w:left w:val="single" w:color="auto" w:sz="4" w:space="0"/>
              <w:bottom w:val="single" w:color="auto" w:sz="4" w:space="0"/>
              <w:right w:val="single" w:color="auto" w:sz="4" w:space="0"/>
            </w:tcBorders>
            <w:noWrap/>
            <w:vAlign w:val="center"/>
          </w:tcPr>
          <w:p w14:paraId="1A1366B5">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E1</w:t>
            </w:r>
          </w:p>
        </w:tc>
        <w:tc>
          <w:tcPr>
            <w:tcW w:w="1924" w:type="dxa"/>
            <w:tcBorders>
              <w:top w:val="single" w:color="auto" w:sz="4" w:space="0"/>
              <w:left w:val="single" w:color="auto" w:sz="4" w:space="0"/>
              <w:bottom w:val="single" w:color="auto" w:sz="4" w:space="0"/>
              <w:right w:val="single" w:color="auto" w:sz="4" w:space="0"/>
            </w:tcBorders>
            <w:noWrap/>
            <w:vAlign w:val="center"/>
          </w:tcPr>
          <w:p w14:paraId="7557FA41">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B6T0000001664</w:t>
            </w:r>
          </w:p>
        </w:tc>
        <w:tc>
          <w:tcPr>
            <w:tcW w:w="810" w:type="dxa"/>
            <w:tcBorders>
              <w:top w:val="single" w:color="auto" w:sz="4" w:space="0"/>
              <w:left w:val="single" w:color="auto" w:sz="4" w:space="0"/>
              <w:bottom w:val="single" w:color="auto" w:sz="4" w:space="0"/>
              <w:right w:val="single" w:color="auto" w:sz="4" w:space="0"/>
            </w:tcBorders>
            <w:noWrap/>
            <w:vAlign w:val="center"/>
          </w:tcPr>
          <w:p w14:paraId="6B001AAD">
            <w:pPr>
              <w:keepNext w:val="0"/>
              <w:keepLines w:val="0"/>
              <w:widowControl/>
              <w:suppressLineNumbers w:val="0"/>
              <w:ind w:left="0" w:leftChars="0" w:firstLine="0" w:firstLineChars="0"/>
              <w:jc w:val="left"/>
              <w:textAlignment w:val="center"/>
              <w:rPr>
                <w:rFonts w:hint="eastAsia"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0B787C3F">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15:02</w:t>
            </w:r>
          </w:p>
        </w:tc>
      </w:tr>
      <w:tr w14:paraId="3781ACA0">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3B6AEA43">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62</w:t>
            </w:r>
          </w:p>
        </w:tc>
        <w:tc>
          <w:tcPr>
            <w:tcW w:w="1823" w:type="dxa"/>
            <w:tcBorders>
              <w:top w:val="single" w:color="auto" w:sz="4" w:space="0"/>
              <w:left w:val="single" w:color="auto" w:sz="4" w:space="0"/>
              <w:bottom w:val="single" w:color="auto" w:sz="4" w:space="0"/>
              <w:right w:val="single" w:color="auto" w:sz="4" w:space="0"/>
            </w:tcBorders>
            <w:noWrap/>
            <w:vAlign w:val="center"/>
          </w:tcPr>
          <w:p w14:paraId="0FA9D732">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SE1V O7S3KK</w:t>
            </w:r>
          </w:p>
        </w:tc>
        <w:tc>
          <w:tcPr>
            <w:tcW w:w="810" w:type="dxa"/>
            <w:tcBorders>
              <w:top w:val="single" w:color="auto" w:sz="4" w:space="0"/>
              <w:left w:val="single" w:color="auto" w:sz="4" w:space="0"/>
              <w:bottom w:val="single" w:color="auto" w:sz="4" w:space="0"/>
              <w:right w:val="single" w:color="auto" w:sz="4" w:space="0"/>
            </w:tcBorders>
            <w:noWrap/>
            <w:vAlign w:val="center"/>
          </w:tcPr>
          <w:p w14:paraId="01B15E41">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E1</w:t>
            </w:r>
          </w:p>
        </w:tc>
        <w:tc>
          <w:tcPr>
            <w:tcW w:w="1924" w:type="dxa"/>
            <w:tcBorders>
              <w:top w:val="single" w:color="auto" w:sz="4" w:space="0"/>
              <w:left w:val="single" w:color="auto" w:sz="4" w:space="0"/>
              <w:bottom w:val="single" w:color="auto" w:sz="4" w:space="0"/>
              <w:right w:val="single" w:color="auto" w:sz="4" w:space="0"/>
            </w:tcBorders>
            <w:noWrap/>
            <w:vAlign w:val="center"/>
          </w:tcPr>
          <w:p w14:paraId="0C7982DD">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B6T0000001664</w:t>
            </w:r>
          </w:p>
        </w:tc>
        <w:tc>
          <w:tcPr>
            <w:tcW w:w="810" w:type="dxa"/>
            <w:tcBorders>
              <w:top w:val="single" w:color="auto" w:sz="4" w:space="0"/>
              <w:left w:val="single" w:color="auto" w:sz="4" w:space="0"/>
              <w:bottom w:val="single" w:color="auto" w:sz="4" w:space="0"/>
              <w:right w:val="single" w:color="auto" w:sz="4" w:space="0"/>
            </w:tcBorders>
            <w:noWrap/>
            <w:vAlign w:val="center"/>
          </w:tcPr>
          <w:p w14:paraId="44BD9172">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32A66859">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15:02</w:t>
            </w:r>
          </w:p>
        </w:tc>
      </w:tr>
      <w:tr w14:paraId="03A0C570">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04C84EFE">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63</w:t>
            </w:r>
          </w:p>
        </w:tc>
        <w:tc>
          <w:tcPr>
            <w:tcW w:w="1823" w:type="dxa"/>
            <w:tcBorders>
              <w:top w:val="single" w:color="auto" w:sz="4" w:space="0"/>
              <w:left w:val="single" w:color="auto" w:sz="4" w:space="0"/>
              <w:bottom w:val="single" w:color="auto" w:sz="4" w:space="0"/>
              <w:right w:val="single" w:color="auto" w:sz="4" w:space="0"/>
            </w:tcBorders>
            <w:noWrap/>
            <w:vAlign w:val="center"/>
          </w:tcPr>
          <w:p w14:paraId="138B2A16">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SE1V V9RFTM</w:t>
            </w:r>
          </w:p>
        </w:tc>
        <w:tc>
          <w:tcPr>
            <w:tcW w:w="810" w:type="dxa"/>
            <w:tcBorders>
              <w:top w:val="single" w:color="auto" w:sz="4" w:space="0"/>
              <w:left w:val="single" w:color="auto" w:sz="4" w:space="0"/>
              <w:bottom w:val="single" w:color="auto" w:sz="4" w:space="0"/>
              <w:right w:val="single" w:color="auto" w:sz="4" w:space="0"/>
            </w:tcBorders>
            <w:noWrap/>
            <w:vAlign w:val="center"/>
          </w:tcPr>
          <w:p w14:paraId="5CDA503A">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E1</w:t>
            </w:r>
          </w:p>
        </w:tc>
        <w:tc>
          <w:tcPr>
            <w:tcW w:w="1924" w:type="dxa"/>
            <w:tcBorders>
              <w:top w:val="single" w:color="auto" w:sz="4" w:space="0"/>
              <w:left w:val="single" w:color="auto" w:sz="4" w:space="0"/>
              <w:bottom w:val="single" w:color="auto" w:sz="4" w:space="0"/>
              <w:right w:val="single" w:color="auto" w:sz="4" w:space="0"/>
            </w:tcBorders>
            <w:noWrap/>
            <w:vAlign w:val="center"/>
          </w:tcPr>
          <w:p w14:paraId="3E44B0CA">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B6T0000001664</w:t>
            </w:r>
          </w:p>
        </w:tc>
        <w:tc>
          <w:tcPr>
            <w:tcW w:w="810" w:type="dxa"/>
            <w:tcBorders>
              <w:top w:val="single" w:color="auto" w:sz="4" w:space="0"/>
              <w:left w:val="single" w:color="auto" w:sz="4" w:space="0"/>
              <w:bottom w:val="single" w:color="auto" w:sz="4" w:space="0"/>
              <w:right w:val="single" w:color="auto" w:sz="4" w:space="0"/>
            </w:tcBorders>
            <w:noWrap/>
            <w:vAlign w:val="center"/>
          </w:tcPr>
          <w:p w14:paraId="4937FAE3">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0E296188">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15:02</w:t>
            </w:r>
          </w:p>
        </w:tc>
      </w:tr>
      <w:tr w14:paraId="10CB321F">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49C30D8A">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64</w:t>
            </w:r>
          </w:p>
        </w:tc>
        <w:tc>
          <w:tcPr>
            <w:tcW w:w="1823" w:type="dxa"/>
            <w:tcBorders>
              <w:top w:val="single" w:color="auto" w:sz="4" w:space="0"/>
              <w:left w:val="single" w:color="auto" w:sz="4" w:space="0"/>
              <w:bottom w:val="single" w:color="auto" w:sz="4" w:space="0"/>
              <w:right w:val="single" w:color="auto" w:sz="4" w:space="0"/>
            </w:tcBorders>
            <w:noWrap/>
            <w:vAlign w:val="center"/>
          </w:tcPr>
          <w:p w14:paraId="5AEB3548">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SE1V TTQLGZ</w:t>
            </w:r>
          </w:p>
        </w:tc>
        <w:tc>
          <w:tcPr>
            <w:tcW w:w="810" w:type="dxa"/>
            <w:tcBorders>
              <w:top w:val="single" w:color="auto" w:sz="4" w:space="0"/>
              <w:left w:val="single" w:color="auto" w:sz="4" w:space="0"/>
              <w:bottom w:val="single" w:color="auto" w:sz="4" w:space="0"/>
              <w:right w:val="single" w:color="auto" w:sz="4" w:space="0"/>
            </w:tcBorders>
            <w:noWrap/>
            <w:vAlign w:val="center"/>
          </w:tcPr>
          <w:p w14:paraId="0C67F64F">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E1</w:t>
            </w:r>
          </w:p>
        </w:tc>
        <w:tc>
          <w:tcPr>
            <w:tcW w:w="1924" w:type="dxa"/>
            <w:tcBorders>
              <w:top w:val="single" w:color="auto" w:sz="4" w:space="0"/>
              <w:left w:val="single" w:color="auto" w:sz="4" w:space="0"/>
              <w:bottom w:val="single" w:color="auto" w:sz="4" w:space="0"/>
              <w:right w:val="single" w:color="auto" w:sz="4" w:space="0"/>
            </w:tcBorders>
            <w:noWrap/>
            <w:vAlign w:val="center"/>
          </w:tcPr>
          <w:p w14:paraId="0B60DE70">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B6T0000001664</w:t>
            </w:r>
          </w:p>
        </w:tc>
        <w:tc>
          <w:tcPr>
            <w:tcW w:w="810" w:type="dxa"/>
            <w:tcBorders>
              <w:top w:val="single" w:color="auto" w:sz="4" w:space="0"/>
              <w:left w:val="single" w:color="auto" w:sz="4" w:space="0"/>
              <w:bottom w:val="single" w:color="auto" w:sz="4" w:space="0"/>
              <w:right w:val="single" w:color="auto" w:sz="4" w:space="0"/>
            </w:tcBorders>
            <w:noWrap/>
            <w:vAlign w:val="center"/>
          </w:tcPr>
          <w:p w14:paraId="6B254B6B">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6895C4A9">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15:02</w:t>
            </w:r>
          </w:p>
        </w:tc>
      </w:tr>
      <w:tr w14:paraId="179389CF">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center"/>
          </w:tcPr>
          <w:p w14:paraId="5E4E989D">
            <w:pPr>
              <w:keepNext w:val="0"/>
              <w:keepLines w:val="0"/>
              <w:widowControl/>
              <w:suppressLineNumbers w:val="0"/>
              <w:ind w:left="0" w:leftChars="0" w:firstLine="0" w:firstLineChars="0"/>
              <w:jc w:val="righ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65</w:t>
            </w:r>
          </w:p>
        </w:tc>
        <w:tc>
          <w:tcPr>
            <w:tcW w:w="1823" w:type="dxa"/>
            <w:tcBorders>
              <w:top w:val="single" w:color="auto" w:sz="4" w:space="0"/>
              <w:left w:val="single" w:color="auto" w:sz="4" w:space="0"/>
              <w:bottom w:val="single" w:color="auto" w:sz="4" w:space="0"/>
              <w:right w:val="single" w:color="auto" w:sz="4" w:space="0"/>
            </w:tcBorders>
            <w:noWrap/>
            <w:vAlign w:val="center"/>
          </w:tcPr>
          <w:p w14:paraId="0841B893">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SE1V UI1B0Z</w:t>
            </w:r>
          </w:p>
        </w:tc>
        <w:tc>
          <w:tcPr>
            <w:tcW w:w="810" w:type="dxa"/>
            <w:tcBorders>
              <w:top w:val="single" w:color="auto" w:sz="4" w:space="0"/>
              <w:left w:val="single" w:color="auto" w:sz="4" w:space="0"/>
              <w:bottom w:val="single" w:color="auto" w:sz="4" w:space="0"/>
              <w:right w:val="single" w:color="auto" w:sz="4" w:space="0"/>
            </w:tcBorders>
            <w:noWrap/>
            <w:vAlign w:val="center"/>
          </w:tcPr>
          <w:p w14:paraId="5C528457">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E1</w:t>
            </w:r>
          </w:p>
        </w:tc>
        <w:tc>
          <w:tcPr>
            <w:tcW w:w="1924" w:type="dxa"/>
            <w:tcBorders>
              <w:top w:val="single" w:color="auto" w:sz="4" w:space="0"/>
              <w:left w:val="single" w:color="auto" w:sz="4" w:space="0"/>
              <w:bottom w:val="single" w:color="auto" w:sz="4" w:space="0"/>
              <w:right w:val="single" w:color="auto" w:sz="4" w:space="0"/>
            </w:tcBorders>
            <w:noWrap/>
            <w:vAlign w:val="center"/>
          </w:tcPr>
          <w:p w14:paraId="64ABEC7F">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B6T0000001664</w:t>
            </w:r>
          </w:p>
        </w:tc>
        <w:tc>
          <w:tcPr>
            <w:tcW w:w="810" w:type="dxa"/>
            <w:tcBorders>
              <w:top w:val="single" w:color="auto" w:sz="4" w:space="0"/>
              <w:left w:val="single" w:color="auto" w:sz="4" w:space="0"/>
              <w:bottom w:val="single" w:color="auto" w:sz="4" w:space="0"/>
              <w:right w:val="single" w:color="auto" w:sz="4" w:space="0"/>
            </w:tcBorders>
            <w:noWrap/>
            <w:vAlign w:val="center"/>
          </w:tcPr>
          <w:p w14:paraId="42281AA8">
            <w:pPr>
              <w:keepNext w:val="0"/>
              <w:keepLines w:val="0"/>
              <w:widowControl/>
              <w:suppressLineNumbers w:val="0"/>
              <w:ind w:left="0" w:leftChars="0" w:firstLine="0" w:firstLineChars="0"/>
              <w:jc w:val="left"/>
              <w:textAlignment w:val="center"/>
              <w:rPr>
                <w:rFonts w:ascii="Calibri" w:hAnsi="Calibri" w:eastAsia="Times New Roman" w:cs="Calibri"/>
                <w:kern w:val="0"/>
                <w:sz w:val="24"/>
                <w:szCs w:val="24"/>
              </w:rPr>
            </w:pPr>
            <w:r>
              <w:rPr>
                <w:rFonts w:hint="eastAsia" w:ascii="宋体" w:hAnsi="宋体" w:eastAsia="宋体" w:cs="宋体"/>
                <w:i w:val="0"/>
                <w:iCs w:val="0"/>
                <w:color w:val="000000"/>
                <w:kern w:val="0"/>
                <w:sz w:val="24"/>
                <w:szCs w:val="24"/>
                <w:u w:val="none"/>
                <w:lang w:val="en-US" w:eastAsia="zh-CN" w:bidi="ar"/>
              </w:rPr>
              <w:t>箱</w:t>
            </w:r>
          </w:p>
        </w:tc>
        <w:tc>
          <w:tcPr>
            <w:tcW w:w="2000" w:type="dxa"/>
            <w:tcBorders>
              <w:top w:val="single" w:color="auto" w:sz="4" w:space="0"/>
              <w:left w:val="single" w:color="auto" w:sz="4" w:space="0"/>
              <w:bottom w:val="single" w:color="auto" w:sz="4" w:space="0"/>
              <w:right w:val="single" w:color="auto" w:sz="4" w:space="0"/>
            </w:tcBorders>
            <w:vAlign w:val="center"/>
          </w:tcPr>
          <w:p w14:paraId="110948A6">
            <w:pPr>
              <w:keepNext w:val="0"/>
              <w:keepLines w:val="0"/>
              <w:widowControl/>
              <w:suppressLineNumbers w:val="0"/>
              <w:ind w:left="0" w:leftChars="0" w:firstLine="0" w:firstLineChars="0"/>
              <w:jc w:val="right"/>
              <w:textAlignment w:val="center"/>
              <w:rPr>
                <w:rFonts w:ascii="宋体" w:hAnsi="宋体" w:cs="宋体"/>
                <w:kern w:val="0"/>
                <w:sz w:val="24"/>
                <w:szCs w:val="24"/>
              </w:rPr>
            </w:pPr>
            <w:r>
              <w:rPr>
                <w:rFonts w:hint="eastAsia" w:ascii="宋体" w:hAnsi="宋体" w:eastAsia="宋体" w:cs="宋体"/>
                <w:i w:val="0"/>
                <w:iCs w:val="0"/>
                <w:color w:val="000000"/>
                <w:kern w:val="0"/>
                <w:sz w:val="24"/>
                <w:szCs w:val="24"/>
                <w:u w:val="none"/>
                <w:lang w:val="en-US" w:eastAsia="zh-CN" w:bidi="ar"/>
              </w:rPr>
              <w:t>2026/6/2 15:02</w:t>
            </w:r>
          </w:p>
        </w:tc>
      </w:tr>
      <w:tr w14:paraId="23F31237">
        <w:tblPrEx>
          <w:tblCellMar>
            <w:top w:w="0" w:type="dxa"/>
            <w:left w:w="108" w:type="dxa"/>
            <w:bottom w:w="0" w:type="dxa"/>
            <w:right w:w="108" w:type="dxa"/>
          </w:tblCellMar>
        </w:tblPrEx>
        <w:trPr>
          <w:trHeight w:val="290" w:hRule="atLeast"/>
          <w:jc w:val="center"/>
        </w:trPr>
        <w:tc>
          <w:tcPr>
            <w:tcW w:w="877" w:type="dxa"/>
            <w:tcBorders>
              <w:top w:val="single" w:color="auto" w:sz="4" w:space="0"/>
              <w:left w:val="single" w:color="auto" w:sz="4" w:space="0"/>
              <w:bottom w:val="single" w:color="auto" w:sz="4" w:space="0"/>
              <w:right w:val="single" w:color="auto" w:sz="4" w:space="0"/>
            </w:tcBorders>
            <w:noWrap/>
            <w:vAlign w:val="bottom"/>
          </w:tcPr>
          <w:p w14:paraId="121A7776">
            <w:pPr>
              <w:widowControl/>
              <w:spacing w:line="240" w:lineRule="auto"/>
              <w:ind w:firstLine="0" w:firstLineChars="0"/>
              <w:jc w:val="center"/>
              <w:rPr>
                <w:rFonts w:ascii="Calibri" w:hAnsi="Calibri" w:eastAsia="Times New Roman" w:cs="Calibri"/>
                <w:kern w:val="0"/>
                <w:sz w:val="22"/>
                <w:szCs w:val="22"/>
              </w:rPr>
            </w:pPr>
            <w:r>
              <w:rPr>
                <w:rFonts w:hint="eastAsia" w:ascii="Calibri" w:hAnsi="Calibri" w:eastAsia="Times New Roman" w:cs="Calibri"/>
                <w:kern w:val="0"/>
                <w:sz w:val="22"/>
                <w:szCs w:val="22"/>
              </w:rPr>
              <w:t>···</w:t>
            </w:r>
          </w:p>
        </w:tc>
        <w:tc>
          <w:tcPr>
            <w:tcW w:w="1823" w:type="dxa"/>
            <w:tcBorders>
              <w:top w:val="single" w:color="auto" w:sz="4" w:space="0"/>
              <w:left w:val="single" w:color="auto" w:sz="4" w:space="0"/>
              <w:bottom w:val="single" w:color="auto" w:sz="4" w:space="0"/>
              <w:right w:val="single" w:color="auto" w:sz="4" w:space="0"/>
            </w:tcBorders>
            <w:noWrap/>
            <w:vAlign w:val="bottom"/>
          </w:tcPr>
          <w:p w14:paraId="1C659242">
            <w:pPr>
              <w:widowControl/>
              <w:spacing w:line="240" w:lineRule="auto"/>
              <w:ind w:firstLine="0" w:firstLineChars="0"/>
              <w:jc w:val="center"/>
              <w:rPr>
                <w:rFonts w:ascii="Calibri" w:hAnsi="Calibri" w:eastAsia="Times New Roman" w:cs="Calibri"/>
                <w:kern w:val="0"/>
                <w:sz w:val="22"/>
                <w:szCs w:val="22"/>
              </w:rPr>
            </w:pPr>
            <w:r>
              <w:rPr>
                <w:rFonts w:hint="eastAsia" w:ascii="Calibri" w:hAnsi="Calibri" w:eastAsia="Times New Roman" w:cs="Calibri"/>
                <w:kern w:val="0"/>
                <w:sz w:val="22"/>
                <w:szCs w:val="22"/>
              </w:rPr>
              <w:t>···</w:t>
            </w:r>
          </w:p>
        </w:tc>
        <w:tc>
          <w:tcPr>
            <w:tcW w:w="810" w:type="dxa"/>
            <w:tcBorders>
              <w:top w:val="single" w:color="auto" w:sz="4" w:space="0"/>
              <w:left w:val="single" w:color="auto" w:sz="4" w:space="0"/>
              <w:bottom w:val="single" w:color="auto" w:sz="4" w:space="0"/>
              <w:right w:val="single" w:color="auto" w:sz="4" w:space="0"/>
            </w:tcBorders>
            <w:noWrap/>
            <w:vAlign w:val="bottom"/>
          </w:tcPr>
          <w:p w14:paraId="7FA89DC7">
            <w:pPr>
              <w:widowControl/>
              <w:spacing w:line="240" w:lineRule="auto"/>
              <w:ind w:firstLine="0" w:firstLineChars="0"/>
              <w:jc w:val="center"/>
              <w:rPr>
                <w:rFonts w:ascii="Calibri" w:hAnsi="Calibri" w:eastAsia="Times New Roman" w:cs="Calibri"/>
                <w:kern w:val="0"/>
                <w:sz w:val="22"/>
                <w:szCs w:val="22"/>
              </w:rPr>
            </w:pPr>
            <w:r>
              <w:rPr>
                <w:rFonts w:hint="eastAsia" w:ascii="Calibri" w:hAnsi="Calibri" w:eastAsia="Times New Roman" w:cs="Calibri"/>
                <w:kern w:val="0"/>
                <w:sz w:val="22"/>
                <w:szCs w:val="22"/>
              </w:rPr>
              <w:t>··</w:t>
            </w:r>
          </w:p>
        </w:tc>
        <w:tc>
          <w:tcPr>
            <w:tcW w:w="1924" w:type="dxa"/>
            <w:tcBorders>
              <w:top w:val="single" w:color="auto" w:sz="4" w:space="0"/>
              <w:left w:val="single" w:color="auto" w:sz="4" w:space="0"/>
              <w:bottom w:val="single" w:color="auto" w:sz="4" w:space="0"/>
              <w:right w:val="single" w:color="auto" w:sz="4" w:space="0"/>
            </w:tcBorders>
            <w:noWrap/>
            <w:vAlign w:val="bottom"/>
          </w:tcPr>
          <w:p w14:paraId="02B9D727">
            <w:pPr>
              <w:widowControl/>
              <w:spacing w:line="240" w:lineRule="auto"/>
              <w:ind w:firstLine="0" w:firstLineChars="0"/>
              <w:jc w:val="center"/>
              <w:rPr>
                <w:rFonts w:ascii="Calibri" w:hAnsi="Calibri" w:eastAsia="Times New Roman" w:cs="Calibri"/>
                <w:kern w:val="0"/>
                <w:sz w:val="22"/>
                <w:szCs w:val="22"/>
              </w:rPr>
            </w:pPr>
            <w:r>
              <w:rPr>
                <w:rFonts w:hint="eastAsia" w:ascii="Calibri" w:hAnsi="Calibri" w:eastAsia="Times New Roman" w:cs="Calibri"/>
                <w:kern w:val="0"/>
                <w:sz w:val="22"/>
                <w:szCs w:val="22"/>
              </w:rPr>
              <w:t>···</w:t>
            </w:r>
          </w:p>
        </w:tc>
        <w:tc>
          <w:tcPr>
            <w:tcW w:w="810" w:type="dxa"/>
            <w:tcBorders>
              <w:top w:val="single" w:color="auto" w:sz="4" w:space="0"/>
              <w:left w:val="single" w:color="auto" w:sz="4" w:space="0"/>
              <w:bottom w:val="single" w:color="auto" w:sz="4" w:space="0"/>
              <w:right w:val="single" w:color="auto" w:sz="4" w:space="0"/>
            </w:tcBorders>
            <w:noWrap/>
            <w:vAlign w:val="bottom"/>
          </w:tcPr>
          <w:p w14:paraId="739E88CD">
            <w:pPr>
              <w:widowControl/>
              <w:spacing w:line="240" w:lineRule="auto"/>
              <w:ind w:firstLine="0" w:firstLineChars="0"/>
              <w:jc w:val="center"/>
              <w:rPr>
                <w:rFonts w:ascii="Calibri" w:hAnsi="Calibri" w:eastAsia="Times New Roman" w:cs="Calibri"/>
                <w:kern w:val="0"/>
                <w:sz w:val="22"/>
                <w:szCs w:val="22"/>
              </w:rPr>
            </w:pPr>
            <w:r>
              <w:rPr>
                <w:rFonts w:hint="eastAsia" w:ascii="Calibri" w:hAnsi="Calibri" w:eastAsia="Times New Roman" w:cs="Calibri"/>
                <w:kern w:val="0"/>
                <w:sz w:val="22"/>
                <w:szCs w:val="22"/>
              </w:rPr>
              <w:t>···</w:t>
            </w:r>
          </w:p>
        </w:tc>
        <w:tc>
          <w:tcPr>
            <w:tcW w:w="2000" w:type="dxa"/>
            <w:tcBorders>
              <w:top w:val="single" w:color="auto" w:sz="4" w:space="0"/>
              <w:left w:val="single" w:color="auto" w:sz="4" w:space="0"/>
              <w:bottom w:val="single" w:color="auto" w:sz="4" w:space="0"/>
              <w:right w:val="single" w:color="auto" w:sz="4" w:space="0"/>
            </w:tcBorders>
            <w:vAlign w:val="bottom"/>
          </w:tcPr>
          <w:p w14:paraId="7F6AC9EF">
            <w:pPr>
              <w:widowControl/>
              <w:spacing w:line="240" w:lineRule="auto"/>
              <w:ind w:firstLine="0" w:firstLineChars="0"/>
              <w:jc w:val="center"/>
              <w:rPr>
                <w:rFonts w:ascii="Calibri" w:hAnsi="Calibri" w:eastAsia="Times New Roman" w:cs="Calibri"/>
                <w:kern w:val="0"/>
                <w:sz w:val="22"/>
                <w:szCs w:val="22"/>
              </w:rPr>
            </w:pPr>
            <w:r>
              <w:rPr>
                <w:rFonts w:hint="eastAsia" w:ascii="Calibri" w:hAnsi="Calibri" w:eastAsia="Times New Roman" w:cs="Calibri"/>
                <w:kern w:val="0"/>
                <w:sz w:val="22"/>
                <w:szCs w:val="22"/>
              </w:rPr>
              <w:t>···</w:t>
            </w:r>
          </w:p>
        </w:tc>
      </w:tr>
    </w:tbl>
    <w:p w14:paraId="584476F8">
      <w:pPr>
        <w:pStyle w:val="8"/>
        <w:ind w:firstLine="480"/>
        <w:jc w:val="center"/>
        <w:rPr>
          <w:rFonts w:hint="eastAsia"/>
          <w:color w:val="FF0000"/>
          <w:sz w:val="21"/>
        </w:rPr>
      </w:pPr>
      <w:bookmarkStart w:id="1" w:name="_Toc226035846"/>
      <w:r>
        <w:rPr>
          <w:rFonts w:hint="eastAsia"/>
          <w:color w:val="auto"/>
          <w:sz w:val="21"/>
        </w:rPr>
        <w:t>表</w:t>
      </w:r>
      <w:r>
        <w:rPr>
          <w:rFonts w:hint="eastAsia"/>
          <w:color w:val="auto"/>
          <w:sz w:val="21"/>
          <w:lang w:val="en-US" w:eastAsia="zh-CN"/>
        </w:rPr>
        <w:t>3</w:t>
      </w:r>
      <w:r>
        <w:rPr>
          <w:rFonts w:hint="eastAsia"/>
          <w:color w:val="auto"/>
          <w:lang w:val="en-US" w:eastAsia="zh-CN"/>
        </w:rPr>
        <w:t>部分</w:t>
      </w:r>
      <w:r>
        <w:rPr>
          <w:rFonts w:hint="eastAsia"/>
          <w:lang w:val="en-US" w:eastAsia="zh-CN"/>
        </w:rPr>
        <w:t>入库</w:t>
      </w:r>
      <w:r>
        <w:rPr>
          <w:rFonts w:hint="eastAsia"/>
        </w:rPr>
        <w:t>材料数据</w:t>
      </w:r>
    </w:p>
    <w:tbl>
      <w:tblPr>
        <w:tblStyle w:val="26"/>
        <w:tblW w:w="841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36"/>
        <w:gridCol w:w="1824"/>
        <w:gridCol w:w="1422"/>
        <w:gridCol w:w="1608"/>
        <w:gridCol w:w="2023"/>
      </w:tblGrid>
      <w:tr w14:paraId="1CC9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BFEA8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入库批次</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C431D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原材料编号</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4FC2E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箱子类型</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2E639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入库数量/箱</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71578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入库时间</w:t>
            </w:r>
          </w:p>
        </w:tc>
      </w:tr>
      <w:tr w14:paraId="1CF33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16CF4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IN0105</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488AD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B6T0000000303</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19F7A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E4</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EF38C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FED20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2026/6/6 11:32</w:t>
            </w:r>
          </w:p>
        </w:tc>
      </w:tr>
      <w:tr w14:paraId="6376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075D3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IN0106</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79D1F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B6T0000000305</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FFBEE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E4</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ABA0A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CE064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2026/6/4 6:24</w:t>
            </w:r>
          </w:p>
        </w:tc>
      </w:tr>
      <w:tr w14:paraId="2F528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68F78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IN0107</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ACA84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B6T0000000313</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FAA43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E4</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B4B09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822CA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2026/6/4 22:03</w:t>
            </w:r>
          </w:p>
        </w:tc>
      </w:tr>
      <w:tr w14:paraId="7761F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5DC8B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IN0108</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4AD7A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B6T0000000316</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D4D42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E4</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84C41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60A84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2026/6/4 7:22</w:t>
            </w:r>
          </w:p>
        </w:tc>
      </w:tr>
      <w:tr w14:paraId="2671D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B4AAF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IN0109</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50D28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B6T0000000317</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28D47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E4</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8009D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5A643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2026/6/2 5:06</w:t>
            </w:r>
          </w:p>
        </w:tc>
      </w:tr>
      <w:tr w14:paraId="20BB6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5F8A5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IN0110</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7685E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B6T0000000318</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430AA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E4</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E18CA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E77A6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2026/6/2 5:47</w:t>
            </w:r>
          </w:p>
        </w:tc>
      </w:tr>
      <w:tr w14:paraId="50B16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F1120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IN0111</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2EFC6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B6T0000000322</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2C2B9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E3</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97D5B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3EC42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2026/6/5 7:10</w:t>
            </w:r>
          </w:p>
        </w:tc>
      </w:tr>
      <w:tr w14:paraId="3E3A0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BB799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IN0112</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8029D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B6T0000000323</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FFCEB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E3</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17653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0A1EF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2026/6/2 15:54</w:t>
            </w:r>
          </w:p>
        </w:tc>
      </w:tr>
      <w:tr w14:paraId="07579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F80CE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IN0113</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6DADE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B6T0000000326</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4EF2A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E3</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C1AF5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E0187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2026/6/3 17:26</w:t>
            </w:r>
          </w:p>
        </w:tc>
      </w:tr>
      <w:tr w14:paraId="58BBD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6665D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IN0114</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F0F77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B6T0000000327</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A3FC5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E3</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B1B31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C41E1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2026/6/3 9:50</w:t>
            </w:r>
          </w:p>
        </w:tc>
      </w:tr>
      <w:tr w14:paraId="54951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A9EBA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IN0115</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CEB98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B6T0000000330</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7A99E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E3</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62140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F1C9D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2026/6/5 20:18</w:t>
            </w:r>
          </w:p>
        </w:tc>
      </w:tr>
      <w:tr w14:paraId="18368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33657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IN0105</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480F1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B6T0000000303</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15828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E4</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16507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5112A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2026/6/6 11:32</w:t>
            </w:r>
          </w:p>
        </w:tc>
      </w:tr>
      <w:tr w14:paraId="1226B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3" w:hRule="atLeast"/>
          <w:jc w:val="center"/>
        </w:trPr>
        <w:tc>
          <w:tcPr>
            <w:tcW w:w="15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A437A0">
            <w:pPr>
              <w:widowControl/>
              <w:spacing w:line="240" w:lineRule="auto"/>
              <w:ind w:firstLine="0" w:firstLineChars="0"/>
              <w:jc w:val="center"/>
              <w:rPr>
                <w:rFonts w:hint="eastAsia" w:ascii="宋体" w:hAnsi="宋体" w:eastAsia="宋体" w:cs="宋体"/>
                <w:i w:val="0"/>
                <w:iCs w:val="0"/>
                <w:color w:val="000000"/>
                <w:sz w:val="24"/>
                <w:szCs w:val="24"/>
                <w:u w:val="none"/>
              </w:rPr>
            </w:pPr>
            <w:r>
              <w:rPr>
                <w:rFonts w:hint="eastAsia" w:ascii="Calibri" w:hAnsi="Calibri" w:eastAsia="Times New Roman" w:cs="Calibri"/>
                <w:kern w:val="0"/>
                <w:sz w:val="22"/>
                <w:szCs w:val="22"/>
              </w:rPr>
              <w:t>···</w:t>
            </w:r>
          </w:p>
        </w:tc>
        <w:tc>
          <w:tcPr>
            <w:tcW w:w="18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E64D44">
            <w:pPr>
              <w:widowControl/>
              <w:spacing w:line="240" w:lineRule="auto"/>
              <w:ind w:firstLine="0" w:firstLineChars="0"/>
              <w:jc w:val="center"/>
              <w:rPr>
                <w:rFonts w:hint="eastAsia" w:ascii="宋体" w:hAnsi="宋体" w:eastAsia="宋体" w:cs="宋体"/>
                <w:i w:val="0"/>
                <w:iCs w:val="0"/>
                <w:color w:val="000000"/>
                <w:sz w:val="24"/>
                <w:szCs w:val="24"/>
                <w:u w:val="none"/>
              </w:rPr>
            </w:pPr>
            <w:r>
              <w:rPr>
                <w:rFonts w:hint="eastAsia" w:ascii="Calibri" w:hAnsi="Calibri" w:eastAsia="Times New Roman" w:cs="Calibri"/>
                <w:kern w:val="0"/>
                <w:sz w:val="22"/>
                <w:szCs w:val="22"/>
              </w:rPr>
              <w:t>···</w:t>
            </w:r>
          </w:p>
        </w:tc>
        <w:tc>
          <w:tcPr>
            <w:tcW w:w="142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CADD72">
            <w:pPr>
              <w:widowControl/>
              <w:spacing w:line="240" w:lineRule="auto"/>
              <w:ind w:firstLine="0" w:firstLineChars="0"/>
              <w:jc w:val="center"/>
              <w:rPr>
                <w:rFonts w:hint="eastAsia" w:ascii="宋体" w:hAnsi="宋体" w:eastAsia="宋体" w:cs="宋体"/>
                <w:i w:val="0"/>
                <w:iCs w:val="0"/>
                <w:color w:val="000000"/>
                <w:sz w:val="24"/>
                <w:szCs w:val="24"/>
                <w:u w:val="none"/>
              </w:rPr>
            </w:pPr>
            <w:r>
              <w:rPr>
                <w:rFonts w:hint="eastAsia" w:ascii="Calibri" w:hAnsi="Calibri" w:eastAsia="Times New Roman" w:cs="Calibri"/>
                <w:kern w:val="0"/>
                <w:sz w:val="22"/>
                <w:szCs w:val="22"/>
              </w:rPr>
              <w:t>··</w:t>
            </w:r>
          </w:p>
        </w:tc>
        <w:tc>
          <w:tcPr>
            <w:tcW w:w="16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524B01">
            <w:pPr>
              <w:widowControl/>
              <w:spacing w:line="240" w:lineRule="auto"/>
              <w:ind w:firstLine="0" w:firstLineChars="0"/>
              <w:jc w:val="center"/>
              <w:rPr>
                <w:rFonts w:hint="eastAsia" w:ascii="宋体" w:hAnsi="宋体" w:eastAsia="宋体" w:cs="宋体"/>
                <w:i w:val="0"/>
                <w:iCs w:val="0"/>
                <w:color w:val="000000"/>
                <w:sz w:val="24"/>
                <w:szCs w:val="24"/>
                <w:u w:val="none"/>
              </w:rPr>
            </w:pPr>
            <w:r>
              <w:rPr>
                <w:rFonts w:hint="eastAsia" w:ascii="Calibri" w:hAnsi="Calibri" w:eastAsia="Times New Roman" w:cs="Calibri"/>
                <w:kern w:val="0"/>
                <w:sz w:val="22"/>
                <w:szCs w:val="22"/>
              </w:rPr>
              <w:t>···</w:t>
            </w:r>
          </w:p>
        </w:tc>
        <w:tc>
          <w:tcPr>
            <w:tcW w:w="202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002103">
            <w:pPr>
              <w:widowControl/>
              <w:spacing w:line="240" w:lineRule="auto"/>
              <w:ind w:firstLine="0" w:firstLineChars="0"/>
              <w:jc w:val="center"/>
              <w:rPr>
                <w:rFonts w:hint="eastAsia" w:ascii="宋体" w:hAnsi="宋体" w:eastAsia="宋体" w:cs="宋体"/>
                <w:i w:val="0"/>
                <w:iCs w:val="0"/>
                <w:color w:val="000000"/>
                <w:sz w:val="24"/>
                <w:szCs w:val="24"/>
                <w:u w:val="none"/>
              </w:rPr>
            </w:pPr>
            <w:r>
              <w:rPr>
                <w:rFonts w:hint="eastAsia" w:ascii="Calibri" w:hAnsi="Calibri" w:eastAsia="Times New Roman" w:cs="Calibri"/>
                <w:kern w:val="0"/>
                <w:sz w:val="22"/>
                <w:szCs w:val="22"/>
              </w:rPr>
              <w:t>···</w:t>
            </w:r>
          </w:p>
        </w:tc>
      </w:tr>
    </w:tbl>
    <w:p w14:paraId="4FA73B37">
      <w:pPr>
        <w:rPr>
          <w:rFonts w:hint="eastAsia"/>
          <w:lang w:val="en-US" w:eastAsia="zh-CN"/>
        </w:rPr>
      </w:pPr>
    </w:p>
    <w:p w14:paraId="367A1740">
      <w:pPr>
        <w:rPr>
          <w:rFonts w:hint="eastAsia"/>
          <w:lang w:val="en-US" w:eastAsia="zh-CN"/>
        </w:rPr>
      </w:pPr>
      <w:r>
        <w:rPr>
          <w:rFonts w:hint="eastAsia"/>
          <w:lang w:val="en-US" w:eastAsia="zh-CN"/>
        </w:rPr>
        <w:t>二、库位分配问题优化</w:t>
      </w:r>
      <w:bookmarkEnd w:id="1"/>
    </w:p>
    <w:p w14:paraId="5C5FF41A">
      <w:pPr>
        <w:ind w:firstLine="480"/>
      </w:pPr>
      <w:r>
        <w:rPr>
          <w:rFonts w:hint="eastAsia"/>
        </w:rPr>
        <w:t>根据生产计划，计算每天每种原材料消耗数量，生成一段时间的原材料需求订单，在此基础上，根据现有立库现有物料的库存数量状况，重新分配库位，以保证缩短原材料需求订单的叉取时间，参照前人对货位分配优化的研究</w:t>
      </w:r>
      <w:r>
        <w:rPr>
          <w:rFonts w:hint="eastAsia"/>
          <w:vertAlign w:val="superscript"/>
        </w:rPr>
        <w:t>[</w:t>
      </w:r>
      <w:r>
        <w:rPr>
          <w:vertAlign w:val="superscript"/>
        </w:rPr>
        <w:t>44]</w:t>
      </w:r>
      <w:r>
        <w:rPr>
          <w:rFonts w:hint="eastAsia"/>
        </w:rPr>
        <w:t xml:space="preserve"> ，设置目标函数如下：</w:t>
      </w:r>
    </w:p>
    <w:p w14:paraId="1FF5B7D8">
      <w:pPr>
        <w:pStyle w:val="8"/>
        <w:ind w:firstLine="199" w:firstLineChars="83"/>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min</m:t>
                  </m:r>
                  <m:ctrlPr>
                    <w:rPr>
                      <w:rFonts w:ascii="Cambria Math" w:hAnsi="Cambria Math"/>
                      <w:i/>
                    </w:rPr>
                  </m:ctrlPr>
                </m:fName>
                <m:e>
                  <m:r>
                    <m:rPr/>
                    <w:rPr>
                      <w:rFonts w:ascii="Cambria Math" w:hAnsi="Cambria Math"/>
                    </w:rPr>
                    <m:t>T=</m:t>
                  </m:r>
                  <m:ctrlPr>
                    <w:rPr>
                      <w:rFonts w:ascii="Cambria Math" w:hAnsi="Cambria Math"/>
                      <w:i/>
                    </w:rPr>
                  </m:ctrlPr>
                </m:e>
              </m:func>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414CDAD6">
      <w:pPr>
        <w:ind w:firstLine="480"/>
        <w:rPr>
          <w:rFonts w:hint="eastAsia"/>
        </w:rPr>
      </w:pPr>
      <w:r>
        <w:rPr>
          <w:rFonts w:hint="eastAsia"/>
        </w:rPr>
        <w:t>其中，</w:t>
      </w:r>
      <m:oMath>
        <m:r>
          <m:rPr/>
          <w:rPr>
            <w:rFonts w:hint="eastAsia" w:ascii="Cambria Math" w:hAnsi="Cambria Math"/>
          </w:rPr>
          <m:t>n</m:t>
        </m:r>
      </m:oMath>
      <w:r>
        <w:rPr>
          <w:rFonts w:hint="eastAsia"/>
        </w:rPr>
        <w:t>为所有原材料需求单的数量，</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为原材料需求单</w:t>
      </w:r>
      <m:oMath>
        <m:r>
          <m:rPr/>
          <w:rPr>
            <w:rFonts w:hint="eastAsia" w:ascii="Cambria Math" w:hAnsi="Cambria Math"/>
          </w:rPr>
          <m:t>i</m:t>
        </m:r>
      </m:oMath>
      <w:r>
        <w:rPr>
          <w:rFonts w:hint="eastAsia"/>
        </w:rPr>
        <w:t>下单时间点到订单完成时间点之间的时间段。</w:t>
      </w:r>
    </w:p>
    <w:p w14:paraId="7544608A">
      <w:pPr>
        <w:rPr>
          <w:rFonts w:hint="default"/>
          <w:lang w:val="en-US" w:eastAsia="zh-CN"/>
        </w:rPr>
      </w:pPr>
      <w:r>
        <w:rPr>
          <w:rFonts w:hint="eastAsia"/>
          <w:lang w:val="en-US" w:eastAsia="zh-CN"/>
        </w:rPr>
        <w:t>三、要解决的问题</w:t>
      </w:r>
    </w:p>
    <w:p w14:paraId="0F5ADBAB">
      <w:pPr>
        <w:pStyle w:val="8"/>
        <w:rPr>
          <w:rFonts w:hint="eastAsia"/>
          <w:lang w:val="en-US" w:eastAsia="zh-CN"/>
        </w:rPr>
      </w:pPr>
      <w:r>
        <w:rPr>
          <w:rFonts w:hint="eastAsia"/>
          <w:lang w:val="en-US" w:eastAsia="zh-CN"/>
        </w:rPr>
        <w:t>请你们组为S工厂解决以下问题：</w:t>
      </w:r>
    </w:p>
    <w:p w14:paraId="6EA2C5C0">
      <w:pPr>
        <w:bidi w:val="0"/>
      </w:pPr>
      <w:r>
        <w:t>问题一：库位初始分配优化</w:t>
      </w:r>
    </w:p>
    <w:p w14:paraId="11E3DE34">
      <w:r>
        <w:t>假设仓库当前为空库状态，需要根据</w:t>
      </w:r>
      <w:r>
        <w:rPr>
          <w:rFonts w:hint="eastAsia"/>
          <w:lang w:val="en-US" w:eastAsia="zh-CN"/>
        </w:rPr>
        <w:t>表</w:t>
      </w:r>
      <w:r>
        <w:t>1中的原材料库存数据，为所有原材料箱分配初始库位。</w:t>
      </w:r>
    </w:p>
    <w:p w14:paraId="658F230E">
      <w:r>
        <w:rPr>
          <w:b/>
        </w:rPr>
        <w:t>要求</w:t>
      </w:r>
      <w:r>
        <w:t>：</w:t>
      </w:r>
    </w:p>
    <w:p w14:paraId="38A1BECD">
      <w:pPr>
        <w:ind w:left="0" w:hanging="142"/>
        <w:rPr>
          <w:rFonts w:hint="eastAsia" w:eastAsia="宋体"/>
          <w:lang w:eastAsia="zh-CN"/>
        </w:rPr>
      </w:pPr>
      <w:r>
        <w:rPr>
          <w:rFonts w:ascii="宋体" w:hAnsi="宋体" w:eastAsia="宋体"/>
          <w:color w:val="000000"/>
          <w:sz w:val="22"/>
        </w:rPr>
        <w:t xml:space="preserve">1. </w:t>
      </w:r>
      <w:r>
        <w:t>建立库位分配的数学模型，目标是最小化未来出库作业的总时间期望值</w:t>
      </w:r>
      <w:r>
        <w:rPr>
          <w:rFonts w:hint="eastAsia"/>
          <w:lang w:eastAsia="zh-CN"/>
        </w:rPr>
        <w:t>。</w:t>
      </w:r>
    </w:p>
    <w:p w14:paraId="6B3176D3">
      <w:pPr>
        <w:ind w:left="0" w:hanging="142"/>
      </w:pPr>
      <w:r>
        <w:rPr>
          <w:rFonts w:ascii="宋体" w:hAnsi="宋体" w:eastAsia="宋体"/>
          <w:color w:val="000000"/>
          <w:sz w:val="22"/>
        </w:rPr>
        <w:t xml:space="preserve">2. </w:t>
      </w:r>
      <w:r>
        <w:t>需要考虑的因素包括：</w:t>
      </w:r>
    </w:p>
    <w:p w14:paraId="476C1603">
      <w:pPr>
        <w:ind w:left="425" w:hanging="142"/>
        <w:rPr>
          <w:rFonts w:hint="eastAsia" w:eastAsia="宋体"/>
          <w:lang w:eastAsia="zh-CN"/>
        </w:rPr>
      </w:pPr>
      <w:r>
        <w:rPr>
          <w:rFonts w:ascii="宋体" w:hAnsi="宋体" w:eastAsia="宋体"/>
          <w:color w:val="000000"/>
          <w:sz w:val="22"/>
        </w:rPr>
        <w:t xml:space="preserve">◦ </w:t>
      </w:r>
      <w:r>
        <w:t>原材料的消耗频率（消耗占比）</w:t>
      </w:r>
      <w:r>
        <w:rPr>
          <w:rFonts w:hint="eastAsia"/>
          <w:lang w:eastAsia="zh-CN"/>
        </w:rPr>
        <w:t>。</w:t>
      </w:r>
    </w:p>
    <w:p w14:paraId="7AB5CB8D">
      <w:pPr>
        <w:ind w:left="425" w:hanging="142"/>
        <w:rPr>
          <w:rFonts w:hint="eastAsia"/>
          <w:lang w:eastAsia="zh-CN"/>
        </w:rPr>
      </w:pPr>
      <w:r>
        <w:rPr>
          <w:rFonts w:ascii="宋体" w:hAnsi="宋体" w:eastAsia="宋体"/>
          <w:color w:val="000000"/>
          <w:sz w:val="22"/>
        </w:rPr>
        <w:t xml:space="preserve">◦ </w:t>
      </w:r>
      <w:r>
        <w:t>箱子类型与货架层高的匹配约束</w:t>
      </w:r>
      <w:r>
        <w:rPr>
          <w:rFonts w:hint="eastAsia"/>
          <w:lang w:eastAsia="zh-CN"/>
        </w:rPr>
        <w:t>。</w:t>
      </w:r>
    </w:p>
    <w:p w14:paraId="7A1A9FA4">
      <w:pPr>
        <w:ind w:left="425" w:hanging="142"/>
        <w:rPr>
          <w:rFonts w:hint="eastAsia" w:eastAsia="宋体"/>
          <w:lang w:eastAsia="zh-CN"/>
        </w:rPr>
      </w:pPr>
      <w:r>
        <w:rPr>
          <w:rFonts w:ascii="宋体" w:hAnsi="宋体" w:eastAsia="宋体"/>
          <w:color w:val="000000"/>
          <w:sz w:val="22"/>
        </w:rPr>
        <w:t xml:space="preserve">◦ </w:t>
      </w:r>
      <w:r>
        <w:t>双深位货位的特殊约束（同类原材料应尽量存放在同一货格的深浅位）</w:t>
      </w:r>
      <w:r>
        <w:rPr>
          <w:rFonts w:hint="eastAsia"/>
          <w:lang w:eastAsia="zh-CN"/>
        </w:rPr>
        <w:t>。</w:t>
      </w:r>
    </w:p>
    <w:p w14:paraId="5D3846A8">
      <w:pPr>
        <w:numPr>
          <w:ilvl w:val="0"/>
          <w:numId w:val="1"/>
        </w:numPr>
        <w:ind w:left="0" w:hanging="142"/>
      </w:pPr>
      <w:r>
        <w:t>给出具体的库位分配方案，并计算理论上的平均单次出库时间</w:t>
      </w:r>
      <w:r>
        <w:rPr>
          <w:rFonts w:hint="eastAsia"/>
          <w:lang w:eastAsia="zh-CN"/>
        </w:rPr>
        <w:t>。</w:t>
      </w:r>
    </w:p>
    <w:p w14:paraId="0EE3A5D2">
      <w:pPr>
        <w:numPr>
          <w:ilvl w:val="0"/>
          <w:numId w:val="0"/>
        </w:numPr>
        <w:ind w:leftChars="200"/>
      </w:pPr>
    </w:p>
    <w:p w14:paraId="01A4978B">
      <w:pPr>
        <w:bidi w:val="0"/>
      </w:pPr>
      <w:r>
        <w:t>问题二：纯出库场景下的堆垛机调度优化</w:t>
      </w:r>
    </w:p>
    <w:p w14:paraId="4090CB17">
      <w:pPr>
        <w:rPr>
          <w:rFonts w:hint="eastAsia"/>
          <w:lang w:eastAsia="zh-CN"/>
        </w:rPr>
      </w:pPr>
      <w:r>
        <w:t>基于问题一的库位分配结果，根据</w:t>
      </w:r>
      <w:r>
        <w:rPr>
          <w:rFonts w:hint="eastAsia"/>
          <w:lang w:val="en-US" w:eastAsia="zh-CN"/>
        </w:rPr>
        <w:t>表</w:t>
      </w:r>
      <w:r>
        <w:t>2中的订料数据，在只虑出库作业的情况下</w:t>
      </w:r>
      <w:r>
        <w:rPr>
          <w:rFonts w:hint="eastAsia"/>
          <w:lang w:eastAsia="zh-CN"/>
        </w:rPr>
        <w:t>。</w:t>
      </w:r>
    </w:p>
    <w:p w14:paraId="6E44E7C9">
      <w:r>
        <w:rPr>
          <w:b/>
        </w:rPr>
        <w:t>要求</w:t>
      </w:r>
      <w:r>
        <w:t>：</w:t>
      </w:r>
    </w:p>
    <w:p w14:paraId="77E46409">
      <w:pPr>
        <w:ind w:left="0" w:hanging="142"/>
        <w:rPr>
          <w:rFonts w:hint="eastAsia" w:eastAsia="宋体"/>
          <w:lang w:eastAsia="zh-CN"/>
        </w:rPr>
      </w:pPr>
      <w:r>
        <w:rPr>
          <w:rFonts w:ascii="宋体" w:hAnsi="宋体" w:eastAsia="宋体"/>
          <w:color w:val="000000"/>
          <w:sz w:val="22"/>
        </w:rPr>
        <w:t xml:space="preserve">1. </w:t>
      </w:r>
      <w:r>
        <w:t>建立堆垛机调度优化模型，目标是完成所有订单的总时间最短</w:t>
      </w:r>
      <w:r>
        <w:rPr>
          <w:rFonts w:hint="eastAsia"/>
          <w:lang w:eastAsia="zh-CN"/>
        </w:rPr>
        <w:t>。</w:t>
      </w:r>
    </w:p>
    <w:p w14:paraId="63281E7B">
      <w:pPr>
        <w:ind w:left="0" w:hanging="142"/>
        <w:rPr>
          <w:rFonts w:hint="eastAsia" w:eastAsia="宋体"/>
          <w:lang w:eastAsia="zh-CN"/>
        </w:rPr>
      </w:pPr>
      <w:r>
        <w:rPr>
          <w:rFonts w:ascii="宋体" w:hAnsi="宋体" w:eastAsia="宋体"/>
          <w:color w:val="000000"/>
          <w:sz w:val="22"/>
        </w:rPr>
        <w:t xml:space="preserve">2. </w:t>
      </w:r>
      <w:r>
        <w:t>分析是否存在因"倒腾"操作导致的死锁风险，如有，给出解决方案</w:t>
      </w:r>
      <w:r>
        <w:rPr>
          <w:rFonts w:hint="eastAsia"/>
          <w:lang w:eastAsia="zh-CN"/>
        </w:rPr>
        <w:t>。</w:t>
      </w:r>
    </w:p>
    <w:p w14:paraId="6987F6C0">
      <w:pPr>
        <w:ind w:left="0" w:hanging="142"/>
        <w:rPr>
          <w:rFonts w:hint="eastAsia" w:eastAsia="宋体"/>
          <w:lang w:eastAsia="zh-CN"/>
        </w:rPr>
      </w:pPr>
      <w:r>
        <w:rPr>
          <w:rFonts w:ascii="宋体" w:hAnsi="宋体" w:eastAsia="宋体"/>
          <w:color w:val="000000"/>
          <w:sz w:val="22"/>
        </w:rPr>
        <w:t xml:space="preserve">3. </w:t>
      </w:r>
      <w:r>
        <w:t>设计求解算法，给出各堆垛机的作业序列和时间安排</w:t>
      </w:r>
      <w:r>
        <w:rPr>
          <w:rFonts w:hint="eastAsia"/>
          <w:lang w:eastAsia="zh-CN"/>
        </w:rPr>
        <w:t>。</w:t>
      </w:r>
    </w:p>
    <w:p w14:paraId="0D768177">
      <w:pPr>
        <w:ind w:left="0" w:hanging="142"/>
        <w:rPr>
          <w:rFonts w:hint="eastAsia" w:eastAsia="宋体"/>
          <w:lang w:eastAsia="zh-CN"/>
        </w:rPr>
      </w:pPr>
      <w:r>
        <w:rPr>
          <w:rFonts w:ascii="宋体" w:hAnsi="宋体" w:eastAsia="宋体"/>
          <w:color w:val="000000"/>
          <w:sz w:val="22"/>
        </w:rPr>
        <w:t xml:space="preserve">4. </w:t>
      </w:r>
      <w:r>
        <w:t>比较不同调度策略（如先进先出、紧急优先、就近原则等）的效果</w:t>
      </w:r>
      <w:r>
        <w:rPr>
          <w:rFonts w:hint="eastAsia"/>
          <w:lang w:eastAsia="zh-CN"/>
        </w:rPr>
        <w:t>。</w:t>
      </w:r>
    </w:p>
    <w:p w14:paraId="0D931822"/>
    <w:p w14:paraId="6E889813">
      <w:pPr>
        <w:bidi w:val="0"/>
      </w:pPr>
      <w:r>
        <w:t>问题三：入库与出库协同优化</w:t>
      </w:r>
    </w:p>
    <w:p w14:paraId="77C241A5">
      <w:pPr>
        <w:rPr>
          <w:rFonts w:hint="eastAsia" w:eastAsia="宋体"/>
          <w:lang w:eastAsia="zh-CN"/>
        </w:rPr>
      </w:pPr>
      <w:r>
        <w:t>在实际生产中，入库作业和出库作业会同时进行。假设入库任务按照</w:t>
      </w:r>
      <w:r>
        <w:rPr>
          <w:rFonts w:hint="eastAsia"/>
          <w:lang w:val="en-US" w:eastAsia="zh-CN"/>
        </w:rPr>
        <w:t>表</w:t>
      </w:r>
      <w:r>
        <w:t>3的时间到达</w:t>
      </w:r>
      <w:r>
        <w:rPr>
          <w:rFonts w:hint="eastAsia"/>
          <w:lang w:eastAsia="zh-CN"/>
        </w:rPr>
        <w:t>。</w:t>
      </w:r>
    </w:p>
    <w:p w14:paraId="5C99C875">
      <w:r>
        <w:rPr>
          <w:b/>
        </w:rPr>
        <w:t>要求</w:t>
      </w:r>
      <w:r>
        <w:t>：</w:t>
      </w:r>
    </w:p>
    <w:p w14:paraId="05F991E2">
      <w:pPr>
        <w:ind w:left="0" w:hanging="142"/>
        <w:rPr>
          <w:rFonts w:hint="eastAsia" w:eastAsia="宋体"/>
          <w:lang w:eastAsia="zh-CN"/>
        </w:rPr>
      </w:pPr>
      <w:r>
        <w:rPr>
          <w:rFonts w:ascii="宋体" w:hAnsi="宋体" w:eastAsia="宋体"/>
          <w:color w:val="000000"/>
          <w:sz w:val="22"/>
        </w:rPr>
        <w:t xml:space="preserve">1. </w:t>
      </w:r>
      <w:r>
        <w:t>建立入库-出库协同调度模型，目标是最小化所有作业完成的总时间</w:t>
      </w:r>
      <w:r>
        <w:rPr>
          <w:rFonts w:hint="eastAsia"/>
          <w:lang w:eastAsia="zh-CN"/>
        </w:rPr>
        <w:t>。</w:t>
      </w:r>
    </w:p>
    <w:p w14:paraId="0451DB1E">
      <w:pPr>
        <w:ind w:left="0" w:hanging="142"/>
        <w:rPr>
          <w:rFonts w:hint="eastAsia" w:eastAsia="宋体"/>
          <w:lang w:eastAsia="zh-CN"/>
        </w:rPr>
      </w:pPr>
      <w:r>
        <w:rPr>
          <w:rFonts w:ascii="宋体" w:hAnsi="宋体" w:eastAsia="宋体"/>
          <w:color w:val="000000"/>
          <w:sz w:val="22"/>
        </w:rPr>
        <w:t xml:space="preserve">2. </w:t>
      </w:r>
      <w:r>
        <w:t>考虑堆垛机的复合作业模式（一次行程同时完成入库和出库）</w:t>
      </w:r>
      <w:r>
        <w:rPr>
          <w:rFonts w:hint="eastAsia"/>
          <w:lang w:eastAsia="zh-CN"/>
        </w:rPr>
        <w:t>。</w:t>
      </w:r>
    </w:p>
    <w:p w14:paraId="1D6AED1B">
      <w:pPr>
        <w:ind w:left="0" w:hanging="142"/>
        <w:rPr>
          <w:rFonts w:hint="eastAsia" w:eastAsia="宋体"/>
          <w:lang w:eastAsia="zh-CN"/>
        </w:rPr>
      </w:pPr>
      <w:r>
        <w:rPr>
          <w:rFonts w:ascii="宋体" w:hAnsi="宋体" w:eastAsia="宋体"/>
          <w:color w:val="000000"/>
          <w:sz w:val="22"/>
        </w:rPr>
        <w:t xml:space="preserve">3. </w:t>
      </w:r>
      <w:r>
        <w:t>分析入库时货位选择对后续出库效率的影响</w:t>
      </w:r>
      <w:r>
        <w:rPr>
          <w:rFonts w:hint="eastAsia"/>
          <w:lang w:eastAsia="zh-CN"/>
        </w:rPr>
        <w:t>。</w:t>
      </w:r>
    </w:p>
    <w:p w14:paraId="2483F438">
      <w:pPr>
        <w:ind w:left="0" w:hanging="142"/>
      </w:pPr>
      <w:r>
        <w:rPr>
          <w:rFonts w:ascii="宋体" w:hAnsi="宋体" w:eastAsia="宋体"/>
          <w:color w:val="000000"/>
          <w:sz w:val="22"/>
        </w:rPr>
        <w:t xml:space="preserve">4. </w:t>
      </w:r>
      <w:r>
        <w:t>给出完整的调度方案，包括：</w:t>
      </w:r>
    </w:p>
    <w:p w14:paraId="5B230788">
      <w:pPr>
        <w:ind w:left="425" w:hanging="142"/>
        <w:rPr>
          <w:rFonts w:hint="eastAsia" w:eastAsia="宋体"/>
          <w:lang w:eastAsia="zh-CN"/>
        </w:rPr>
      </w:pPr>
      <w:r>
        <w:rPr>
          <w:rFonts w:ascii="宋体" w:hAnsi="宋体" w:eastAsia="宋体"/>
          <w:color w:val="000000"/>
          <w:sz w:val="22"/>
        </w:rPr>
        <w:t xml:space="preserve">◦ </w:t>
      </w:r>
      <w:r>
        <w:t>每台堆垛机的作业时间表</w:t>
      </w:r>
      <w:r>
        <w:rPr>
          <w:rFonts w:hint="eastAsia"/>
          <w:lang w:eastAsia="zh-CN"/>
        </w:rPr>
        <w:t>。</w:t>
      </w:r>
    </w:p>
    <w:p w14:paraId="3A2D7E8D">
      <w:pPr>
        <w:ind w:left="425" w:hanging="142"/>
        <w:rPr>
          <w:rFonts w:hint="eastAsia" w:eastAsia="宋体"/>
          <w:lang w:eastAsia="zh-CN"/>
        </w:rPr>
      </w:pPr>
      <w:r>
        <w:rPr>
          <w:rFonts w:ascii="宋体" w:hAnsi="宋体" w:eastAsia="宋体"/>
          <w:color w:val="000000"/>
          <w:sz w:val="22"/>
        </w:rPr>
        <w:t xml:space="preserve">◦ </w:t>
      </w:r>
      <w:r>
        <w:t>入库货位分配方案</w:t>
      </w:r>
      <w:r>
        <w:rPr>
          <w:rFonts w:hint="eastAsia"/>
          <w:lang w:eastAsia="zh-CN"/>
        </w:rPr>
        <w:t>。</w:t>
      </w:r>
    </w:p>
    <w:p w14:paraId="46F7FFF1">
      <w:pPr>
        <w:ind w:left="425" w:hanging="142"/>
        <w:rPr>
          <w:rFonts w:hint="eastAsia" w:eastAsia="宋体"/>
          <w:lang w:eastAsia="zh-CN"/>
        </w:rPr>
      </w:pPr>
      <w:r>
        <w:rPr>
          <w:rFonts w:ascii="宋体" w:hAnsi="宋体" w:eastAsia="宋体"/>
          <w:color w:val="000000"/>
          <w:sz w:val="22"/>
        </w:rPr>
        <w:t xml:space="preserve">◦ </w:t>
      </w:r>
      <w:r>
        <w:t>出库作业序列</w:t>
      </w:r>
      <w:r>
        <w:rPr>
          <w:rFonts w:hint="eastAsia"/>
          <w:lang w:eastAsia="zh-CN"/>
        </w:rPr>
        <w:t>。</w:t>
      </w:r>
    </w:p>
    <w:p w14:paraId="76E49055"/>
    <w:p w14:paraId="4704B668">
      <w:pPr>
        <w:bidi w:val="0"/>
      </w:pPr>
      <w:r>
        <w:t>问题四：堆垛机非线性速度模型的优化</w:t>
      </w:r>
    </w:p>
    <w:p w14:paraId="6ED095BA">
      <w:r>
        <w:t>在更精细的模型中，堆垛机的速度受到负载和位置的影响：</w:t>
      </w:r>
    </w:p>
    <w:p w14:paraId="2235B741">
      <w:pPr>
        <w:ind w:left="0" w:hanging="142"/>
        <w:rPr>
          <w:rFonts w:hint="eastAsia" w:eastAsia="宋体"/>
          <w:lang w:eastAsia="zh-CN"/>
        </w:rPr>
      </w:pPr>
      <w:r>
        <w:rPr>
          <w:rFonts w:ascii="宋体" w:hAnsi="宋体" w:eastAsia="宋体"/>
          <w:color w:val="000000"/>
          <w:sz w:val="22"/>
        </w:rPr>
        <w:t xml:space="preserve">• </w:t>
      </w:r>
      <w:r>
        <w:t>空载时：水平最大速度</w:t>
      </w:r>
      <w:r>
        <w:rPr>
          <w:rFonts w:hint="eastAsia"/>
          <w:lang w:val="en-US" w:eastAsia="zh-CN"/>
        </w:rPr>
        <w:t>3</w:t>
      </w:r>
      <w:r>
        <w:t>m/</w:t>
      </w:r>
      <w:r>
        <w:rPr>
          <w:rFonts w:hint="eastAsia"/>
          <w:lang w:val="en-US" w:eastAsia="zh-CN"/>
        </w:rPr>
        <w:t>s</w:t>
      </w:r>
      <w:r>
        <w:t>，垂直最大速度</w:t>
      </w:r>
      <w:r>
        <w:rPr>
          <w:rFonts w:hint="eastAsia"/>
          <w:lang w:val="en-US" w:eastAsia="zh-CN"/>
        </w:rPr>
        <w:t>0.75</w:t>
      </w:r>
      <w:r>
        <w:t>m/</w:t>
      </w:r>
      <w:r>
        <w:rPr>
          <w:rFonts w:hint="eastAsia"/>
          <w:lang w:val="en-US" w:eastAsia="zh-CN"/>
        </w:rPr>
        <w:t>s</w:t>
      </w:r>
      <w:r>
        <w:rPr>
          <w:rFonts w:hint="eastAsia"/>
          <w:lang w:eastAsia="zh-CN"/>
        </w:rPr>
        <w:t>。</w:t>
      </w:r>
    </w:p>
    <w:p w14:paraId="2E046B78">
      <w:pPr>
        <w:ind w:left="0" w:hanging="142"/>
        <w:rPr>
          <w:rFonts w:hint="eastAsia"/>
          <w:lang w:eastAsia="zh-CN"/>
        </w:rPr>
      </w:pPr>
      <w:r>
        <w:rPr>
          <w:rFonts w:ascii="宋体" w:hAnsi="宋体" w:eastAsia="宋体"/>
          <w:color w:val="000000"/>
          <w:sz w:val="22"/>
        </w:rPr>
        <w:t xml:space="preserve">• </w:t>
      </w:r>
      <w:r>
        <w:t>满载时：水平最大速度</w:t>
      </w:r>
      <w:r>
        <w:rPr>
          <w:rFonts w:hint="eastAsia"/>
          <w:lang w:val="en-US" w:eastAsia="zh-CN"/>
        </w:rPr>
        <w:t>2.3</w:t>
      </w:r>
      <w:r>
        <w:t>m/</w:t>
      </w:r>
      <w:r>
        <w:rPr>
          <w:rFonts w:hint="eastAsia"/>
          <w:lang w:val="en-US" w:eastAsia="zh-CN"/>
        </w:rPr>
        <w:t>s</w:t>
      </w:r>
      <w:r>
        <w:t>，垂直最大速度</w:t>
      </w:r>
      <w:r>
        <w:rPr>
          <w:rFonts w:hint="eastAsia"/>
          <w:lang w:val="en-US" w:eastAsia="zh-CN"/>
        </w:rPr>
        <w:t>0.58</w:t>
      </w:r>
      <w:r>
        <w:t>m/</w:t>
      </w:r>
      <w:r>
        <w:rPr>
          <w:rFonts w:hint="eastAsia"/>
          <w:lang w:val="en-US" w:eastAsia="zh-CN"/>
        </w:rPr>
        <w:t>s</w:t>
      </w:r>
      <w:r>
        <w:rPr>
          <w:rFonts w:hint="eastAsia"/>
          <w:lang w:eastAsia="zh-CN"/>
        </w:rPr>
        <w:t>。</w:t>
      </w:r>
    </w:p>
    <w:p w14:paraId="566317F1">
      <w:pPr>
        <w:ind w:left="0" w:hanging="142"/>
        <w:rPr>
          <w:rFonts w:hint="eastAsia" w:eastAsia="宋体"/>
          <w:lang w:eastAsia="zh-CN"/>
        </w:rPr>
      </w:pPr>
      <w:r>
        <w:rPr>
          <w:rFonts w:ascii="宋体" w:hAnsi="宋体" w:eastAsia="宋体"/>
          <w:color w:val="000000"/>
          <w:sz w:val="22"/>
        </w:rPr>
        <w:t xml:space="preserve">• </w:t>
      </w:r>
      <w:r>
        <w:t>启动阶段存在非线性加速过程</w:t>
      </w:r>
      <w:r>
        <w:rPr>
          <w:rFonts w:hint="eastAsia"/>
          <w:lang w:eastAsia="zh-CN"/>
        </w:rPr>
        <w:t>，</w:t>
      </w:r>
      <w:r>
        <w:t>空载时：水平最大</w:t>
      </w:r>
      <w:r>
        <w:rPr>
          <w:rFonts w:hint="eastAsia"/>
          <w:lang w:val="en-US" w:eastAsia="zh-CN"/>
        </w:rPr>
        <w:t>加</w:t>
      </w:r>
      <w:r>
        <w:t>速度</w:t>
      </w:r>
      <w:r>
        <w:rPr>
          <w:rFonts w:hint="eastAsia"/>
          <w:lang w:val="en-US" w:eastAsia="zh-CN"/>
        </w:rPr>
        <w:t>0.5</w:t>
      </w:r>
      <w:r>
        <w:t>m/</w:t>
      </w:r>
      <w:r>
        <w:rPr>
          <w:rFonts w:hint="eastAsia"/>
          <w:lang w:val="en-US" w:eastAsia="zh-CN"/>
        </w:rPr>
        <w:t>s</w:t>
      </w:r>
      <w:r>
        <w:rPr>
          <w:rFonts w:hint="eastAsia"/>
          <w:vertAlign w:val="superscript"/>
          <w:lang w:val="en-US" w:eastAsia="zh-CN"/>
        </w:rPr>
        <w:t>2</w:t>
      </w:r>
      <w:r>
        <w:t>，垂直最大</w:t>
      </w:r>
      <w:r>
        <w:rPr>
          <w:rFonts w:hint="eastAsia"/>
          <w:lang w:val="en-US" w:eastAsia="zh-CN"/>
        </w:rPr>
        <w:t>虽</w:t>
      </w:r>
      <w:r>
        <w:t>速度</w:t>
      </w:r>
      <w:r>
        <w:rPr>
          <w:rFonts w:hint="eastAsia"/>
          <w:lang w:val="en-US" w:eastAsia="zh-CN"/>
        </w:rPr>
        <w:t>0.15</w:t>
      </w:r>
      <w:r>
        <w:t>m/</w:t>
      </w:r>
      <w:r>
        <w:rPr>
          <w:rFonts w:hint="eastAsia"/>
          <w:lang w:val="en-US" w:eastAsia="zh-CN"/>
        </w:rPr>
        <w:t>s</w:t>
      </w:r>
      <w:r>
        <w:rPr>
          <w:rFonts w:hint="eastAsia"/>
          <w:vertAlign w:val="superscript"/>
          <w:lang w:val="en-US" w:eastAsia="zh-CN"/>
        </w:rPr>
        <w:t>2</w:t>
      </w:r>
      <w:r>
        <w:rPr>
          <w:rFonts w:hint="eastAsia"/>
          <w:lang w:eastAsia="zh-CN"/>
        </w:rPr>
        <w:t>。</w:t>
      </w:r>
      <w:r>
        <w:t>满载时：水平最大</w:t>
      </w:r>
      <w:r>
        <w:rPr>
          <w:rFonts w:hint="eastAsia"/>
          <w:lang w:val="en-US" w:eastAsia="zh-CN"/>
        </w:rPr>
        <w:t>加</w:t>
      </w:r>
      <w:r>
        <w:t>速度</w:t>
      </w:r>
      <w:r>
        <w:rPr>
          <w:rFonts w:hint="eastAsia"/>
          <w:lang w:val="en-US" w:eastAsia="zh-CN"/>
        </w:rPr>
        <w:t>0.4</w:t>
      </w:r>
      <w:r>
        <w:t>m/</w:t>
      </w:r>
      <w:r>
        <w:rPr>
          <w:rFonts w:hint="eastAsia"/>
          <w:lang w:val="en-US" w:eastAsia="zh-CN"/>
        </w:rPr>
        <w:t>s</w:t>
      </w:r>
      <w:r>
        <w:rPr>
          <w:rFonts w:hint="eastAsia"/>
          <w:vertAlign w:val="superscript"/>
          <w:lang w:val="en-US" w:eastAsia="zh-CN"/>
        </w:rPr>
        <w:t>2</w:t>
      </w:r>
      <w:r>
        <w:t>，垂直最大</w:t>
      </w:r>
      <w:r>
        <w:rPr>
          <w:rFonts w:hint="eastAsia"/>
          <w:lang w:val="en-US" w:eastAsia="zh-CN"/>
        </w:rPr>
        <w:t>加</w:t>
      </w:r>
      <w:r>
        <w:t>速度</w:t>
      </w:r>
      <w:r>
        <w:rPr>
          <w:rFonts w:hint="eastAsia"/>
          <w:lang w:val="en-US" w:eastAsia="zh-CN"/>
        </w:rPr>
        <w:t>0.1</w:t>
      </w:r>
      <w:r>
        <w:t>m/</w:t>
      </w:r>
      <w:r>
        <w:rPr>
          <w:rFonts w:hint="eastAsia"/>
          <w:lang w:val="en-US" w:eastAsia="zh-CN"/>
        </w:rPr>
        <w:t>s</w:t>
      </w:r>
      <w:r>
        <w:rPr>
          <w:rFonts w:hint="eastAsia"/>
          <w:vertAlign w:val="superscript"/>
          <w:lang w:val="en-US" w:eastAsia="zh-CN"/>
        </w:rPr>
        <w:t>2</w:t>
      </w:r>
      <w:r>
        <w:rPr>
          <w:rFonts w:hint="eastAsia"/>
          <w:lang w:eastAsia="zh-CN"/>
        </w:rPr>
        <w:t>。</w:t>
      </w:r>
    </w:p>
    <w:p w14:paraId="7860AAB6">
      <w:r>
        <w:rPr>
          <w:b/>
        </w:rPr>
        <w:t>要求</w:t>
      </w:r>
      <w:r>
        <w:t>：</w:t>
      </w:r>
    </w:p>
    <w:p w14:paraId="516C4BD4">
      <w:pPr>
        <w:ind w:left="0" w:hanging="142"/>
        <w:rPr>
          <w:rFonts w:hint="eastAsia" w:eastAsia="宋体"/>
          <w:lang w:eastAsia="zh-CN"/>
        </w:rPr>
      </w:pPr>
      <w:r>
        <w:rPr>
          <w:rFonts w:ascii="宋体" w:hAnsi="宋体" w:eastAsia="宋体"/>
          <w:color w:val="000000"/>
          <w:sz w:val="22"/>
        </w:rPr>
        <w:t xml:space="preserve">1. </w:t>
      </w:r>
      <w:r>
        <w:t>建立考虑非线性速度的堆垛机运动时间模型</w:t>
      </w:r>
      <w:r>
        <w:rPr>
          <w:rFonts w:hint="eastAsia"/>
          <w:lang w:eastAsia="zh-CN"/>
        </w:rPr>
        <w:t>。</w:t>
      </w:r>
    </w:p>
    <w:p w14:paraId="128444D5">
      <w:pPr>
        <w:ind w:left="0" w:hanging="142"/>
        <w:rPr>
          <w:rFonts w:hint="eastAsia" w:eastAsia="宋体"/>
          <w:lang w:eastAsia="zh-CN"/>
        </w:rPr>
      </w:pPr>
      <w:r>
        <w:rPr>
          <w:rFonts w:ascii="宋体" w:hAnsi="宋体" w:eastAsia="宋体"/>
          <w:color w:val="000000"/>
          <w:sz w:val="22"/>
        </w:rPr>
        <w:t xml:space="preserve">2. </w:t>
      </w:r>
      <w:r>
        <w:t>重新求解问题三，分析线性模型与非线性模型的差异</w:t>
      </w:r>
      <w:r>
        <w:rPr>
          <w:rFonts w:hint="eastAsia"/>
          <w:lang w:eastAsia="zh-CN"/>
        </w:rPr>
        <w:t>。</w:t>
      </w:r>
    </w:p>
    <w:p w14:paraId="7D2CEEC9">
      <w:pPr>
        <w:ind w:left="0" w:hanging="142"/>
        <w:rPr>
          <w:rFonts w:hint="eastAsia" w:eastAsia="宋体"/>
          <w:lang w:eastAsia="zh-CN"/>
        </w:rPr>
      </w:pPr>
      <w:r>
        <w:rPr>
          <w:rFonts w:ascii="宋体" w:hAnsi="宋体" w:eastAsia="宋体"/>
          <w:color w:val="000000"/>
          <w:sz w:val="22"/>
        </w:rPr>
        <w:t xml:space="preserve">3. </w:t>
      </w:r>
      <w:r>
        <w:t>讨论速度模型复杂度对优化结果的影响</w:t>
      </w:r>
      <w:r>
        <w:rPr>
          <w:rFonts w:hint="eastAsia"/>
          <w:lang w:eastAsia="zh-CN"/>
        </w:rPr>
        <w:t>。</w:t>
      </w:r>
    </w:p>
    <w:p w14:paraId="1F823144">
      <w:pPr>
        <w:ind w:left="0" w:hanging="142"/>
        <w:rPr>
          <w:rFonts w:hint="eastAsia" w:eastAsia="宋体"/>
          <w:lang w:eastAsia="zh-CN"/>
        </w:rPr>
      </w:pPr>
      <w:r>
        <w:rPr>
          <w:rFonts w:ascii="宋体" w:hAnsi="宋体" w:eastAsia="宋体"/>
          <w:color w:val="000000"/>
          <w:sz w:val="22"/>
        </w:rPr>
        <w:t xml:space="preserve">4. </w:t>
      </w:r>
      <w:r>
        <w:t>提出更精确的调度方案</w:t>
      </w:r>
      <w:r>
        <w:rPr>
          <w:rFonts w:hint="eastAsia"/>
          <w:lang w:eastAsia="zh-CN"/>
        </w:rPr>
        <w:t>。</w:t>
      </w:r>
      <w:bookmarkStart w:id="2" w:name="_GoBack"/>
      <w:bookmarkEnd w:id="2"/>
    </w:p>
    <w:p w14:paraId="5ED34AE4">
      <w:pPr>
        <w:ind w:left="0" w:hanging="142"/>
      </w:pPr>
    </w:p>
    <w:p w14:paraId="42B0C179">
      <w:pPr>
        <w:bidi w:val="0"/>
      </w:pPr>
      <w:r>
        <w:t>问题五：动态库存变化下的库位重分配策略</w:t>
      </w:r>
    </w:p>
    <w:p w14:paraId="5CEA4114">
      <w:r>
        <w:t>在实际运营中，库存会随时间动态变化。当某些原材料库存大幅减少或增加时，可能需要进行库位重分配：</w:t>
      </w:r>
    </w:p>
    <w:p w14:paraId="6ED79861">
      <w:r>
        <w:rPr>
          <w:b/>
        </w:rPr>
        <w:t>要求</w:t>
      </w:r>
      <w:r>
        <w:t>：</w:t>
      </w:r>
    </w:p>
    <w:p w14:paraId="3CDCE3F6">
      <w:pPr>
        <w:ind w:left="0" w:hanging="142"/>
        <w:rPr>
          <w:rFonts w:hint="eastAsia" w:eastAsia="宋体"/>
          <w:lang w:eastAsia="zh-CN"/>
        </w:rPr>
      </w:pPr>
      <w:r>
        <w:rPr>
          <w:rFonts w:ascii="宋体" w:hAnsi="宋体" w:eastAsia="宋体"/>
          <w:color w:val="000000"/>
          <w:sz w:val="22"/>
        </w:rPr>
        <w:t xml:space="preserve">1. </w:t>
      </w:r>
      <w:r>
        <w:t>建立动态库位重分配模型，确定何时触发重分配以及如何重分配</w:t>
      </w:r>
      <w:r>
        <w:rPr>
          <w:rFonts w:hint="eastAsia"/>
          <w:lang w:eastAsia="zh-CN"/>
        </w:rPr>
        <w:t>。</w:t>
      </w:r>
    </w:p>
    <w:p w14:paraId="2ED529BD">
      <w:pPr>
        <w:ind w:left="0" w:hanging="142"/>
        <w:rPr>
          <w:rFonts w:hint="eastAsia" w:eastAsia="宋体"/>
          <w:lang w:eastAsia="zh-CN"/>
        </w:rPr>
      </w:pPr>
      <w:r>
        <w:rPr>
          <w:rFonts w:ascii="宋体" w:hAnsi="宋体" w:eastAsia="宋体"/>
          <w:color w:val="000000"/>
          <w:sz w:val="22"/>
        </w:rPr>
        <w:t xml:space="preserve">2. </w:t>
      </w:r>
      <w:r>
        <w:t>考虑重分配成本（包括时间成本和作业冲突）</w:t>
      </w:r>
      <w:r>
        <w:rPr>
          <w:rFonts w:hint="eastAsia"/>
          <w:lang w:eastAsia="zh-CN"/>
        </w:rPr>
        <w:t>。</w:t>
      </w:r>
    </w:p>
    <w:p w14:paraId="112858A6">
      <w:pPr>
        <w:ind w:left="0" w:hanging="142"/>
        <w:rPr>
          <w:rFonts w:hint="eastAsia"/>
          <w:lang w:eastAsia="zh-CN"/>
        </w:rPr>
      </w:pPr>
      <w:r>
        <w:rPr>
          <w:rFonts w:ascii="宋体" w:hAnsi="宋体" w:eastAsia="宋体"/>
          <w:color w:val="000000"/>
          <w:sz w:val="22"/>
        </w:rPr>
        <w:t xml:space="preserve">3. </w:t>
      </w:r>
      <w:r>
        <w:t>设计自适应的库位管理策略</w:t>
      </w:r>
      <w:r>
        <w:rPr>
          <w:rFonts w:hint="eastAsia"/>
          <w:lang w:eastAsia="zh-CN"/>
        </w:rPr>
        <w:t>。</w:t>
      </w:r>
    </w:p>
    <w:p w14:paraId="6B0D76ED">
      <w:pPr>
        <w:ind w:left="0" w:hanging="142"/>
        <w:rPr>
          <w:rFonts w:hint="eastAsia" w:eastAsia="宋体"/>
          <w:lang w:eastAsia="zh-CN"/>
        </w:rPr>
      </w:pPr>
      <w:r>
        <w:rPr>
          <w:rFonts w:ascii="宋体" w:hAnsi="宋体" w:eastAsia="宋体"/>
          <w:color w:val="000000"/>
          <w:sz w:val="22"/>
        </w:rPr>
        <w:t xml:space="preserve">4. </w:t>
      </w:r>
      <w:r>
        <w:t>通过仿真验证策略的有效性</w:t>
      </w:r>
      <w:r>
        <w:rPr>
          <w:rFonts w:hint="eastAsia"/>
          <w:lang w:eastAsia="zh-CN"/>
        </w:rPr>
        <w:t>。</w:t>
      </w:r>
    </w:p>
    <w:p w14:paraId="213CE27A">
      <w:pPr>
        <w:pStyle w:val="8"/>
        <w:widowControl w:val="0"/>
        <w:numPr>
          <w:ilvl w:val="0"/>
          <w:numId w:val="0"/>
        </w:numPr>
        <w:spacing w:after="120" w:line="300" w:lineRule="auto"/>
        <w:jc w:val="both"/>
        <w:rPr>
          <w:rFonts w:hint="eastAsia"/>
        </w:rPr>
      </w:pPr>
    </w:p>
    <w:p w14:paraId="09337204">
      <w:pPr>
        <w:bidi w:val="0"/>
      </w:pPr>
      <w:r>
        <w:rPr>
          <w:rFonts w:hint="eastAsia"/>
          <w:lang w:val="en-US" w:eastAsia="zh-CN"/>
        </w:rPr>
        <w:t>四、</w:t>
      </w:r>
      <w:r>
        <w:t>附件数据包含：</w:t>
      </w:r>
    </w:p>
    <w:p w14:paraId="1686BBE4">
      <w:pPr>
        <w:ind w:left="0" w:hanging="142"/>
      </w:pPr>
      <w:r>
        <w:rPr>
          <w:rFonts w:ascii="宋体" w:hAnsi="宋体" w:eastAsia="宋体"/>
          <w:color w:val="000000"/>
          <w:sz w:val="22"/>
        </w:rPr>
        <w:t xml:space="preserve">1. </w:t>
      </w:r>
      <w:r>
        <w:rPr>
          <w:b/>
        </w:rPr>
        <w:t>附件1：原材料库存数据.csv</w:t>
      </w:r>
    </w:p>
    <w:p w14:paraId="7326D5A8">
      <w:pPr>
        <w:ind w:left="425" w:hanging="142"/>
      </w:pPr>
      <w:r>
        <w:rPr>
          <w:rFonts w:ascii="宋体" w:hAnsi="宋体" w:eastAsia="宋体"/>
          <w:color w:val="000000"/>
          <w:sz w:val="22"/>
        </w:rPr>
        <w:t xml:space="preserve">◦ </w:t>
      </w:r>
      <w:r>
        <w:t>约2000种原材料的库存信息</w:t>
      </w:r>
    </w:p>
    <w:p w14:paraId="0F9CB70C">
      <w:pPr>
        <w:ind w:left="425" w:hanging="142"/>
      </w:pPr>
      <w:r>
        <w:rPr>
          <w:rFonts w:ascii="宋体" w:hAnsi="宋体" w:eastAsia="宋体"/>
          <w:color w:val="000000"/>
          <w:sz w:val="22"/>
        </w:rPr>
        <w:t xml:space="preserve">◦ </w:t>
      </w:r>
      <w:r>
        <w:t>字段：原材料编号、箱子类型、消耗占比、库存数量</w:t>
      </w:r>
    </w:p>
    <w:p w14:paraId="18CE9DFD">
      <w:pPr>
        <w:ind w:left="0" w:hanging="142"/>
      </w:pPr>
      <w:r>
        <w:rPr>
          <w:rFonts w:ascii="宋体" w:hAnsi="宋体" w:eastAsia="宋体"/>
          <w:color w:val="000000"/>
          <w:sz w:val="22"/>
        </w:rPr>
        <w:t xml:space="preserve">2. </w:t>
      </w:r>
      <w:r>
        <w:rPr>
          <w:b/>
        </w:rPr>
        <w:t>附件2：生产线订料数据.csv</w:t>
      </w:r>
    </w:p>
    <w:p w14:paraId="5EF33B1D">
      <w:pPr>
        <w:ind w:left="425" w:hanging="142"/>
      </w:pPr>
      <w:r>
        <w:rPr>
          <w:rFonts w:ascii="宋体" w:hAnsi="宋体" w:eastAsia="宋体"/>
          <w:color w:val="000000"/>
          <w:sz w:val="22"/>
        </w:rPr>
        <w:t xml:space="preserve">◦ </w:t>
      </w:r>
      <w:r>
        <w:t>2021年6月1日至6月7日的全部订料记录</w:t>
      </w:r>
    </w:p>
    <w:p w14:paraId="512EA6E8">
      <w:pPr>
        <w:ind w:left="425" w:hanging="142"/>
      </w:pPr>
      <w:r>
        <w:rPr>
          <w:rFonts w:ascii="宋体" w:hAnsi="宋体" w:eastAsia="宋体"/>
          <w:color w:val="000000"/>
          <w:sz w:val="22"/>
        </w:rPr>
        <w:t xml:space="preserve">◦ </w:t>
      </w:r>
      <w:r>
        <w:t>字段：订单号、箱号、箱子类型、原材料编号、需求时间</w:t>
      </w:r>
    </w:p>
    <w:p w14:paraId="2CF039F4">
      <w:pPr>
        <w:ind w:left="0" w:hanging="142"/>
      </w:pPr>
      <w:r>
        <w:rPr>
          <w:rFonts w:ascii="宋体" w:hAnsi="宋体" w:eastAsia="宋体"/>
          <w:color w:val="000000"/>
          <w:sz w:val="22"/>
        </w:rPr>
        <w:t xml:space="preserve">3. </w:t>
      </w:r>
      <w:r>
        <w:rPr>
          <w:b/>
        </w:rPr>
        <w:t>附件3：入库数据.csv</w:t>
      </w:r>
    </w:p>
    <w:p w14:paraId="7BBB1C49">
      <w:pPr>
        <w:ind w:left="425" w:hanging="142"/>
      </w:pPr>
      <w:r>
        <w:rPr>
          <w:rFonts w:ascii="宋体" w:hAnsi="宋体" w:eastAsia="宋体"/>
          <w:color w:val="000000"/>
          <w:sz w:val="22"/>
        </w:rPr>
        <w:t xml:space="preserve">◦ </w:t>
      </w:r>
      <w:r>
        <w:t>同期原材料入库记录</w:t>
      </w:r>
    </w:p>
    <w:p w14:paraId="5CC47DE1">
      <w:pPr>
        <w:ind w:left="425" w:hanging="142"/>
      </w:pPr>
      <w:r>
        <w:rPr>
          <w:rFonts w:ascii="宋体" w:hAnsi="宋体" w:eastAsia="宋体"/>
          <w:color w:val="000000"/>
          <w:sz w:val="22"/>
        </w:rPr>
        <w:t xml:space="preserve">◦ </w:t>
      </w:r>
      <w:r>
        <w:t>字段：入库批次、原材料编号、箱子类型、入库数量、入库时间</w:t>
      </w:r>
    </w:p>
    <w:p w14:paraId="77BE24E7">
      <w:pPr>
        <w:pStyle w:val="8"/>
        <w:widowControl w:val="0"/>
        <w:numPr>
          <w:ilvl w:val="0"/>
          <w:numId w:val="0"/>
        </w:numPr>
        <w:spacing w:after="120" w:line="300" w:lineRule="auto"/>
        <w:jc w:val="both"/>
        <w:rPr>
          <w:rFonts w:hint="eastAsia"/>
        </w:rPr>
      </w:pPr>
    </w:p>
    <w:p w14:paraId="62211EF8">
      <w:pPr>
        <w:pStyle w:val="8"/>
        <w:widowControl w:val="0"/>
        <w:numPr>
          <w:ilvl w:val="0"/>
          <w:numId w:val="0"/>
        </w:numPr>
        <w:spacing w:after="120" w:line="300" w:lineRule="auto"/>
        <w:jc w:val="both"/>
        <w:rPr>
          <w:rFonts w:hint="eastAsia"/>
        </w:rPr>
        <w:sectPr>
          <w:headerReference r:id="rId7" w:type="first"/>
          <w:footerReference r:id="rId10" w:type="first"/>
          <w:headerReference r:id="rId5" w:type="default"/>
          <w:footerReference r:id="rId8" w:type="default"/>
          <w:headerReference r:id="rId6" w:type="even"/>
          <w:footerReference r:id="rId9" w:type="even"/>
          <w:pgSz w:w="11907" w:h="16840"/>
          <w:pgMar w:top="1418" w:right="1418" w:bottom="1418" w:left="1418" w:header="851" w:footer="992" w:gutter="0"/>
          <w:cols w:space="425" w:num="1"/>
          <w:docGrid w:linePitch="326" w:charSpace="0"/>
        </w:sectPr>
      </w:pPr>
    </w:p>
    <w:p w14:paraId="6FB47C86">
      <w:pPr>
        <w:bidi w:val="0"/>
      </w:pPr>
      <w:r>
        <w:rPr>
          <w:rFonts w:hint="eastAsia"/>
          <w:lang w:val="en-US" w:eastAsia="zh-CN"/>
        </w:rPr>
        <w:t>五、参赛与提交</w:t>
      </w:r>
      <w:r>
        <w:t>要求</w:t>
      </w:r>
    </w:p>
    <w:p w14:paraId="39C4A1C3">
      <w:pPr>
        <w:ind w:left="0" w:hanging="142"/>
      </w:pPr>
      <w:r>
        <w:rPr>
          <w:rFonts w:ascii="宋体" w:hAnsi="宋体" w:eastAsia="宋体"/>
          <w:color w:val="000000"/>
          <w:sz w:val="22"/>
        </w:rPr>
        <w:t xml:space="preserve">1. </w:t>
      </w:r>
      <w:r>
        <w:t>论文应包括：摘要、问题分析、模型假设、模型建立、求解算法、结果分析、结论等部分</w:t>
      </w:r>
    </w:p>
    <w:p w14:paraId="40980EA5">
      <w:pPr>
        <w:ind w:left="0" w:hanging="142"/>
      </w:pPr>
      <w:r>
        <w:rPr>
          <w:rFonts w:ascii="宋体" w:hAnsi="宋体" w:eastAsia="宋体"/>
          <w:color w:val="000000"/>
          <w:sz w:val="22"/>
        </w:rPr>
        <w:t xml:space="preserve">2. </w:t>
      </w:r>
      <w:r>
        <w:t>数学模型应给出完整的变量定义、目标函数和约束条件</w:t>
      </w:r>
    </w:p>
    <w:p w14:paraId="3FB43D8B">
      <w:pPr>
        <w:ind w:left="0" w:hanging="142"/>
      </w:pPr>
      <w:r>
        <w:rPr>
          <w:rFonts w:ascii="宋体" w:hAnsi="宋体" w:eastAsia="宋体"/>
          <w:color w:val="000000"/>
          <w:sz w:val="22"/>
        </w:rPr>
        <w:t xml:space="preserve">3. </w:t>
      </w:r>
      <w:r>
        <w:t>算法设计应说明复杂度分析和收敛性（如适用）</w:t>
      </w:r>
    </w:p>
    <w:p w14:paraId="777D9188">
      <w:pPr>
        <w:ind w:left="0" w:hanging="142"/>
      </w:pPr>
      <w:r>
        <w:rPr>
          <w:rFonts w:ascii="宋体" w:hAnsi="宋体" w:eastAsia="宋体"/>
          <w:color w:val="000000"/>
          <w:sz w:val="22"/>
        </w:rPr>
        <w:t xml:space="preserve">4. </w:t>
      </w:r>
      <w:r>
        <w:t>结果应给出具体的数值解，并进行敏感性分析</w:t>
      </w:r>
    </w:p>
    <w:p w14:paraId="382993EA">
      <w:pPr>
        <w:ind w:left="0" w:hanging="142"/>
        <w:rPr>
          <w:rFonts w:hint="default" w:ascii="宋体" w:hAnsi="宋体" w:eastAsia="宋体"/>
          <w:color w:val="000000"/>
          <w:sz w:val="22"/>
          <w:lang w:val="en-US" w:eastAsia="zh-CN"/>
        </w:rPr>
      </w:pPr>
      <w:r>
        <w:rPr>
          <w:rFonts w:hint="eastAsia" w:ascii="宋体" w:hAnsi="宋体"/>
          <w:color w:val="000000"/>
          <w:sz w:val="22"/>
          <w:lang w:val="en-US" w:eastAsia="zh-CN"/>
        </w:rPr>
        <w:t>5. 可以不用解决所有的问题。但好的论文应该是很好地解决更多问题。</w:t>
      </w:r>
    </w:p>
    <w:p w14:paraId="79B134D5">
      <w:pPr>
        <w:ind w:left="0" w:hanging="142"/>
      </w:pPr>
      <w:r>
        <w:rPr>
          <w:rFonts w:hint="eastAsia" w:ascii="宋体" w:hAnsi="宋体"/>
          <w:color w:val="000000"/>
          <w:sz w:val="22"/>
          <w:lang w:val="en-US" w:eastAsia="zh-CN"/>
        </w:rPr>
        <w:t>6</w:t>
      </w:r>
      <w:r>
        <w:rPr>
          <w:rFonts w:ascii="宋体" w:hAnsi="宋体" w:eastAsia="宋体"/>
          <w:color w:val="000000"/>
          <w:sz w:val="22"/>
        </w:rPr>
        <w:t xml:space="preserve">. </w:t>
      </w:r>
      <w:r>
        <w:t>论文PDF文件（含附录）</w:t>
      </w:r>
    </w:p>
    <w:sectPr>
      <w:pgSz w:w="11907" w:h="16840"/>
      <w:pgMar w:top="1418" w:right="1418" w:bottom="1418" w:left="1418" w:header="851" w:footer="992"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EBA66">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1EF8">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A8463">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548DC">
    <w:pPr>
      <w:pStyle w:val="16"/>
      <w:pBdr>
        <w:bottom w:val="single" w:color="auto" w:sz="12" w:space="1"/>
      </w:pBdr>
      <w:spacing w:line="240" w:lineRule="auto"/>
      <w:ind w:firstLine="0" w:firstLineChars="0"/>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77989">
    <w:pPr>
      <w:pStyle w:val="16"/>
      <w:pBdr>
        <w:bottom w:val="single" w:color="auto" w:sz="12" w:space="1"/>
      </w:pBdr>
      <w:spacing w:line="240" w:lineRule="auto"/>
      <w:ind w:firstLine="0" w:firstLineChars="0"/>
      <w:rPr>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2B34B">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0D9C1"/>
    <w:multiLevelType w:val="singleLevel"/>
    <w:tmpl w:val="8760D9C1"/>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NotDisplayPageBoundaries w:val="1"/>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923"/>
    <w:rsid w:val="0000758D"/>
    <w:rsid w:val="000079D7"/>
    <w:rsid w:val="00011737"/>
    <w:rsid w:val="000226E8"/>
    <w:rsid w:val="00023C7E"/>
    <w:rsid w:val="00031B18"/>
    <w:rsid w:val="00040137"/>
    <w:rsid w:val="00044F6E"/>
    <w:rsid w:val="00046ED3"/>
    <w:rsid w:val="00050122"/>
    <w:rsid w:val="00053DFB"/>
    <w:rsid w:val="00055102"/>
    <w:rsid w:val="00067B3C"/>
    <w:rsid w:val="00071B54"/>
    <w:rsid w:val="00073124"/>
    <w:rsid w:val="000752EB"/>
    <w:rsid w:val="00076A47"/>
    <w:rsid w:val="00082D4D"/>
    <w:rsid w:val="00084C6E"/>
    <w:rsid w:val="000932F2"/>
    <w:rsid w:val="00096E21"/>
    <w:rsid w:val="00097AC3"/>
    <w:rsid w:val="000A38B7"/>
    <w:rsid w:val="000A3947"/>
    <w:rsid w:val="000A47BD"/>
    <w:rsid w:val="000A70C6"/>
    <w:rsid w:val="000B3F87"/>
    <w:rsid w:val="000B460D"/>
    <w:rsid w:val="000B5C6A"/>
    <w:rsid w:val="000C1259"/>
    <w:rsid w:val="000C7F0F"/>
    <w:rsid w:val="000D1649"/>
    <w:rsid w:val="000D1B83"/>
    <w:rsid w:val="000D31DB"/>
    <w:rsid w:val="000D3683"/>
    <w:rsid w:val="000D5EB1"/>
    <w:rsid w:val="000E2AE3"/>
    <w:rsid w:val="000E3411"/>
    <w:rsid w:val="000E3ACB"/>
    <w:rsid w:val="000E66B9"/>
    <w:rsid w:val="000F2892"/>
    <w:rsid w:val="000F2BA8"/>
    <w:rsid w:val="000F7E0E"/>
    <w:rsid w:val="00100086"/>
    <w:rsid w:val="00111471"/>
    <w:rsid w:val="00111DEB"/>
    <w:rsid w:val="00122FA9"/>
    <w:rsid w:val="00127835"/>
    <w:rsid w:val="0013302B"/>
    <w:rsid w:val="001366F1"/>
    <w:rsid w:val="00136F85"/>
    <w:rsid w:val="00147BC5"/>
    <w:rsid w:val="001513AA"/>
    <w:rsid w:val="00151A16"/>
    <w:rsid w:val="00155052"/>
    <w:rsid w:val="001567CF"/>
    <w:rsid w:val="0015730A"/>
    <w:rsid w:val="00161095"/>
    <w:rsid w:val="00161F14"/>
    <w:rsid w:val="0016547D"/>
    <w:rsid w:val="001674BC"/>
    <w:rsid w:val="00171185"/>
    <w:rsid w:val="00173A86"/>
    <w:rsid w:val="001775AB"/>
    <w:rsid w:val="001800A6"/>
    <w:rsid w:val="00191AB0"/>
    <w:rsid w:val="00197E82"/>
    <w:rsid w:val="001A1250"/>
    <w:rsid w:val="001A339B"/>
    <w:rsid w:val="001A39DA"/>
    <w:rsid w:val="001B57D1"/>
    <w:rsid w:val="001C0424"/>
    <w:rsid w:val="001C283C"/>
    <w:rsid w:val="001C3505"/>
    <w:rsid w:val="001C6A90"/>
    <w:rsid w:val="001D4340"/>
    <w:rsid w:val="001D604B"/>
    <w:rsid w:val="001E2210"/>
    <w:rsid w:val="001E35F3"/>
    <w:rsid w:val="001E4EAD"/>
    <w:rsid w:val="001E67E0"/>
    <w:rsid w:val="001E75B9"/>
    <w:rsid w:val="001F5F62"/>
    <w:rsid w:val="001F7D45"/>
    <w:rsid w:val="00202C1B"/>
    <w:rsid w:val="0020335B"/>
    <w:rsid w:val="00205C39"/>
    <w:rsid w:val="00205CB7"/>
    <w:rsid w:val="0021009C"/>
    <w:rsid w:val="00210A29"/>
    <w:rsid w:val="0021246A"/>
    <w:rsid w:val="00212566"/>
    <w:rsid w:val="002135A1"/>
    <w:rsid w:val="00213AC4"/>
    <w:rsid w:val="00220DF2"/>
    <w:rsid w:val="0022271F"/>
    <w:rsid w:val="00223F63"/>
    <w:rsid w:val="00235474"/>
    <w:rsid w:val="00237567"/>
    <w:rsid w:val="00240F47"/>
    <w:rsid w:val="002444C3"/>
    <w:rsid w:val="00244C99"/>
    <w:rsid w:val="00245E20"/>
    <w:rsid w:val="00247B95"/>
    <w:rsid w:val="002527BE"/>
    <w:rsid w:val="00253978"/>
    <w:rsid w:val="0025788E"/>
    <w:rsid w:val="00260F32"/>
    <w:rsid w:val="00267FA8"/>
    <w:rsid w:val="002767C7"/>
    <w:rsid w:val="00281BDB"/>
    <w:rsid w:val="00283252"/>
    <w:rsid w:val="0028535D"/>
    <w:rsid w:val="0029130B"/>
    <w:rsid w:val="002961EA"/>
    <w:rsid w:val="00296D82"/>
    <w:rsid w:val="002A5797"/>
    <w:rsid w:val="002A5A64"/>
    <w:rsid w:val="002B4CF6"/>
    <w:rsid w:val="002B6C7A"/>
    <w:rsid w:val="002C4AA1"/>
    <w:rsid w:val="002D1B01"/>
    <w:rsid w:val="002D2403"/>
    <w:rsid w:val="002D345A"/>
    <w:rsid w:val="002D36F2"/>
    <w:rsid w:val="002E0F97"/>
    <w:rsid w:val="002E292D"/>
    <w:rsid w:val="002E6923"/>
    <w:rsid w:val="002F42CA"/>
    <w:rsid w:val="00300923"/>
    <w:rsid w:val="00300A9D"/>
    <w:rsid w:val="0030262A"/>
    <w:rsid w:val="00303A43"/>
    <w:rsid w:val="00306CC5"/>
    <w:rsid w:val="00321A72"/>
    <w:rsid w:val="00341DCF"/>
    <w:rsid w:val="0034348C"/>
    <w:rsid w:val="003449DF"/>
    <w:rsid w:val="0034543D"/>
    <w:rsid w:val="00351527"/>
    <w:rsid w:val="003547E4"/>
    <w:rsid w:val="0035486A"/>
    <w:rsid w:val="00361329"/>
    <w:rsid w:val="0036208F"/>
    <w:rsid w:val="00363A2A"/>
    <w:rsid w:val="0036424C"/>
    <w:rsid w:val="00367949"/>
    <w:rsid w:val="003710D6"/>
    <w:rsid w:val="003732C5"/>
    <w:rsid w:val="0039066F"/>
    <w:rsid w:val="00393E1D"/>
    <w:rsid w:val="003971D3"/>
    <w:rsid w:val="003A2800"/>
    <w:rsid w:val="003A49B0"/>
    <w:rsid w:val="003A6667"/>
    <w:rsid w:val="003B5253"/>
    <w:rsid w:val="003B5DE1"/>
    <w:rsid w:val="003C425B"/>
    <w:rsid w:val="003D08E5"/>
    <w:rsid w:val="003D598D"/>
    <w:rsid w:val="003E4529"/>
    <w:rsid w:val="003E5A9C"/>
    <w:rsid w:val="003E75DF"/>
    <w:rsid w:val="003F04DD"/>
    <w:rsid w:val="003F539F"/>
    <w:rsid w:val="00401331"/>
    <w:rsid w:val="00402A79"/>
    <w:rsid w:val="00402EE3"/>
    <w:rsid w:val="004052CE"/>
    <w:rsid w:val="0040563C"/>
    <w:rsid w:val="00411B58"/>
    <w:rsid w:val="00413E16"/>
    <w:rsid w:val="004167E9"/>
    <w:rsid w:val="00420471"/>
    <w:rsid w:val="00420C2C"/>
    <w:rsid w:val="00425C8B"/>
    <w:rsid w:val="00431354"/>
    <w:rsid w:val="00431753"/>
    <w:rsid w:val="00436536"/>
    <w:rsid w:val="004400AC"/>
    <w:rsid w:val="00440A85"/>
    <w:rsid w:val="00441641"/>
    <w:rsid w:val="004417C8"/>
    <w:rsid w:val="00442A0D"/>
    <w:rsid w:val="00454B0F"/>
    <w:rsid w:val="00471A09"/>
    <w:rsid w:val="00473CDF"/>
    <w:rsid w:val="00492570"/>
    <w:rsid w:val="00492A01"/>
    <w:rsid w:val="00492AA9"/>
    <w:rsid w:val="0049704C"/>
    <w:rsid w:val="004974AB"/>
    <w:rsid w:val="004A0F55"/>
    <w:rsid w:val="004A2FD0"/>
    <w:rsid w:val="004A58C9"/>
    <w:rsid w:val="004A7A05"/>
    <w:rsid w:val="004B31EC"/>
    <w:rsid w:val="004C2566"/>
    <w:rsid w:val="004C26D9"/>
    <w:rsid w:val="004C2D4E"/>
    <w:rsid w:val="004C59E1"/>
    <w:rsid w:val="004C7FF4"/>
    <w:rsid w:val="004D22C7"/>
    <w:rsid w:val="004D2FBF"/>
    <w:rsid w:val="004D3F49"/>
    <w:rsid w:val="004D4933"/>
    <w:rsid w:val="004E4388"/>
    <w:rsid w:val="005024F9"/>
    <w:rsid w:val="00503CF4"/>
    <w:rsid w:val="00503ED7"/>
    <w:rsid w:val="00505BDE"/>
    <w:rsid w:val="0050678C"/>
    <w:rsid w:val="00506D39"/>
    <w:rsid w:val="0050752A"/>
    <w:rsid w:val="00507C7F"/>
    <w:rsid w:val="00514E24"/>
    <w:rsid w:val="00521FDE"/>
    <w:rsid w:val="00522958"/>
    <w:rsid w:val="00525358"/>
    <w:rsid w:val="00530272"/>
    <w:rsid w:val="00535BF9"/>
    <w:rsid w:val="005440CA"/>
    <w:rsid w:val="005442A2"/>
    <w:rsid w:val="00553C42"/>
    <w:rsid w:val="00554938"/>
    <w:rsid w:val="00556170"/>
    <w:rsid w:val="005572C7"/>
    <w:rsid w:val="00564FB4"/>
    <w:rsid w:val="00566041"/>
    <w:rsid w:val="00571D62"/>
    <w:rsid w:val="005802F4"/>
    <w:rsid w:val="00581487"/>
    <w:rsid w:val="00583381"/>
    <w:rsid w:val="00585F55"/>
    <w:rsid w:val="0059585F"/>
    <w:rsid w:val="005A0F0E"/>
    <w:rsid w:val="005A27E4"/>
    <w:rsid w:val="005A3B0C"/>
    <w:rsid w:val="005A43C9"/>
    <w:rsid w:val="005A5B14"/>
    <w:rsid w:val="005A6108"/>
    <w:rsid w:val="005A673C"/>
    <w:rsid w:val="005B28E9"/>
    <w:rsid w:val="005B4CC3"/>
    <w:rsid w:val="005B5807"/>
    <w:rsid w:val="005C42DB"/>
    <w:rsid w:val="005C5BB9"/>
    <w:rsid w:val="005C6A7D"/>
    <w:rsid w:val="005D01F8"/>
    <w:rsid w:val="005D1B0F"/>
    <w:rsid w:val="005D6940"/>
    <w:rsid w:val="005E2229"/>
    <w:rsid w:val="005F3B6E"/>
    <w:rsid w:val="0060588D"/>
    <w:rsid w:val="00607630"/>
    <w:rsid w:val="006127AF"/>
    <w:rsid w:val="0061428E"/>
    <w:rsid w:val="00615442"/>
    <w:rsid w:val="006207D9"/>
    <w:rsid w:val="00620A27"/>
    <w:rsid w:val="00624645"/>
    <w:rsid w:val="00624CBF"/>
    <w:rsid w:val="00626A6A"/>
    <w:rsid w:val="00630DDB"/>
    <w:rsid w:val="00637B35"/>
    <w:rsid w:val="00657EDC"/>
    <w:rsid w:val="0066032F"/>
    <w:rsid w:val="00660A39"/>
    <w:rsid w:val="00661743"/>
    <w:rsid w:val="00664FFD"/>
    <w:rsid w:val="006805AC"/>
    <w:rsid w:val="00684511"/>
    <w:rsid w:val="00692E2A"/>
    <w:rsid w:val="0069706B"/>
    <w:rsid w:val="006A2824"/>
    <w:rsid w:val="006A377E"/>
    <w:rsid w:val="006D253B"/>
    <w:rsid w:val="006D7E12"/>
    <w:rsid w:val="006E216A"/>
    <w:rsid w:val="006E40CB"/>
    <w:rsid w:val="006E4753"/>
    <w:rsid w:val="006F0B41"/>
    <w:rsid w:val="006F10ED"/>
    <w:rsid w:val="006F3802"/>
    <w:rsid w:val="006F5E27"/>
    <w:rsid w:val="006F7F4A"/>
    <w:rsid w:val="0070326C"/>
    <w:rsid w:val="007033AA"/>
    <w:rsid w:val="00703951"/>
    <w:rsid w:val="007073FB"/>
    <w:rsid w:val="00707B73"/>
    <w:rsid w:val="00707D9A"/>
    <w:rsid w:val="00710215"/>
    <w:rsid w:val="00712A26"/>
    <w:rsid w:val="00714D2F"/>
    <w:rsid w:val="00716F2F"/>
    <w:rsid w:val="007236B7"/>
    <w:rsid w:val="00731307"/>
    <w:rsid w:val="00736BF1"/>
    <w:rsid w:val="00737556"/>
    <w:rsid w:val="00737BA8"/>
    <w:rsid w:val="007451E6"/>
    <w:rsid w:val="00754B13"/>
    <w:rsid w:val="0076333F"/>
    <w:rsid w:val="007656D3"/>
    <w:rsid w:val="00765862"/>
    <w:rsid w:val="00772066"/>
    <w:rsid w:val="007730F5"/>
    <w:rsid w:val="00775061"/>
    <w:rsid w:val="007751A2"/>
    <w:rsid w:val="007871EA"/>
    <w:rsid w:val="007A3A81"/>
    <w:rsid w:val="007A60B2"/>
    <w:rsid w:val="007A78B2"/>
    <w:rsid w:val="007B2580"/>
    <w:rsid w:val="007B3D78"/>
    <w:rsid w:val="007B5E70"/>
    <w:rsid w:val="007B6184"/>
    <w:rsid w:val="007C05CD"/>
    <w:rsid w:val="007C1391"/>
    <w:rsid w:val="007C207F"/>
    <w:rsid w:val="007F2A11"/>
    <w:rsid w:val="007F4EF5"/>
    <w:rsid w:val="007F72F1"/>
    <w:rsid w:val="008005FB"/>
    <w:rsid w:val="00810E67"/>
    <w:rsid w:val="008175AA"/>
    <w:rsid w:val="00820528"/>
    <w:rsid w:val="00823D9C"/>
    <w:rsid w:val="0082641A"/>
    <w:rsid w:val="008330AB"/>
    <w:rsid w:val="008352D9"/>
    <w:rsid w:val="00847021"/>
    <w:rsid w:val="00862735"/>
    <w:rsid w:val="00871D69"/>
    <w:rsid w:val="00874780"/>
    <w:rsid w:val="00874D35"/>
    <w:rsid w:val="00885AD7"/>
    <w:rsid w:val="0089079F"/>
    <w:rsid w:val="0089771F"/>
    <w:rsid w:val="008A0535"/>
    <w:rsid w:val="008A7499"/>
    <w:rsid w:val="008C254D"/>
    <w:rsid w:val="008C3B04"/>
    <w:rsid w:val="008C677F"/>
    <w:rsid w:val="008D285F"/>
    <w:rsid w:val="008E0BE9"/>
    <w:rsid w:val="008E36DB"/>
    <w:rsid w:val="008F002F"/>
    <w:rsid w:val="008F0C42"/>
    <w:rsid w:val="008F30E6"/>
    <w:rsid w:val="008F3F36"/>
    <w:rsid w:val="008F60F4"/>
    <w:rsid w:val="00900294"/>
    <w:rsid w:val="00901F76"/>
    <w:rsid w:val="00902066"/>
    <w:rsid w:val="009069A3"/>
    <w:rsid w:val="00910790"/>
    <w:rsid w:val="0093159A"/>
    <w:rsid w:val="009411C9"/>
    <w:rsid w:val="00946507"/>
    <w:rsid w:val="00974179"/>
    <w:rsid w:val="0097495D"/>
    <w:rsid w:val="00975722"/>
    <w:rsid w:val="00982C17"/>
    <w:rsid w:val="0098340D"/>
    <w:rsid w:val="0099058C"/>
    <w:rsid w:val="0099258C"/>
    <w:rsid w:val="00996DA9"/>
    <w:rsid w:val="009A4A94"/>
    <w:rsid w:val="009A5398"/>
    <w:rsid w:val="009A61D7"/>
    <w:rsid w:val="009B12AE"/>
    <w:rsid w:val="009B6426"/>
    <w:rsid w:val="009C04F5"/>
    <w:rsid w:val="009C472D"/>
    <w:rsid w:val="009C4EB9"/>
    <w:rsid w:val="009C5677"/>
    <w:rsid w:val="009C65D9"/>
    <w:rsid w:val="009D1C41"/>
    <w:rsid w:val="009D63B7"/>
    <w:rsid w:val="009E5771"/>
    <w:rsid w:val="009E5ACE"/>
    <w:rsid w:val="009E7EE0"/>
    <w:rsid w:val="009F15CE"/>
    <w:rsid w:val="009F2CE2"/>
    <w:rsid w:val="00A0124A"/>
    <w:rsid w:val="00A02B4D"/>
    <w:rsid w:val="00A04EF3"/>
    <w:rsid w:val="00A05455"/>
    <w:rsid w:val="00A0624C"/>
    <w:rsid w:val="00A07735"/>
    <w:rsid w:val="00A17698"/>
    <w:rsid w:val="00A20B1C"/>
    <w:rsid w:val="00A2262E"/>
    <w:rsid w:val="00A24473"/>
    <w:rsid w:val="00A26707"/>
    <w:rsid w:val="00A31F7E"/>
    <w:rsid w:val="00A3248E"/>
    <w:rsid w:val="00A358A1"/>
    <w:rsid w:val="00A469AD"/>
    <w:rsid w:val="00A47D26"/>
    <w:rsid w:val="00A51568"/>
    <w:rsid w:val="00A518E8"/>
    <w:rsid w:val="00A52B71"/>
    <w:rsid w:val="00A62008"/>
    <w:rsid w:val="00A842CB"/>
    <w:rsid w:val="00A84827"/>
    <w:rsid w:val="00A942ED"/>
    <w:rsid w:val="00AA3746"/>
    <w:rsid w:val="00AB1C27"/>
    <w:rsid w:val="00AB5CF5"/>
    <w:rsid w:val="00AC0AB2"/>
    <w:rsid w:val="00AC7E7D"/>
    <w:rsid w:val="00AD2CEB"/>
    <w:rsid w:val="00AD3257"/>
    <w:rsid w:val="00AD3606"/>
    <w:rsid w:val="00AD6E07"/>
    <w:rsid w:val="00AD79FC"/>
    <w:rsid w:val="00AE0E6B"/>
    <w:rsid w:val="00AE7AA6"/>
    <w:rsid w:val="00AF0587"/>
    <w:rsid w:val="00AF1A57"/>
    <w:rsid w:val="00AF29D3"/>
    <w:rsid w:val="00AF326B"/>
    <w:rsid w:val="00AF69FA"/>
    <w:rsid w:val="00B074EA"/>
    <w:rsid w:val="00B16A29"/>
    <w:rsid w:val="00B170E0"/>
    <w:rsid w:val="00B3120A"/>
    <w:rsid w:val="00B332E8"/>
    <w:rsid w:val="00B35616"/>
    <w:rsid w:val="00B37F8C"/>
    <w:rsid w:val="00B410CB"/>
    <w:rsid w:val="00B450E2"/>
    <w:rsid w:val="00B46264"/>
    <w:rsid w:val="00B4719F"/>
    <w:rsid w:val="00B514C6"/>
    <w:rsid w:val="00B52D68"/>
    <w:rsid w:val="00B806E9"/>
    <w:rsid w:val="00B82E74"/>
    <w:rsid w:val="00B83D6C"/>
    <w:rsid w:val="00B87B9B"/>
    <w:rsid w:val="00BA0C0D"/>
    <w:rsid w:val="00BA409F"/>
    <w:rsid w:val="00BA57C2"/>
    <w:rsid w:val="00BA6188"/>
    <w:rsid w:val="00BA6360"/>
    <w:rsid w:val="00BA77AC"/>
    <w:rsid w:val="00BB04FC"/>
    <w:rsid w:val="00BB055B"/>
    <w:rsid w:val="00BB0942"/>
    <w:rsid w:val="00BB5365"/>
    <w:rsid w:val="00BC150C"/>
    <w:rsid w:val="00BC4536"/>
    <w:rsid w:val="00BC5502"/>
    <w:rsid w:val="00BC7358"/>
    <w:rsid w:val="00BE036A"/>
    <w:rsid w:val="00BE5E94"/>
    <w:rsid w:val="00BF06E3"/>
    <w:rsid w:val="00BF2995"/>
    <w:rsid w:val="00BF5A3D"/>
    <w:rsid w:val="00BF651E"/>
    <w:rsid w:val="00C002FB"/>
    <w:rsid w:val="00C00992"/>
    <w:rsid w:val="00C1190F"/>
    <w:rsid w:val="00C133E6"/>
    <w:rsid w:val="00C14D8D"/>
    <w:rsid w:val="00C2313C"/>
    <w:rsid w:val="00C258EE"/>
    <w:rsid w:val="00C26608"/>
    <w:rsid w:val="00C304CF"/>
    <w:rsid w:val="00C42856"/>
    <w:rsid w:val="00C430FE"/>
    <w:rsid w:val="00C45605"/>
    <w:rsid w:val="00C46826"/>
    <w:rsid w:val="00C550E4"/>
    <w:rsid w:val="00C55263"/>
    <w:rsid w:val="00C6061C"/>
    <w:rsid w:val="00C63841"/>
    <w:rsid w:val="00C63D08"/>
    <w:rsid w:val="00C63FF9"/>
    <w:rsid w:val="00C6681E"/>
    <w:rsid w:val="00C6754D"/>
    <w:rsid w:val="00C67739"/>
    <w:rsid w:val="00C67924"/>
    <w:rsid w:val="00C71E4A"/>
    <w:rsid w:val="00C87A37"/>
    <w:rsid w:val="00C90055"/>
    <w:rsid w:val="00C90F9E"/>
    <w:rsid w:val="00C91E35"/>
    <w:rsid w:val="00C96684"/>
    <w:rsid w:val="00C97FE9"/>
    <w:rsid w:val="00CA0CD1"/>
    <w:rsid w:val="00CA1C66"/>
    <w:rsid w:val="00CA34E6"/>
    <w:rsid w:val="00CA4B74"/>
    <w:rsid w:val="00CB29FB"/>
    <w:rsid w:val="00CB3D24"/>
    <w:rsid w:val="00CB659F"/>
    <w:rsid w:val="00CB6CC7"/>
    <w:rsid w:val="00CC7157"/>
    <w:rsid w:val="00CD050B"/>
    <w:rsid w:val="00CD36C1"/>
    <w:rsid w:val="00CE138F"/>
    <w:rsid w:val="00CE3EC5"/>
    <w:rsid w:val="00CF1B97"/>
    <w:rsid w:val="00CF6921"/>
    <w:rsid w:val="00D13600"/>
    <w:rsid w:val="00D168AA"/>
    <w:rsid w:val="00D17718"/>
    <w:rsid w:val="00D246F9"/>
    <w:rsid w:val="00D27AB9"/>
    <w:rsid w:val="00D42A5C"/>
    <w:rsid w:val="00D42CC1"/>
    <w:rsid w:val="00D50CD1"/>
    <w:rsid w:val="00D545EB"/>
    <w:rsid w:val="00D566B2"/>
    <w:rsid w:val="00D710EF"/>
    <w:rsid w:val="00D71BFA"/>
    <w:rsid w:val="00D72E90"/>
    <w:rsid w:val="00D73310"/>
    <w:rsid w:val="00D73767"/>
    <w:rsid w:val="00D73CBE"/>
    <w:rsid w:val="00D742D8"/>
    <w:rsid w:val="00D749F3"/>
    <w:rsid w:val="00D837C9"/>
    <w:rsid w:val="00D90CFE"/>
    <w:rsid w:val="00D9107C"/>
    <w:rsid w:val="00D92DEB"/>
    <w:rsid w:val="00D95370"/>
    <w:rsid w:val="00DA232E"/>
    <w:rsid w:val="00DA5E01"/>
    <w:rsid w:val="00DA79E1"/>
    <w:rsid w:val="00DB1A28"/>
    <w:rsid w:val="00DB1F09"/>
    <w:rsid w:val="00DB3853"/>
    <w:rsid w:val="00DC07FB"/>
    <w:rsid w:val="00DC3D0F"/>
    <w:rsid w:val="00DE3497"/>
    <w:rsid w:val="00DE59E1"/>
    <w:rsid w:val="00DE72E5"/>
    <w:rsid w:val="00DE7366"/>
    <w:rsid w:val="00DF24AD"/>
    <w:rsid w:val="00DF5394"/>
    <w:rsid w:val="00DF57E9"/>
    <w:rsid w:val="00E00278"/>
    <w:rsid w:val="00E01A4B"/>
    <w:rsid w:val="00E03E46"/>
    <w:rsid w:val="00E0594D"/>
    <w:rsid w:val="00E05BDE"/>
    <w:rsid w:val="00E1057F"/>
    <w:rsid w:val="00E10A6A"/>
    <w:rsid w:val="00E22F8B"/>
    <w:rsid w:val="00E24997"/>
    <w:rsid w:val="00E25E96"/>
    <w:rsid w:val="00E436D4"/>
    <w:rsid w:val="00E43B03"/>
    <w:rsid w:val="00E44E33"/>
    <w:rsid w:val="00E56FCF"/>
    <w:rsid w:val="00E60936"/>
    <w:rsid w:val="00E6251E"/>
    <w:rsid w:val="00E6357B"/>
    <w:rsid w:val="00E67487"/>
    <w:rsid w:val="00E71C7F"/>
    <w:rsid w:val="00E749E6"/>
    <w:rsid w:val="00E777DA"/>
    <w:rsid w:val="00E81E31"/>
    <w:rsid w:val="00E82DC1"/>
    <w:rsid w:val="00E83CD2"/>
    <w:rsid w:val="00E8719A"/>
    <w:rsid w:val="00E932BE"/>
    <w:rsid w:val="00E960F1"/>
    <w:rsid w:val="00EA22BB"/>
    <w:rsid w:val="00EA2C9B"/>
    <w:rsid w:val="00EA6C3C"/>
    <w:rsid w:val="00EB0E8E"/>
    <w:rsid w:val="00EB6E9C"/>
    <w:rsid w:val="00EC0277"/>
    <w:rsid w:val="00EC152D"/>
    <w:rsid w:val="00EC1A3C"/>
    <w:rsid w:val="00EC29EC"/>
    <w:rsid w:val="00EC2B3D"/>
    <w:rsid w:val="00EC7A48"/>
    <w:rsid w:val="00EC7BE6"/>
    <w:rsid w:val="00ED100E"/>
    <w:rsid w:val="00ED76C6"/>
    <w:rsid w:val="00EE2437"/>
    <w:rsid w:val="00EE33E7"/>
    <w:rsid w:val="00EE351A"/>
    <w:rsid w:val="00EF0AB0"/>
    <w:rsid w:val="00F007CB"/>
    <w:rsid w:val="00F00FF1"/>
    <w:rsid w:val="00F01C56"/>
    <w:rsid w:val="00F167D8"/>
    <w:rsid w:val="00F17872"/>
    <w:rsid w:val="00F17DAF"/>
    <w:rsid w:val="00F17F05"/>
    <w:rsid w:val="00F21084"/>
    <w:rsid w:val="00F224F7"/>
    <w:rsid w:val="00F23187"/>
    <w:rsid w:val="00F242D1"/>
    <w:rsid w:val="00F257A8"/>
    <w:rsid w:val="00F257BA"/>
    <w:rsid w:val="00F33C45"/>
    <w:rsid w:val="00F450BE"/>
    <w:rsid w:val="00F4575F"/>
    <w:rsid w:val="00F46698"/>
    <w:rsid w:val="00F50521"/>
    <w:rsid w:val="00F56F5B"/>
    <w:rsid w:val="00F66029"/>
    <w:rsid w:val="00F70721"/>
    <w:rsid w:val="00F81974"/>
    <w:rsid w:val="00FC1891"/>
    <w:rsid w:val="00FC5D40"/>
    <w:rsid w:val="00FC61EF"/>
    <w:rsid w:val="00FD1093"/>
    <w:rsid w:val="00FD5A40"/>
    <w:rsid w:val="00FD6F7A"/>
    <w:rsid w:val="00FF1929"/>
    <w:rsid w:val="00FF251F"/>
    <w:rsid w:val="00FF3C10"/>
    <w:rsid w:val="00FF68B1"/>
    <w:rsid w:val="00FF78E6"/>
    <w:rsid w:val="032633D2"/>
    <w:rsid w:val="07242737"/>
    <w:rsid w:val="08587AB3"/>
    <w:rsid w:val="09381F46"/>
    <w:rsid w:val="0940376A"/>
    <w:rsid w:val="097112F6"/>
    <w:rsid w:val="0A7113D6"/>
    <w:rsid w:val="0B474077"/>
    <w:rsid w:val="0C804C06"/>
    <w:rsid w:val="0C9C3DB4"/>
    <w:rsid w:val="0D8F3366"/>
    <w:rsid w:val="0EE92323"/>
    <w:rsid w:val="10523A58"/>
    <w:rsid w:val="114C68A5"/>
    <w:rsid w:val="170F26A3"/>
    <w:rsid w:val="199C6B75"/>
    <w:rsid w:val="1AC61994"/>
    <w:rsid w:val="21A36214"/>
    <w:rsid w:val="25A05605"/>
    <w:rsid w:val="291D1F32"/>
    <w:rsid w:val="2A3A75DF"/>
    <w:rsid w:val="2AB87823"/>
    <w:rsid w:val="2ABC728F"/>
    <w:rsid w:val="303B2136"/>
    <w:rsid w:val="3103547C"/>
    <w:rsid w:val="32803FFD"/>
    <w:rsid w:val="328C455A"/>
    <w:rsid w:val="32D92C7A"/>
    <w:rsid w:val="34C576FE"/>
    <w:rsid w:val="3A1C460B"/>
    <w:rsid w:val="3D1B5FF2"/>
    <w:rsid w:val="3E8250E7"/>
    <w:rsid w:val="400224F5"/>
    <w:rsid w:val="43CA5FAE"/>
    <w:rsid w:val="44CD5CF8"/>
    <w:rsid w:val="47240D0C"/>
    <w:rsid w:val="4CF84A64"/>
    <w:rsid w:val="51275918"/>
    <w:rsid w:val="515C2C15"/>
    <w:rsid w:val="52E04FF4"/>
    <w:rsid w:val="5612303A"/>
    <w:rsid w:val="564877C0"/>
    <w:rsid w:val="59C57F5B"/>
    <w:rsid w:val="5A821E11"/>
    <w:rsid w:val="5D883BE2"/>
    <w:rsid w:val="5E3C5FA6"/>
    <w:rsid w:val="5F017A48"/>
    <w:rsid w:val="626077EB"/>
    <w:rsid w:val="63051831"/>
    <w:rsid w:val="63844E4C"/>
    <w:rsid w:val="63F20007"/>
    <w:rsid w:val="685A4E4B"/>
    <w:rsid w:val="6A450DD1"/>
    <w:rsid w:val="6BAB5B01"/>
    <w:rsid w:val="6FDE7692"/>
    <w:rsid w:val="739979B0"/>
    <w:rsid w:val="76DF5575"/>
    <w:rsid w:val="77591F05"/>
    <w:rsid w:val="791153D5"/>
    <w:rsid w:val="79BC37E9"/>
    <w:rsid w:val="7ABA2F70"/>
    <w:rsid w:val="7B046B46"/>
    <w:rsid w:val="7EB83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after="330"/>
      <w:ind w:firstLine="0" w:firstLineChars="0"/>
      <w:outlineLvl w:val="0"/>
    </w:pPr>
    <w:rPr>
      <w:rFonts w:ascii="Arial" w:hAnsi="Arial" w:eastAsia="黑体"/>
      <w:b/>
      <w:bCs/>
      <w:kern w:val="44"/>
      <w:sz w:val="30"/>
      <w:szCs w:val="30"/>
    </w:rPr>
  </w:style>
  <w:style w:type="paragraph" w:styleId="3">
    <w:name w:val="heading 2"/>
    <w:basedOn w:val="1"/>
    <w:next w:val="1"/>
    <w:link w:val="39"/>
    <w:qFormat/>
    <w:uiPriority w:val="9"/>
    <w:pPr>
      <w:keepNext/>
      <w:keepLines/>
      <w:spacing w:before="260" w:after="260"/>
      <w:ind w:firstLine="0" w:firstLineChars="0"/>
      <w:outlineLvl w:val="1"/>
    </w:pPr>
    <w:rPr>
      <w:rFonts w:ascii="Arial" w:hAnsi="Arial" w:eastAsia="黑体"/>
      <w:b/>
      <w:bCs/>
      <w:sz w:val="28"/>
      <w:szCs w:val="28"/>
    </w:rPr>
  </w:style>
  <w:style w:type="paragraph" w:styleId="4">
    <w:name w:val="heading 3"/>
    <w:basedOn w:val="1"/>
    <w:next w:val="1"/>
    <w:qFormat/>
    <w:uiPriority w:val="0"/>
    <w:pPr>
      <w:keepNext/>
      <w:spacing w:before="260" w:after="260"/>
      <w:ind w:firstLine="0" w:firstLineChars="0"/>
      <w:outlineLvl w:val="2"/>
    </w:pPr>
    <w:rPr>
      <w:rFonts w:ascii="Arial" w:hAnsi="Arial" w:eastAsia="黑体"/>
      <w:b/>
      <w:bCs/>
      <w:snapToGrid w:val="0"/>
      <w:kern w:val="0"/>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8">
    <w:name w:val="Default Paragraph Font"/>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1440"/>
      <w:jc w:val="left"/>
    </w:pPr>
    <w:rPr>
      <w:sz w:val="18"/>
      <w:szCs w:val="18"/>
    </w:rPr>
  </w:style>
  <w:style w:type="paragraph" w:styleId="7">
    <w:name w:val="annotation text"/>
    <w:basedOn w:val="1"/>
    <w:link w:val="34"/>
    <w:qFormat/>
    <w:uiPriority w:val="0"/>
    <w:pPr>
      <w:spacing w:line="240" w:lineRule="auto"/>
    </w:pPr>
    <w:rPr>
      <w:sz w:val="20"/>
      <w:szCs w:val="20"/>
    </w:rPr>
  </w:style>
  <w:style w:type="paragraph" w:styleId="8">
    <w:name w:val="Body Text"/>
    <w:basedOn w:val="1"/>
    <w:link w:val="33"/>
    <w:qFormat/>
    <w:uiPriority w:val="99"/>
    <w:pPr>
      <w:spacing w:after="120"/>
    </w:pPr>
  </w:style>
  <w:style w:type="paragraph" w:styleId="9">
    <w:name w:val="Body Text Indent"/>
    <w:basedOn w:val="1"/>
    <w:qFormat/>
    <w:uiPriority w:val="0"/>
    <w:pPr>
      <w:ind w:firstLine="480"/>
    </w:pPr>
  </w:style>
  <w:style w:type="paragraph" w:styleId="10">
    <w:name w:val="toc 5"/>
    <w:basedOn w:val="1"/>
    <w:next w:val="1"/>
    <w:autoRedefine/>
    <w:semiHidden/>
    <w:qFormat/>
    <w:uiPriority w:val="0"/>
    <w:pPr>
      <w:ind w:left="960"/>
      <w:jc w:val="left"/>
    </w:pPr>
    <w:rPr>
      <w:sz w:val="18"/>
      <w:szCs w:val="18"/>
    </w:rPr>
  </w:style>
  <w:style w:type="paragraph" w:styleId="11">
    <w:name w:val="toc 3"/>
    <w:basedOn w:val="1"/>
    <w:next w:val="1"/>
    <w:autoRedefine/>
    <w:semiHidden/>
    <w:qFormat/>
    <w:uiPriority w:val="0"/>
    <w:pPr>
      <w:ind w:left="480"/>
      <w:jc w:val="left"/>
    </w:pPr>
    <w:rPr>
      <w:i/>
      <w:iCs/>
      <w:sz w:val="20"/>
      <w:szCs w:val="20"/>
    </w:rPr>
  </w:style>
  <w:style w:type="paragraph" w:styleId="12">
    <w:name w:val="toc 8"/>
    <w:basedOn w:val="1"/>
    <w:next w:val="1"/>
    <w:autoRedefine/>
    <w:semiHidden/>
    <w:qFormat/>
    <w:uiPriority w:val="0"/>
    <w:pPr>
      <w:ind w:left="1680"/>
      <w:jc w:val="left"/>
    </w:pPr>
    <w:rPr>
      <w:sz w:val="18"/>
      <w:szCs w:val="18"/>
    </w:rPr>
  </w:style>
  <w:style w:type="paragraph" w:styleId="13">
    <w:name w:val="Body Text Indent 2"/>
    <w:basedOn w:val="1"/>
    <w:qFormat/>
    <w:uiPriority w:val="0"/>
    <w:pPr>
      <w:spacing w:after="120" w:line="480" w:lineRule="auto"/>
      <w:ind w:left="420" w:leftChars="200"/>
    </w:p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qFormat/>
    <w:uiPriority w:val="39"/>
    <w:pPr>
      <w:tabs>
        <w:tab w:val="right" w:leader="dot" w:pos="9061"/>
      </w:tabs>
      <w:ind w:firstLine="480"/>
      <w:jc w:val="left"/>
    </w:pPr>
    <w:rPr>
      <w:rFonts w:ascii="黑体" w:hAnsi="宋体" w:eastAsia="黑体"/>
      <w:bCs/>
      <w:caps/>
    </w:rPr>
  </w:style>
  <w:style w:type="paragraph" w:styleId="18">
    <w:name w:val="toc 4"/>
    <w:basedOn w:val="1"/>
    <w:next w:val="1"/>
    <w:autoRedefine/>
    <w:semiHidden/>
    <w:qFormat/>
    <w:uiPriority w:val="0"/>
    <w:pPr>
      <w:ind w:left="720"/>
      <w:jc w:val="left"/>
    </w:pPr>
    <w:rPr>
      <w:sz w:val="18"/>
      <w:szCs w:val="18"/>
    </w:rPr>
  </w:style>
  <w:style w:type="paragraph" w:styleId="19">
    <w:name w:val="List"/>
    <w:basedOn w:val="1"/>
    <w:qFormat/>
    <w:uiPriority w:val="0"/>
    <w:pPr>
      <w:ind w:left="200" w:hanging="200" w:hangingChars="200"/>
      <w:jc w:val="center"/>
    </w:pPr>
    <w:rPr>
      <w:sz w:val="21"/>
    </w:rPr>
  </w:style>
  <w:style w:type="paragraph" w:styleId="20">
    <w:name w:val="toc 6"/>
    <w:basedOn w:val="1"/>
    <w:next w:val="1"/>
    <w:autoRedefine/>
    <w:semiHidden/>
    <w:qFormat/>
    <w:uiPriority w:val="0"/>
    <w:pPr>
      <w:ind w:left="1200"/>
      <w:jc w:val="left"/>
    </w:pPr>
    <w:rPr>
      <w:sz w:val="18"/>
      <w:szCs w:val="18"/>
    </w:rPr>
  </w:style>
  <w:style w:type="paragraph" w:styleId="21">
    <w:name w:val="toc 2"/>
    <w:basedOn w:val="1"/>
    <w:next w:val="1"/>
    <w:autoRedefine/>
    <w:qFormat/>
    <w:uiPriority w:val="39"/>
    <w:pPr>
      <w:ind w:firstLine="480"/>
      <w:jc w:val="left"/>
    </w:pPr>
    <w:rPr>
      <w:rFonts w:ascii="黑体" w:eastAsia="黑体"/>
      <w:smallCaps/>
    </w:rPr>
  </w:style>
  <w:style w:type="paragraph" w:styleId="22">
    <w:name w:val="toc 9"/>
    <w:basedOn w:val="1"/>
    <w:next w:val="1"/>
    <w:autoRedefine/>
    <w:semiHidden/>
    <w:qFormat/>
    <w:uiPriority w:val="0"/>
    <w:pPr>
      <w:ind w:left="1920"/>
      <w:jc w:val="left"/>
    </w:pPr>
    <w:rPr>
      <w:sz w:val="18"/>
      <w:szCs w:val="18"/>
    </w:rPr>
  </w:style>
  <w:style w:type="paragraph" w:styleId="23">
    <w:name w:val="Normal (Web)"/>
    <w:basedOn w:val="1"/>
    <w:unhideWhenUsed/>
    <w:qFormat/>
    <w:uiPriority w:val="99"/>
    <w:pPr>
      <w:widowControl/>
      <w:spacing w:before="100" w:beforeAutospacing="1" w:after="100" w:afterAutospacing="1" w:line="240" w:lineRule="auto"/>
      <w:ind w:firstLine="0" w:firstLineChars="0"/>
      <w:jc w:val="left"/>
    </w:pPr>
    <w:rPr>
      <w:rFonts w:eastAsia="Times New Roman"/>
      <w:kern w:val="0"/>
    </w:rPr>
  </w:style>
  <w:style w:type="paragraph" w:styleId="24">
    <w:name w:val="Title"/>
    <w:basedOn w:val="1"/>
    <w:qFormat/>
    <w:uiPriority w:val="0"/>
    <w:pPr>
      <w:spacing w:before="240" w:after="60"/>
      <w:ind w:firstLine="0" w:firstLineChars="0"/>
      <w:jc w:val="center"/>
      <w:outlineLvl w:val="0"/>
    </w:pPr>
    <w:rPr>
      <w:rFonts w:ascii="Arial" w:hAnsi="Arial" w:eastAsia="黑体" w:cs="Arial"/>
      <w:b/>
      <w:bCs/>
      <w:sz w:val="36"/>
      <w:szCs w:val="32"/>
    </w:rPr>
  </w:style>
  <w:style w:type="paragraph" w:styleId="25">
    <w:name w:val="annotation subject"/>
    <w:basedOn w:val="7"/>
    <w:next w:val="7"/>
    <w:link w:val="36"/>
    <w:qFormat/>
    <w:uiPriority w:val="0"/>
    <w:rPr>
      <w:b/>
      <w:bCs/>
    </w:rPr>
  </w:style>
  <w:style w:type="table" w:styleId="27">
    <w:name w:val="Table Grid"/>
    <w:basedOn w:val="26"/>
    <w:qFormat/>
    <w:uiPriority w:val="0"/>
    <w:pPr>
      <w:widowControl w:val="0"/>
      <w:spacing w:line="30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qFormat/>
    <w:uiPriority w:val="0"/>
  </w:style>
  <w:style w:type="character" w:styleId="30">
    <w:name w:val="Hyperlink"/>
    <w:qFormat/>
    <w:uiPriority w:val="99"/>
    <w:rPr>
      <w:color w:val="0000FF"/>
      <w:u w:val="single"/>
    </w:rPr>
  </w:style>
  <w:style w:type="character" w:styleId="31">
    <w:name w:val="annotation reference"/>
    <w:qFormat/>
    <w:uiPriority w:val="0"/>
    <w:rPr>
      <w:sz w:val="16"/>
      <w:szCs w:val="16"/>
    </w:rPr>
  </w:style>
  <w:style w:type="character" w:customStyle="1" w:styleId="32">
    <w:name w:val="样式 (中文) 黑体 小四"/>
    <w:qFormat/>
    <w:uiPriority w:val="0"/>
    <w:rPr>
      <w:rFonts w:ascii="Arial" w:hAnsi="Arial" w:eastAsia="黑体"/>
      <w:sz w:val="36"/>
      <w:szCs w:val="36"/>
    </w:rPr>
  </w:style>
  <w:style w:type="character" w:customStyle="1" w:styleId="33">
    <w:name w:val="Body Text Char"/>
    <w:link w:val="8"/>
    <w:qFormat/>
    <w:uiPriority w:val="99"/>
    <w:rPr>
      <w:kern w:val="2"/>
      <w:sz w:val="24"/>
      <w:szCs w:val="24"/>
    </w:rPr>
  </w:style>
  <w:style w:type="character" w:customStyle="1" w:styleId="34">
    <w:name w:val="Comment Text Char"/>
    <w:link w:val="7"/>
    <w:qFormat/>
    <w:uiPriority w:val="0"/>
    <w:rPr>
      <w:kern w:val="2"/>
    </w:rPr>
  </w:style>
  <w:style w:type="paragraph" w:styleId="35">
    <w:name w:val="List Paragraph"/>
    <w:basedOn w:val="1"/>
    <w:qFormat/>
    <w:uiPriority w:val="34"/>
    <w:pPr>
      <w:ind w:left="720"/>
    </w:pPr>
  </w:style>
  <w:style w:type="character" w:customStyle="1" w:styleId="36">
    <w:name w:val="Comment Subject Char"/>
    <w:basedOn w:val="34"/>
    <w:link w:val="25"/>
    <w:qFormat/>
    <w:uiPriority w:val="0"/>
    <w:rPr>
      <w:b/>
      <w:bCs/>
      <w:kern w:val="2"/>
    </w:rPr>
  </w:style>
  <w:style w:type="character" w:customStyle="1" w:styleId="37">
    <w:name w:val="tgt"/>
    <w:basedOn w:val="28"/>
    <w:qFormat/>
    <w:uiPriority w:val="0"/>
  </w:style>
  <w:style w:type="character" w:customStyle="1" w:styleId="38">
    <w:name w:val="tgt1"/>
    <w:basedOn w:val="28"/>
    <w:qFormat/>
    <w:uiPriority w:val="0"/>
  </w:style>
  <w:style w:type="character" w:customStyle="1" w:styleId="39">
    <w:name w:val="Heading 2 Char"/>
    <w:basedOn w:val="28"/>
    <w:link w:val="3"/>
    <w:qFormat/>
    <w:uiPriority w:val="9"/>
    <w:rPr>
      <w:rFonts w:ascii="Arial" w:hAnsi="Arial" w:eastAsia="黑体"/>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0F315-DA1D-4457-AF44-4B527F671D4D}">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1872</Words>
  <Characters>2822</Characters>
  <Lines>19</Lines>
  <Paragraphs>5</Paragraphs>
  <TotalTime>5</TotalTime>
  <ScaleCrop>false</ScaleCrop>
  <LinksUpToDate>false</LinksUpToDate>
  <CharactersWithSpaces>2860</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2026-04-27T08:10:00Z</dcterms:created>
  <dc:creator>微软用户</dc:creator>
  <cp:lastModifiedBy>qsy</cp:lastModifiedBy>
  <cp:lastPrinted>2022-03-15T06:54:00Z</cp:lastPrinted>
  <dcterms:modified xsi:type="dcterms:W3CDTF">2026-05-20T06:00:22Z</dcterms:modified>
  <dc:title>西南石油大学研究生学位论文撰写规范</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2022-04-05T12:19:37Z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858ff0dd-37e1-4661-845f-7e97a25582d2</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y fmtid="{D5CDD505-2E9C-101B-9397-08002B2CF9AE}" pid="10" name="KSOTemplateDocerSaveRecord">
    <vt:lpwstr>eyJoZGlkIjoiMzFlZmE5NDMxOGIwNDU4ZThlOWJhYmMzN2RmMmI0NjQiLCJ1c2VySWQiOiIyMTQ2NTQwIn0=</vt:lpwstr>
  </property>
  <property fmtid="{D5CDD505-2E9C-101B-9397-08002B2CF9AE}" pid="11" name="KSOProductBuildVer">
    <vt:lpwstr>2052-12.1.0.26373</vt:lpwstr>
  </property>
  <property fmtid="{D5CDD505-2E9C-101B-9397-08002B2CF9AE}" pid="12" name="ICV">
    <vt:lpwstr>88CFFF268E2C46979F72C205BBA60D5E_12</vt:lpwstr>
  </property>
</Properties>
</file>