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200"/>
        <w:jc w:val="center"/>
      </w:pPr>
      <w:r>
        <w:rPr>
          <w:rFonts w:ascii="Arial" w:hAnsi="Arial"/>
          <w:b/>
          <w:sz w:val="30"/>
        </w:rPr>
        <w:t>UNIVERSIDAD [NOMBRE DE LA UNIVERSIDAD]</w:t>
      </w:r>
    </w:p>
    <w:p>
      <w:pPr>
        <w:spacing w:after="160"/>
        <w:jc w:val="center"/>
      </w:pPr>
      <w:r>
        <w:rPr>
          <w:rFonts w:ascii="Arial" w:hAnsi="Arial"/>
          <w:b/>
          <w:sz w:val="24"/>
        </w:rPr>
        <w:t>FACULTAD DE [NOMBRE DE LA FACULTAD]</w:t>
      </w:r>
    </w:p>
    <w:p>
      <w:pPr>
        <w:spacing w:after="400"/>
        <w:jc w:val="center"/>
      </w:pPr>
      <w:r>
        <w:rPr>
          <w:rFonts w:ascii="Arial" w:hAnsi="Arial"/>
          <w:b/>
          <w:sz w:val="24"/>
        </w:rPr>
        <w:t>CARRERA DE [NOMBRE DE LA CARRERA]</w:t>
      </w:r>
    </w:p>
    <w:p>
      <w:pPr>
        <w:spacing w:after="200"/>
        <w:jc w:val="center"/>
      </w:pPr>
      <w:r>
        <w:rPr>
          <w:rFonts w:ascii="Arial" w:hAnsi="Arial"/>
          <w:b/>
          <w:sz w:val="32"/>
        </w:rPr>
        <w:t>INTELIGENCIA ARTIFICIAL II</w:t>
      </w:r>
    </w:p>
    <w:p>
      <w:pPr>
        <w:spacing w:after="500"/>
        <w:jc w:val="center"/>
      </w:pPr>
      <w:r>
        <w:rPr>
          <w:rFonts w:ascii="Arial" w:hAnsi="Arial"/>
          <w:b/>
          <w:sz w:val="26"/>
        </w:rPr>
        <w:t>EXAMEN PARCIAL</w:t>
      </w:r>
    </w:p>
    <w:p>
      <w:pPr>
        <w:spacing w:after="600"/>
        <w:jc w:val="center"/>
      </w:pPr>
      <w:r>
        <w:rPr>
          <w:rFonts w:ascii="Arial" w:hAnsi="Arial"/>
          <w:b/>
          <w:sz w:val="32"/>
        </w:rPr>
        <w:t>IMPLEMENTACIÓN Y ANÁLISIS COMPARATIVO DE REDES NEURONALES RECURRENTES LSTM Y GRU PARA LA CLASIFICACIÓN DE TENDENCIAS EN SERIES TEMPORALES FINANCIERAS</w:t>
      </w:r>
    </w:p>
    <w:p>
      <w:pPr>
        <w:spacing w:after="160"/>
        <w:jc w:val="center"/>
      </w:pPr>
      <w:r>
        <w:rPr>
          <w:rFonts w:ascii="Arial" w:hAnsi="Arial"/>
          <w:b w:val="0"/>
          <w:sz w:val="24"/>
        </w:rPr>
        <w:t>Estudiante: [NOMBRE COMPLETO]</w:t>
      </w:r>
    </w:p>
    <w:p>
      <w:pPr>
        <w:spacing w:after="160"/>
        <w:jc w:val="center"/>
      </w:pPr>
      <w:r>
        <w:rPr>
          <w:rFonts w:ascii="Arial" w:hAnsi="Arial"/>
          <w:b w:val="0"/>
          <w:sz w:val="24"/>
        </w:rPr>
        <w:t>Docente: [NOMBRE DEL DOCENTE]</w:t>
      </w:r>
    </w:p>
    <w:p>
      <w:pPr>
        <w:spacing w:after="160"/>
        <w:jc w:val="center"/>
      </w:pPr>
      <w:r>
        <w:rPr>
          <w:rFonts w:ascii="Arial" w:hAnsi="Arial"/>
          <w:b w:val="0"/>
          <w:sz w:val="24"/>
        </w:rPr>
        <w:t>Fecha: 30 de agosto de 2026</w:t>
      </w:r>
    </w:p>
    <w:p>
      <w:pPr>
        <w:spacing w:after="160"/>
        <w:jc w:val="center"/>
      </w:pPr>
      <w:r>
        <w:rPr>
          <w:rFonts w:ascii="Arial" w:hAnsi="Arial"/>
          <w:b w:val="0"/>
          <w:sz w:val="24"/>
        </w:rPr>
        <w:t>Repositorio: [ENLACE AL REPOSITORIO]</w:t>
      </w:r>
    </w:p>
    <w:p>
      <w:r>
        <w:br w:type="page"/>
      </w:r>
    </w:p>
    <w:p>
      <w:pPr>
        <w:pStyle w:val="Heading1"/>
      </w:pPr>
      <w:r>
        <w:t>1. INTRODUCCIÓN</w:t>
      </w:r>
    </w:p>
    <w:p>
      <w:r>
        <w:t>Las series temporales financieras constituyen un escenario desafiante para la aplicación de técnicas de Inteligencia Artificial debido a la presencia de volatilidad, ruido, cambios de tendencia y dependencias temporales. En este contexto, las Redes Neuronales Recurrentes (RNN) representan una alternativa apropiada para trabajar con información secuencial, ya que permiten utilizar información histórica para generar predicciones sobre observaciones futuras.</w:t>
      </w:r>
    </w:p>
    <w:p>
      <w:r>
        <w:t>El presente proyecto tiene como objetivo desarrollar y comparar dos arquitecturas de redes neuronales recurrentes: Long Short-Term Memory (LSTM) y Gated Recurrent Unit (GRU). Ambas arquitecturas fueron implementadas utilizando el framework PyTorch, empleando las clases Dataset y DataLoader para organizar y procesar los datos de manera eficiente.</w:t>
      </w:r>
    </w:p>
    <w:p>
      <w:r>
        <w:t>Como dataset se seleccionó una serie temporal financiera correspondiente al comportamiento histórico de una acción. Los datos contienen variables relacionadas con el comportamiento diario del mercado: Open, High, Low, Close y Volume. La elección de este tipo de dataset resulta novedosa y creativa para el proyecto debido a que, en lugar de utilizar un conjunto de datos tradicional de clasificación, se plantea un problema realista de análisis financiero.</w:t>
      </w:r>
    </w:p>
    <w:p>
      <w:r>
        <w:t>El objetivo no consiste en predecir directamente el precio numérico de la acción, sino en resolver un problema de clasificación binaria: determinar si el precio de cierre del día siguiente será superior o inferior al precio de cierre actual.</w:t>
      </w:r>
    </w:p>
    <w:p>
      <w:r>
        <w:t>Para ello, se utiliza una ventana temporal de 10 días anteriores como entrada de la red neuronal. De esta manera, el modelo recibe información histórica y debe aprender patrones temporales que permitan clasificar el comportamiento futuro del precio.</w:t>
      </w:r>
    </w:p>
    <w:p>
      <w:r>
        <w:t>Finalmente, se realiza una comparación experimental entre LSTM y GRU mediante métricas de rendimiento, curvas de aprendizaje y matrices de confusión. Los resultados obtenidos muestran que la arquitectura GRU alcanzó aproximadamente un 57 % de accuracy, superando a la LSTM, que obtuvo aproximadamente un 52 %.</w:t>
      </w:r>
    </w:p>
    <w:p>
      <w:pPr>
        <w:pStyle w:val="Heading1"/>
      </w:pPr>
      <w:r>
        <w:t>2. DESCRIPCIÓN DEL DATASET</w:t>
      </w:r>
    </w:p>
    <w:p>
      <w:r>
        <w:t>El dataset utilizado corresponde a una serie temporal financiera compuesta por registros históricos diarios de una acción.</w:t>
      </w:r>
    </w:p>
    <w:tbl>
      <w:tblPr>
        <w:tblStyle w:val="TableGrid"/>
        <w:tblW w:type="auto" w:w="0"/>
        <w:jc w:val="center"/>
        <w:tblLook w:firstColumn="1" w:firstRow="1" w:lastColumn="0" w:lastRow="0" w:noHBand="0" w:noVBand="1" w:val="04A0"/>
      </w:tblPr>
      <w:tblGrid>
        <w:gridCol w:w="4561"/>
        <w:gridCol w:w="4561"/>
      </w:tblGrid>
      <w:tr>
        <w:tc>
          <w:tcPr>
            <w:tcW w:type="dxa" w:w="4561"/>
          </w:tcPr>
          <w:p>
            <w:r>
              <w:t>Variable</w:t>
            </w:r>
          </w:p>
        </w:tc>
        <w:tc>
          <w:tcPr>
            <w:tcW w:type="dxa" w:w="4561"/>
          </w:tcPr>
          <w:p>
            <w:r>
              <w:t>Descripción</w:t>
            </w:r>
          </w:p>
        </w:tc>
      </w:tr>
      <w:tr>
        <w:tc>
          <w:tcPr>
            <w:tcW w:type="dxa" w:w="4561"/>
          </w:tcPr>
          <w:p>
            <w:r>
              <w:t>Open</w:t>
            </w:r>
          </w:p>
        </w:tc>
        <w:tc>
          <w:tcPr>
            <w:tcW w:type="dxa" w:w="4561"/>
          </w:tcPr>
          <w:p>
            <w:r>
              <w:t>Precio de apertura de la jornada</w:t>
            </w:r>
          </w:p>
        </w:tc>
      </w:tr>
      <w:tr>
        <w:tc>
          <w:tcPr>
            <w:tcW w:type="dxa" w:w="4561"/>
          </w:tcPr>
          <w:p>
            <w:r>
              <w:t>High</w:t>
            </w:r>
          </w:p>
        </w:tc>
        <w:tc>
          <w:tcPr>
            <w:tcW w:type="dxa" w:w="4561"/>
          </w:tcPr>
          <w:p>
            <w:r>
              <w:t>Precio máximo alcanzado durante la jornada</w:t>
            </w:r>
          </w:p>
        </w:tc>
      </w:tr>
      <w:tr>
        <w:tc>
          <w:tcPr>
            <w:tcW w:type="dxa" w:w="4561"/>
          </w:tcPr>
          <w:p>
            <w:r>
              <w:t>Low</w:t>
            </w:r>
          </w:p>
        </w:tc>
        <w:tc>
          <w:tcPr>
            <w:tcW w:type="dxa" w:w="4561"/>
          </w:tcPr>
          <w:p>
            <w:r>
              <w:t>Precio mínimo alcanzado durante la jornada</w:t>
            </w:r>
          </w:p>
        </w:tc>
      </w:tr>
      <w:tr>
        <w:tc>
          <w:tcPr>
            <w:tcW w:type="dxa" w:w="4561"/>
          </w:tcPr>
          <w:p>
            <w:r>
              <w:t>Close</w:t>
            </w:r>
          </w:p>
        </w:tc>
        <w:tc>
          <w:tcPr>
            <w:tcW w:type="dxa" w:w="4561"/>
          </w:tcPr>
          <w:p>
            <w:r>
              <w:t>Precio de cierre de la jornada</w:t>
            </w:r>
          </w:p>
        </w:tc>
      </w:tr>
      <w:tr>
        <w:tc>
          <w:tcPr>
            <w:tcW w:type="dxa" w:w="4561"/>
          </w:tcPr>
          <w:p>
            <w:r>
              <w:t>Volume</w:t>
            </w:r>
          </w:p>
        </w:tc>
        <w:tc>
          <w:tcPr>
            <w:tcW w:type="dxa" w:w="4561"/>
          </w:tcPr>
          <w:p>
            <w:r>
              <w:t>Volumen de operaciones realizadas</w:t>
            </w:r>
          </w:p>
        </w:tc>
      </w:tr>
    </w:tbl>
    <w:p>
      <w:r>
        <w:t>Estas variables permiten representar diferentes características del comportamiento diario del mercado.</w:t>
      </w:r>
    </w:p>
    <w:p>
      <w:r>
        <w:t>El dataset contiene aproximadamente 503 registros, los cuales fueron organizados respetando el orden temporal de las observaciones.</w:t>
      </w:r>
    </w:p>
    <w:p>
      <w:r>
        <w:t>Una característica importante del conjunto de datos es que no se trata de un problema de clasificación convencional. La variable objetivo fue construida específicamente para transformar la información financiera en un problema de clasificación binaria.</w:t>
      </w:r>
    </w:p>
    <w:p>
      <w:pPr>
        <w:pStyle w:val="Heading2"/>
      </w:pPr>
      <w:r>
        <w:t>2.1. Definición de la variable objetivo</w:t>
      </w:r>
    </w:p>
    <w:p>
      <w:r>
        <w:t>La variable objetivo se construyó comparando el precio de cierre actual con el precio de cierre del día siguiente.</w:t>
      </w:r>
    </w:p>
    <w:p>
      <w:pPr>
        <w:pStyle w:val="ListBullet"/>
      </w:pPr>
      <w:r>
        <w:t>Clase 1 — Sube: el precio de cierre del día siguiente es superior al precio de cierre actual.</w:t>
      </w:r>
    </w:p>
    <w:p>
      <w:pPr>
        <w:pStyle w:val="ListBullet"/>
      </w:pPr>
      <w:r>
        <w:t>Clase 0 — Baja: el precio de cierre del día siguiente es menor o igual al precio de cierre actual.</w:t>
      </w:r>
    </w:p>
    <w:p>
      <w:r>
        <w:t>Formalmente:</w:t>
      </w:r>
    </w:p>
    <w:p>
      <w:pPr>
        <w:jc w:val="center"/>
      </w:pPr>
      <w:r>
        <w:rPr>
          <w:b/>
        </w:rPr>
        <w:t>Target = 1, si Close(t+1) &gt; Close(t)</w:t>
      </w:r>
    </w:p>
    <w:p>
      <w:pPr>
        <w:jc w:val="center"/>
      </w:pPr>
      <w:r>
        <w:rPr>
          <w:b/>
        </w:rPr>
        <w:t>Target = 0, en caso contrario</w:t>
      </w:r>
    </w:p>
    <w:p>
      <w:r>
        <w:t>Esta transformación permite utilizar métricas propias de clasificación, como accuracy, precision, recall, F1-score y matriz de confusión.</w:t>
      </w:r>
    </w:p>
    <w:p>
      <w:pPr>
        <w:pStyle w:val="Heading1"/>
      </w:pPr>
      <w:r>
        <w:t>3. METODOLOGÍA</w:t>
      </w:r>
    </w:p>
    <w:p>
      <w:pPr>
        <w:pStyle w:val="Heading2"/>
      </w:pPr>
      <w:r>
        <w:t>3.1. Preprocesamiento de los datos</w:t>
      </w:r>
    </w:p>
    <w:p>
      <w:r>
        <w:t>Antes del entrenamiento de las redes neuronales fue necesario realizar un proceso de preparación de los datos.</w:t>
      </w:r>
    </w:p>
    <w:p>
      <w:r>
        <w:t>En primer lugar, los registros fueron organizados cronológicamente para preservar la naturaleza temporal del dataset. Posteriormente, se realizó el tratamiento de los valores faltantes mediante interpolación lineal, evitando eliminar innecesariamente observaciones de la serie.</w:t>
      </w:r>
    </w:p>
    <w:p>
      <w:r>
        <w:t>Una vez realizada la limpieza, se aplicó MinMaxScaler para normalizar las variables numéricas.</w:t>
      </w:r>
    </w:p>
    <w:p>
      <w:r>
        <w:t>La normalización permite transformar los valores a un rango comparable, evitando que variables con magnitudes elevadas, como Volume, tengan una influencia desproporcionada durante el entrenamiento.</w:t>
      </w:r>
    </w:p>
    <w:p>
      <w:pPr>
        <w:jc w:val="center"/>
      </w:pPr>
      <w:r>
        <w:rPr>
          <w:b/>
        </w:rPr>
        <w:t>x' = (x - xmin) / (xmax - xmin)</w:t>
      </w:r>
    </w:p>
    <w:p>
      <w:r>
        <w:t>De esta manera, los valores quedan aproximadamente dentro del intervalo [0, 1].</w:t>
      </w:r>
    </w:p>
    <w:p>
      <w:pPr>
        <w:pStyle w:val="Heading2"/>
      </w:pPr>
      <w:r>
        <w:t>3.2. Windowing temporal</w:t>
      </w:r>
    </w:p>
    <w:p>
      <w:r>
        <w:t>Una de las partes fundamentales del proyecto fue la transformación de la serie temporal mediante una técnica denominada windowing.</w:t>
      </w:r>
    </w:p>
    <w:p>
      <w:r>
        <w:t>Se estableció una ventana de 10 días históricos.</w:t>
      </w:r>
    </w:p>
    <w:p>
      <w:r>
        <w:t>Esto significa que para realizar una predicción, el modelo recibe como entrada la información correspondiente a los 10 días anteriores:</w:t>
      </w:r>
    </w:p>
    <w:p>
      <w:pPr>
        <w:spacing w:after="100"/>
        <w:jc w:val="center"/>
      </w:pPr>
      <w:r>
        <w:rPr>
          <w:rFonts w:ascii="Arial" w:hAnsi="Arial"/>
          <w:b/>
          <w:sz w:val="22"/>
        </w:rPr>
        <w:t>Día 1 → Día 2 → ... → Día 10</w:t>
      </w:r>
    </w:p>
    <w:p>
      <w:r>
        <w:t>y utiliza esta secuencia para predecir la clase correspondiente al día siguiente:</w:t>
      </w:r>
    </w:p>
    <w:p>
      <w:pPr>
        <w:spacing w:after="160"/>
        <w:jc w:val="center"/>
      </w:pPr>
      <w:r>
        <w:rPr>
          <w:rFonts w:ascii="Arial" w:hAnsi="Arial"/>
          <w:b/>
          <w:sz w:val="22"/>
        </w:rPr>
        <w:t>Día 11 → Sube / Baja</w:t>
      </w:r>
    </w:p>
    <w:p>
      <w:r>
        <w:t>Por lo tanto, cada muestra posee una estructura tridimensional compatible con las redes recurrentes:</w:t>
      </w:r>
    </w:p>
    <w:p>
      <w:pPr>
        <w:spacing w:after="100"/>
        <w:jc w:val="center"/>
      </w:pPr>
      <w:r>
        <w:rPr>
          <w:rFonts w:ascii="Arial" w:hAnsi="Arial"/>
          <w:b/>
          <w:sz w:val="22"/>
        </w:rPr>
        <w:t>[número de muestras, longitud de secuencia, número de características]</w:t>
      </w:r>
    </w:p>
    <w:p>
      <w:r>
        <w:t>En este proyecto:</w:t>
      </w:r>
    </w:p>
    <w:p>
      <w:pPr>
        <w:pStyle w:val="ListBullet"/>
      </w:pPr>
      <w:r>
        <w:t>Longitud de secuencia = 10 días</w:t>
      </w:r>
    </w:p>
    <w:p>
      <w:pPr>
        <w:pStyle w:val="ListBullet"/>
      </w:pPr>
      <w:r>
        <w:t>Número de características = 5</w:t>
      </w:r>
    </w:p>
    <w:p>
      <w:pPr>
        <w:pStyle w:val="ListBullet"/>
      </w:pPr>
      <w:r>
        <w:t>Clases de salida = 2</w:t>
      </w:r>
    </w:p>
    <w:p>
      <w:r>
        <w:t>El windowing permite que LSTM y GRU procesen la información como una secuencia, en lugar de considerar cada registro diario como una observación independiente.</w:t>
      </w:r>
    </w:p>
    <w:p>
      <w:pPr>
        <w:pStyle w:val="Heading2"/>
      </w:pPr>
      <w:r>
        <w:t>3.3. División de los datos</w:t>
      </w:r>
    </w:p>
    <w:p>
      <w:r>
        <w:t>Los datos fueron separados en conjuntos destinados al entrenamiento y evaluación del modelo.</w:t>
      </w:r>
    </w:p>
    <w:p>
      <w:r>
        <w:t>Debido a que se trabaja con una serie temporal, es importante conservar el orden cronológico y evitar una mezcla aleatoria que pudiera provocar que información del futuro termine siendo utilizada indirectamente durante el entrenamiento.</w:t>
      </w:r>
    </w:p>
    <w:p>
      <w:r>
        <w:t>El conjunto de entrenamiento se utiliza para ajustar los parámetros de las redes neuronales, mientras que el conjunto de prueba permite evaluar su capacidad de generalización sobre datos no utilizados durante el aprendizaje.</w:t>
      </w:r>
    </w:p>
    <w:p>
      <w:pPr>
        <w:pStyle w:val="Heading1"/>
      </w:pPr>
      <w:r>
        <w:t>4. IMPLEMENTACIÓN EN PYTORCH</w:t>
      </w:r>
    </w:p>
    <w:p>
      <w:r>
        <w:t>La implementación fue desarrollada utilizando PyTorch, framework especializado en aprendizaje profundo.</w:t>
      </w:r>
    </w:p>
    <w:p>
      <w:pPr>
        <w:pStyle w:val="Heading2"/>
      </w:pPr>
      <w:r>
        <w:t>4.1. Dataset</w:t>
      </w:r>
    </w:p>
    <w:p>
      <w:r>
        <w:t>La clase Dataset permite encapsular las secuencias temporales y sus respectivas etiquetas, facilitando el acceso individual a cada muestra.</w:t>
      </w:r>
    </w:p>
    <w:p>
      <w:r>
        <w:t>Cada elemento del dataset contiene:</w:t>
      </w:r>
    </w:p>
    <w:p>
      <w:pPr>
        <w:pStyle w:val="ListBullet"/>
      </w:pPr>
      <w:r>
        <w:t>Una secuencia de 10 días.</w:t>
      </w:r>
    </w:p>
    <w:p>
      <w:pPr>
        <w:pStyle w:val="ListBullet"/>
      </w:pPr>
      <w:r>
        <w:t>Las 5 características financieras de cada día.</w:t>
      </w:r>
    </w:p>
    <w:p>
      <w:pPr>
        <w:pStyle w:val="ListBullet"/>
      </w:pPr>
      <w:r>
        <w:t>La etiqueta correspondiente a la clasificación futura.</w:t>
      </w:r>
    </w:p>
    <w:p>
      <w:pPr>
        <w:pStyle w:val="Heading2"/>
      </w:pPr>
      <w:r>
        <w:t>4.2. DataLoader</w:t>
      </w:r>
    </w:p>
    <w:p>
      <w:r>
        <w:t>La clase DataLoader permite cargar los datos en lotes o batches, facilitando el entrenamiento de las redes neuronales.</w:t>
      </w:r>
    </w:p>
    <w:p>
      <w:r>
        <w:t>El uso de DataLoader permite:</w:t>
      </w:r>
    </w:p>
    <w:p>
      <w:pPr>
        <w:pStyle w:val="ListBullet"/>
      </w:pPr>
      <w:r>
        <w:t>Procesar múltiples secuencias simultáneamente.</w:t>
      </w:r>
    </w:p>
    <w:p>
      <w:pPr>
        <w:pStyle w:val="ListBullet"/>
      </w:pPr>
      <w:r>
        <w:t>Reducir el costo computacional del entrenamiento.</w:t>
      </w:r>
    </w:p>
    <w:p>
      <w:pPr>
        <w:pStyle w:val="ListBullet"/>
      </w:pPr>
      <w:r>
        <w:t>Organizar eficientemente las muestras.</w:t>
      </w:r>
    </w:p>
    <w:p>
      <w:pPr>
        <w:pStyle w:val="ListBullet"/>
      </w:pPr>
      <w:r>
        <w:t>Facilitar el proceso iterativo de entrenamiento.</w:t>
      </w:r>
    </w:p>
    <w:p>
      <w:pPr>
        <w:pStyle w:val="Heading1"/>
      </w:pPr>
      <w:r>
        <w:t>5. ARQUITECTURA DE LOS MODELOS</w:t>
      </w:r>
    </w:p>
    <w:p>
      <w:r>
        <w:t>Se implementaron dos arquitecturas de redes neuronales recurrentes: LSTM y GRU.</w:t>
      </w:r>
    </w:p>
    <w:p>
      <w:r>
        <w:t>El objetivo de la comparación es determinar cuál de las dos arquitecturas consigue aprender de manera más efectiva los patrones temporales presentes en el dataset financiero.</w:t>
      </w:r>
    </w:p>
    <w:p>
      <w:pPr>
        <w:pStyle w:val="Heading2"/>
      </w:pPr>
      <w:r>
        <w:t>5.1. Modelo LSTM</w:t>
      </w:r>
    </w:p>
    <w:p>
      <w:r>
        <w:t>La arquitectura Long Short-Term Memory (LSTM) fue diseñada para solucionar algunas limitaciones de las RNN tradicionales relacionadas con la conservación de información a largo plazo.</w:t>
      </w:r>
    </w:p>
    <w:p>
      <w:r>
        <w:t>Una celda LSTM utiliza diferentes mecanismos de compuertas para controlar la información que debe conservarse, actualizarse o descartarse.</w:t>
      </w:r>
    </w:p>
    <w:p>
      <w:r>
        <w:t>Entre sus principales componentes se encuentran:</w:t>
      </w:r>
    </w:p>
    <w:p>
      <w:pPr>
        <w:pStyle w:val="ListBullet"/>
      </w:pPr>
      <w:r>
        <w:t>Compuerta de entrada.</w:t>
      </w:r>
    </w:p>
    <w:p>
      <w:pPr>
        <w:pStyle w:val="ListBullet"/>
      </w:pPr>
      <w:r>
        <w:t>Compuerta de olvido.</w:t>
      </w:r>
    </w:p>
    <w:p>
      <w:pPr>
        <w:pStyle w:val="ListBullet"/>
      </w:pPr>
      <w:r>
        <w:t>Compuerta de salida.</w:t>
      </w:r>
    </w:p>
    <w:p>
      <w:pPr>
        <w:pStyle w:val="ListBullet"/>
      </w:pPr>
      <w:r>
        <w:t>Estado de memoria.</w:t>
      </w:r>
    </w:p>
    <w:p>
      <w:r>
        <w:t>En el proyecto, la LSTM recibe una secuencia de 10 días y procesa las características financieras de cada instante temporal.</w:t>
      </w:r>
    </w:p>
    <w:p>
      <w:r>
        <w:t>La salida final de la red se conecta con una capa totalmente conectada encargada de realizar la clasificación binaria.</w:t>
      </w:r>
    </w:p>
    <w:p>
      <w:pPr>
        <w:pStyle w:val="Heading2"/>
      </w:pPr>
      <w:r>
        <w:t>5.2. Modelo GRU</w:t>
      </w:r>
    </w:p>
    <w:p>
      <w:r>
        <w:t>La arquitectura Gated Recurrent Unit (GRU) también está diseñada para trabajar con dependencias temporales, pero presenta una estructura más sencilla que LSTM.</w:t>
      </w:r>
    </w:p>
    <w:p>
      <w:r>
        <w:t>La GRU utiliza principalmente:</w:t>
      </w:r>
    </w:p>
    <w:p>
      <w:pPr>
        <w:pStyle w:val="ListBullet"/>
      </w:pPr>
      <w:r>
        <w:t>Compuerta de actualización.</w:t>
      </w:r>
    </w:p>
    <w:p>
      <w:pPr>
        <w:pStyle w:val="ListBullet"/>
      </w:pPr>
      <w:r>
        <w:t>Compuerta de reinicio.</w:t>
      </w:r>
    </w:p>
    <w:p>
      <w:r>
        <w:t>Al contar con una estructura más compacta, una GRU puede utilizar menos parámetros que una LSTM equivalente.</w:t>
      </w:r>
    </w:p>
    <w:p>
      <w:r>
        <w:t>En este proyecto, la GRU procesa la misma ventana temporal de 10 días y las mismas características financieras utilizadas por la LSTM.</w:t>
      </w:r>
    </w:p>
    <w:p>
      <w:r>
        <w:t>Esto permite realizar una comparación más justa entre ambas arquitecturas.</w:t>
      </w:r>
    </w:p>
    <w:p>
      <w:pPr>
        <w:pStyle w:val="Heading1"/>
      </w:pPr>
      <w:r>
        <w:t>6. OPTIMIZACIÓN Y REGULARIZACIÓN</w:t>
      </w:r>
    </w:p>
    <w:p>
      <w:r>
        <w:t>Para el entrenamiento de ambos modelos se utilizó el optimizador Adam, ampliamente empleado en redes neuronales debido a su capacidad para adaptar dinámicamente la tasa de aprendizaje de los parámetros.</w:t>
      </w:r>
    </w:p>
    <w:p>
      <w:r>
        <w:t>La función de pérdida utilizada fue CrossEntropyLoss, apropiada para el problema de clasificación planteado.</w:t>
      </w:r>
    </w:p>
    <w:p>
      <w:r>
        <w:t>Además, se incorporaron técnicas de regularización para reducir el riesgo de sobreajuste.</w:t>
      </w:r>
    </w:p>
    <w:p>
      <w:pPr>
        <w:pStyle w:val="Heading2"/>
      </w:pPr>
      <w:r>
        <w:t>6.1. Regularización L2</w:t>
      </w:r>
    </w:p>
    <w:p>
      <w:r>
        <w:t>Se utilizó Weight Decay como mecanismo de regularización L2.</w:t>
      </w:r>
    </w:p>
    <w:p>
      <w:r>
        <w:t>En la configuración experimental se utilizó un valor de:</w:t>
      </w:r>
    </w:p>
    <w:p>
      <w:pPr>
        <w:spacing w:after="160"/>
        <w:jc w:val="center"/>
      </w:pPr>
      <w:r>
        <w:rPr>
          <w:rFonts w:ascii="Arial" w:hAnsi="Arial"/>
          <w:b/>
          <w:sz w:val="22"/>
        </w:rPr>
        <w:t>Weight Decay = 1e-5</w:t>
      </w:r>
    </w:p>
    <w:p>
      <w:r>
        <w:t>Esta técnica penaliza valores excesivamente grandes en los pesos de la red, favoreciendo modelos con una mayor capacidad de generalización.</w:t>
      </w:r>
    </w:p>
    <w:p>
      <w:pPr>
        <w:pStyle w:val="Heading2"/>
      </w:pPr>
      <w:r>
        <w:t>6.2. Dropout</w:t>
      </w:r>
    </w:p>
    <w:p>
      <w:r>
        <w:t>También se incorporó Dropout, técnica que desactiva aleatoriamente una proporción de las unidades durante el entrenamiento.</w:t>
      </w:r>
    </w:p>
    <w:p>
      <w:r>
        <w:t>Su finalidad es evitar que la red dependa excesivamente de determinadas neuronas y reducir el riesgo de sobreajuste.</w:t>
      </w:r>
    </w:p>
    <w:p>
      <w:r>
        <w:t>La combinación de Dropout y Weight Decay permite mejorar la capacidad de generalización de los modelos, especialmente considerando que el dataset utilizado posee un número relativamente reducido de observaciones.</w:t>
      </w:r>
    </w:p>
    <w:p>
      <w:pPr>
        <w:pStyle w:val="Heading1"/>
      </w:pPr>
      <w:r>
        <w:t>7. ANÁLISIS DE RESULTADOS</w:t>
      </w:r>
    </w:p>
    <w:p>
      <w:pPr>
        <w:pStyle w:val="Heading2"/>
      </w:pPr>
      <w:r>
        <w:t>7.1. Curvas de pérdida y aprendizaje</w:t>
      </w:r>
    </w:p>
    <w:p>
      <w:pPr>
        <w:spacing w:before="200" w:after="200"/>
        <w:jc w:val="center"/>
      </w:pPr>
      <w:r>
        <w:rPr>
          <w:rFonts w:ascii="Arial" w:hAnsi="Arial"/>
          <w:b/>
          <w:sz w:val="22"/>
        </w:rPr>
        <w:t>[INSERTAR IMAGEN AQUÍ — CURVAS DE LOSS DE LSTM Y GRU]</w:t>
      </w:r>
    </w:p>
    <w:p>
      <w:r>
        <w:t>Las curvas de pérdida permiten observar la evolución del error durante el proceso de entrenamiento.</w:t>
      </w:r>
    </w:p>
    <w:p>
      <w:r>
        <w:t>A través de estas gráficas es posible analizar aspectos como:</w:t>
      </w:r>
    </w:p>
    <w:p>
      <w:pPr>
        <w:pStyle w:val="ListBullet"/>
      </w:pPr>
      <w:r>
        <w:t>Velocidad de convergencia.</w:t>
      </w:r>
    </w:p>
    <w:p>
      <w:pPr>
        <w:pStyle w:val="ListBullet"/>
      </w:pPr>
      <w:r>
        <w:t>Estabilidad del entrenamiento.</w:t>
      </w:r>
    </w:p>
    <w:p>
      <w:pPr>
        <w:pStyle w:val="ListBullet"/>
      </w:pPr>
      <w:r>
        <w:t>Posible presencia de sobreajuste.</w:t>
      </w:r>
    </w:p>
    <w:p>
      <w:pPr>
        <w:pStyle w:val="ListBullet"/>
      </w:pPr>
      <w:r>
        <w:t>Diferencias entre LSTM y GRU.</w:t>
      </w:r>
    </w:p>
    <w:p>
      <w:r>
        <w:t>La comparación de las curvas permite observar el comportamiento de ambas arquitecturas a medida que aumentan las épocas de entrenamiento.</w:t>
      </w:r>
    </w:p>
    <w:p>
      <w:r>
        <w:t>Es importante no analizar únicamente el valor final de la pérdida, sino también la separación entre el comportamiento observado durante entrenamiento y evaluación. Una diferencia creciente entre ambos puede indicar sobreajuste.</w:t>
      </w:r>
    </w:p>
    <w:p>
      <w:pPr>
        <w:pStyle w:val="Heading2"/>
      </w:pPr>
      <w:r>
        <w:t>7.2. Comparación de Accuracy</w:t>
      </w:r>
    </w:p>
    <w:p>
      <w:pPr>
        <w:spacing w:before="200" w:after="200"/>
        <w:jc w:val="center"/>
      </w:pPr>
      <w:r>
        <w:rPr>
          <w:rFonts w:ascii="Arial" w:hAnsi="Arial"/>
          <w:b/>
          <w:sz w:val="22"/>
        </w:rPr>
        <w:t>[INSERTAR IMAGEN AQUÍ — GRÁFICA COMPARATIVA DE ACCURACY]</w:t>
      </w:r>
    </w:p>
    <w:p>
      <w:r>
        <w:t>Los resultados obtenidos muestran una diferencia de rendimiento entre las dos arquitecturas:</w:t>
      </w:r>
    </w:p>
    <w:tbl>
      <w:tblPr>
        <w:tblStyle w:val="TableGrid"/>
        <w:tblW w:type="auto" w:w="0"/>
        <w:jc w:val="center"/>
        <w:tblLook w:firstColumn="1" w:firstRow="1" w:lastColumn="0" w:lastRow="0" w:noHBand="0" w:noVBand="1" w:val="04A0"/>
      </w:tblPr>
      <w:tblGrid>
        <w:gridCol w:w="4561"/>
        <w:gridCol w:w="4561"/>
      </w:tblGrid>
      <w:tr>
        <w:tc>
          <w:tcPr>
            <w:tcW w:type="dxa" w:w="4561"/>
          </w:tcPr>
          <w:p>
            <w:r>
              <w:t>Modelo</w:t>
            </w:r>
          </w:p>
        </w:tc>
        <w:tc>
          <w:tcPr>
            <w:tcW w:type="dxa" w:w="4561"/>
          </w:tcPr>
          <w:p>
            <w:r>
              <w:t>Accuracy aproximada</w:t>
            </w:r>
          </w:p>
        </w:tc>
      </w:tr>
      <w:tr>
        <w:tc>
          <w:tcPr>
            <w:tcW w:type="dxa" w:w="4561"/>
          </w:tcPr>
          <w:p>
            <w:r>
              <w:t>LSTM</w:t>
            </w:r>
          </w:p>
        </w:tc>
        <w:tc>
          <w:tcPr>
            <w:tcW w:type="dxa" w:w="4561"/>
          </w:tcPr>
          <w:p>
            <w:r>
              <w:t>52 %</w:t>
            </w:r>
          </w:p>
        </w:tc>
      </w:tr>
      <w:tr>
        <w:tc>
          <w:tcPr>
            <w:tcW w:type="dxa" w:w="4561"/>
          </w:tcPr>
          <w:p>
            <w:r>
              <w:t>GRU</w:t>
            </w:r>
          </w:p>
        </w:tc>
        <w:tc>
          <w:tcPr>
            <w:tcW w:type="dxa" w:w="4561"/>
          </w:tcPr>
          <w:p>
            <w:r>
              <w:t>57 %</w:t>
            </w:r>
          </w:p>
        </w:tc>
      </w:tr>
    </w:tbl>
    <w:p>
      <w:r>
        <w:t>La GRU obtuvo el mejor desempeño, alcanzando aproximadamente un 57 % de accuracy, mientras que la LSTM alcanzó aproximadamente un 52 %.</w:t>
      </w:r>
    </w:p>
    <w:p>
      <w:r>
        <w:t>Aunque la diferencia no es extremadamente elevada, representa una ventaja para la GRU dentro del experimento realizado.</w:t>
      </w:r>
    </w:p>
    <w:p>
      <w:r>
        <w:t>Una posible explicación es que la GRU posee una arquitectura más sencilla y utiliza menos parámetros que una LSTM equivalente. En un dataset relativamente pequeño, esta característica puede favorecer la generalización y reducir el riesgo de sobreajuste.</w:t>
      </w:r>
    </w:p>
    <w:p>
      <w:r>
        <w:t>Sin embargo, esta conclusión debe limitarse al dataset y configuración experimental utilizados, ya que no significa que GRU sea siempre superior a LSTM.</w:t>
      </w:r>
    </w:p>
    <w:p>
      <w:pPr>
        <w:pStyle w:val="Heading1"/>
      </w:pPr>
      <w:r>
        <w:t>8. MATRICES DE CONFUSIÓN</w:t>
      </w:r>
    </w:p>
    <w:p>
      <w:pPr>
        <w:pStyle w:val="Heading2"/>
      </w:pPr>
      <w:r>
        <w:t>8.1. Matriz de Confusión — LSTM</w:t>
      </w:r>
    </w:p>
    <w:p>
      <w:pPr>
        <w:spacing w:before="200" w:after="200"/>
        <w:jc w:val="center"/>
      </w:pPr>
      <w:r>
        <w:rPr>
          <w:rFonts w:ascii="Arial" w:hAnsi="Arial"/>
          <w:b/>
          <w:sz w:val="22"/>
        </w:rPr>
        <w:t>[INSERTAR IMAGEN AQUÍ — MATRIZ DE CONFUSIÓN LSTM]</w:t>
      </w:r>
    </w:p>
    <w:p>
      <w:r>
        <w:t>La matriz de confusión permite analizar con mayor profundidad el comportamiento del clasificador.</w:t>
      </w:r>
    </w:p>
    <w:p>
      <w:r>
        <w:t>A diferencia del accuracy, que proporciona una medida global del rendimiento, la matriz permite observar cuántas muestras fueron clasificadas correctamente y cuántas fueron confundidas entre las clases Sube y Baja.</w:t>
      </w:r>
    </w:p>
    <w:p>
      <w:r>
        <w:t>Los cuatro resultados principales son:</w:t>
      </w:r>
    </w:p>
    <w:p>
      <w:pPr>
        <w:pStyle w:val="ListBullet"/>
      </w:pPr>
      <w:r>
        <w:t>Verdaderos positivos.</w:t>
      </w:r>
    </w:p>
    <w:p>
      <w:pPr>
        <w:pStyle w:val="ListBullet"/>
      </w:pPr>
      <w:r>
        <w:t>Verdaderos negativos.</w:t>
      </w:r>
    </w:p>
    <w:p>
      <w:pPr>
        <w:pStyle w:val="ListBullet"/>
      </w:pPr>
      <w:r>
        <w:t>Falsos positivos.</w:t>
      </w:r>
    </w:p>
    <w:p>
      <w:pPr>
        <w:pStyle w:val="ListBullet"/>
      </w:pPr>
      <w:r>
        <w:t>Falsos negativos.</w:t>
      </w:r>
    </w:p>
    <w:p>
      <w:r>
        <w:t>Este análisis es particularmente importante en el presente proyecto porque permite determinar si el modelo presenta algún comportamiento sesgado hacia una determinada clase.</w:t>
      </w:r>
    </w:p>
    <w:p>
      <w:pPr>
        <w:pStyle w:val="Heading2"/>
      </w:pPr>
      <w:r>
        <w:t>8.2. Matriz de Confusión — GRU</w:t>
      </w:r>
    </w:p>
    <w:p>
      <w:pPr>
        <w:spacing w:before="200" w:after="200"/>
        <w:jc w:val="center"/>
      </w:pPr>
      <w:r>
        <w:rPr>
          <w:rFonts w:ascii="Arial" w:hAnsi="Arial"/>
          <w:b/>
          <w:sz w:val="22"/>
        </w:rPr>
        <w:t>[INSERTAR IMAGEN AQUÍ — MATRIZ DE CONFUSIÓN GRU]</w:t>
      </w:r>
    </w:p>
    <w:p>
      <w:r>
        <w:t>La matriz de confusión correspondiente a la GRU permite complementar el análisis de su accuracy.</w:t>
      </w:r>
    </w:p>
    <w:p>
      <w:r>
        <w:t>En los resultados experimentales se observa un sesgo hacia la predicción de la clase “Sube”.</w:t>
      </w:r>
    </w:p>
    <w:p>
      <w:r>
        <w:t>Este comportamiento constituye un hallazgo importante porque demuestra que el rendimiento global del modelo no debe analizarse únicamente mediante el accuracy.</w:t>
      </w:r>
    </w:p>
    <w:p>
      <w:r>
        <w:t>Si el modelo predice “Sube” con mayor frecuencia, puede conseguir una precisión global determinada aunque presente dificultades para identificar correctamente los casos correspondientes a la clase “Baja”.</w:t>
      </w:r>
    </w:p>
    <w:p>
      <w:r>
        <w:t>Por este motivo, para una aplicación financiera real sería conveniente complementar el análisis con métricas como:</w:t>
      </w:r>
    </w:p>
    <w:p>
      <w:pPr>
        <w:pStyle w:val="ListBullet"/>
      </w:pPr>
      <w:r>
        <w:t>Precision.</w:t>
      </w:r>
    </w:p>
    <w:p>
      <w:pPr>
        <w:pStyle w:val="ListBullet"/>
      </w:pPr>
      <w:r>
        <w:t>Recall.</w:t>
      </w:r>
    </w:p>
    <w:p>
      <w:pPr>
        <w:pStyle w:val="ListBullet"/>
      </w:pPr>
      <w:r>
        <w:t>F1-score.</w:t>
      </w:r>
    </w:p>
    <w:p>
      <w:pPr>
        <w:pStyle w:val="ListBullet"/>
      </w:pPr>
      <w:r>
        <w:t>Accuracy balanceada.</w:t>
      </w:r>
    </w:p>
    <w:p>
      <w:pPr>
        <w:pStyle w:val="ListBullet"/>
      </w:pPr>
      <w:r>
        <w:t>Distribución de las clases.</w:t>
      </w:r>
    </w:p>
    <w:p>
      <w:r>
        <w:t>Además, podrían incorporarse posteriormente técnicas como balanceo de clases, indicadores técnicos financieros o características adicionales.</w:t>
      </w:r>
    </w:p>
    <w:p>
      <w:pPr>
        <w:pStyle w:val="Heading1"/>
      </w:pPr>
      <w:r>
        <w:t>9. DISCUSIÓN</w:t>
      </w:r>
    </w:p>
    <w:p>
      <w:r>
        <w:t>Los resultados obtenidos permiten establecer que ambas arquitecturas fueron capaces de aprender determinados patrones temporales presentes en los datos financieros, aunque su capacidad predictiva fue limitada.</w:t>
      </w:r>
    </w:p>
    <w:p>
      <w:r>
        <w:t>La GRU alcanzó aproximadamente un 57 % de accuracy, mientras que la LSTM obtuvo aproximadamente un 52 %.</w:t>
      </w:r>
    </w:p>
    <w:p>
      <w:r>
        <w:t>Este resultado es interesante debido a que demuestra que una arquitectura con menor complejidad puede obtener mejores resultados en determinados escenarios, especialmente cuando se trabaja con datasets de tamaño reducido.</w:t>
      </w:r>
    </w:p>
    <w:p>
      <w:r>
        <w:t>No obstante, los valores de accuracy también evidencian la dificultad inherente del problema. Los movimientos diarios de los mercados financieros están influenciados por numerosos factores externos y presentan un comportamiento altamente variable.</w:t>
      </w:r>
    </w:p>
    <w:p>
      <w:r>
        <w:t>Por esta razón, un accuracy cercano al 57 % no debe interpretarse como una capacidad de predicción perfecta ni como una garantía de rentabilidad financiera.</w:t>
      </w:r>
    </w:p>
    <w:p>
      <w:r>
        <w:t>La matriz de confusión aporta información adicional al revelar el sesgo hacia la clase “Sube”. Esto demuestra la importancia de utilizar múltiples métricas para evaluar el comportamiento de un modelo de clasificación.</w:t>
      </w:r>
    </w:p>
    <w:p>
      <w:pPr>
        <w:pStyle w:val="Heading1"/>
      </w:pPr>
      <w:r>
        <w:t>10. CONCLUSIONES TÉCNICAS</w:t>
      </w:r>
    </w:p>
    <w:p>
      <w:pPr>
        <w:pStyle w:val="ListNumber"/>
      </w:pPr>
      <w:r>
        <w:t>Se desarrolló exitosamente un sistema de clasificación binaria basado en series temporales financieras utilizando redes neuronales recurrentes.</w:t>
      </w:r>
    </w:p>
    <w:p>
      <w:pPr>
        <w:pStyle w:val="ListNumber"/>
      </w:pPr>
      <w:r>
        <w:t>El problema original fue transformado en una tarea de clasificación mediante la definición de dos clases: Sube y Baja, utilizando una ventana temporal de 10 días para realizar la predicción del día siguiente.</w:t>
      </w:r>
    </w:p>
    <w:p>
      <w:pPr>
        <w:pStyle w:val="ListNumber"/>
      </w:pPr>
      <w:r>
        <w:t>La utilización de Dataset y DataLoader de PyTorch permitió estructurar las secuencias temporales y facilitar el proceso de entrenamiento de las redes neuronales.</w:t>
      </w:r>
    </w:p>
    <w:p>
      <w:pPr>
        <w:pStyle w:val="ListNumber"/>
      </w:pPr>
      <w:r>
        <w:t>Se implementaron y compararon dos arquitecturas recurrentes: LSTM y GRU, manteniendo las mismas condiciones generales de procesamiento para realizar una comparación experimental.</w:t>
      </w:r>
    </w:p>
    <w:p>
      <w:pPr>
        <w:pStyle w:val="ListNumber"/>
      </w:pPr>
      <w:r>
        <w:t>La arquitectura GRU obtuvo un mejor resultado, alcanzando aproximadamente un 57 % de accuracy frente al aproximadamente 52 % obtenido por LSTM.</w:t>
      </w:r>
    </w:p>
    <w:p>
      <w:pPr>
        <w:pStyle w:val="ListNumber"/>
      </w:pPr>
      <w:r>
        <w:t>El resultado obtenido sugiere que la menor complejidad estructural de GRU puede ser beneficiosa para conjuntos de datos relativamente pequeños, aunque no permite concluir que GRU sea universalmente superior a LSTM.</w:t>
      </w:r>
    </w:p>
    <w:p>
      <w:pPr>
        <w:pStyle w:val="ListNumber"/>
      </w:pPr>
      <w:r>
        <w:t>La utilización de MinMaxScaler, Adam, Dropout y Weight Decay permitió aplicar buenas prácticas de preparación, optimización y regularización durante el entrenamiento.</w:t>
      </w:r>
    </w:p>
    <w:p>
      <w:pPr>
        <w:pStyle w:val="ListNumber"/>
      </w:pPr>
      <w:r>
        <w:t>Las matrices de confusión demostraron la existencia de un sesgo hacia la clase “Sube”, evidenciando la necesidad de analizar el comportamiento de ambas clases y no depender exclusivamente del accuracy.</w:t>
      </w:r>
    </w:p>
    <w:p>
      <w:pPr>
        <w:pStyle w:val="ListNumber"/>
      </w:pPr>
      <w:r>
        <w:t>Como trabajo futuro, sería posible ampliar el dataset, incorporar indicadores técnicos como medias móviles, RSI o MACD, experimentar con diferentes tamaños de ventana y evaluar otras métricas de clasificación.</w:t>
      </w:r>
    </w:p>
    <w:p>
      <w:pPr>
        <w:pStyle w:val="ListNumber"/>
      </w:pPr>
      <w:r>
        <w:t>Finalmente, el proyecto demuestra la utilidad de las arquitecturas LSTM y GRU para el análisis de información secuencial y permite comprender experimentalmente las ventajas y limitaciones de las redes recurrentes aplicadas a un problema financiero.</w:t>
      </w:r>
    </w:p>
    <w:p>
      <w:pPr>
        <w:pStyle w:val="Heading1"/>
      </w:pPr>
      <w:r>
        <w:t>11. TRABAJO FUTURO</w:t>
      </w:r>
    </w:p>
    <w:p>
      <w:pPr>
        <w:pStyle w:val="ListBullet"/>
      </w:pPr>
      <w:r>
        <w:t>Incrementar el número de registros utilizados para el entrenamiento.</w:t>
      </w:r>
    </w:p>
    <w:p>
      <w:pPr>
        <w:pStyle w:val="ListBullet"/>
      </w:pPr>
      <w:r>
        <w:t>Evaluar diferentes ventanas temporales, por ejemplo 5, 20 o 30 días.</w:t>
      </w:r>
    </w:p>
    <w:p>
      <w:pPr>
        <w:pStyle w:val="ListBullet"/>
      </w:pPr>
      <w:r>
        <w:t>Incorporar indicadores técnicos financieros.</w:t>
      </w:r>
    </w:p>
    <w:p>
      <w:pPr>
        <w:pStyle w:val="ListBullet"/>
      </w:pPr>
      <w:r>
        <w:t>Analizar el balance de las clases.</w:t>
      </w:r>
    </w:p>
    <w:p>
      <w:pPr>
        <w:pStyle w:val="ListBullet"/>
      </w:pPr>
      <w:r>
        <w:t>Aplicar técnicas de balanceo cuando sea necesario.</w:t>
      </w:r>
    </w:p>
    <w:p>
      <w:pPr>
        <w:pStyle w:val="ListBullet"/>
      </w:pPr>
      <w:r>
        <w:t>Realizar validación temporal más robusta.</w:t>
      </w:r>
    </w:p>
    <w:p>
      <w:pPr>
        <w:pStyle w:val="ListBullet"/>
      </w:pPr>
      <w:r>
        <w:t>Comparar LSTM y GRU con modelos adicionales.</w:t>
      </w:r>
    </w:p>
    <w:p>
      <w:pPr>
        <w:pStyle w:val="ListBullet"/>
      </w:pPr>
      <w:r>
        <w:t>Evaluar precision, recall y F1-score de manera individual para cada clase.</w:t>
      </w:r>
    </w:p>
    <w:p>
      <w:pPr>
        <w:pStyle w:val="ListBullet"/>
      </w:pPr>
      <w:r>
        <w:t>Experimentar con diferentes tasas de aprendizaje y valores de weight_decay.</w:t>
      </w:r>
    </w:p>
    <w:p>
      <w:pPr>
        <w:pStyle w:val="ListBullet"/>
      </w:pPr>
      <w:r>
        <w:t>Implementar mecanismos de early stopping para controlar el sobreajuste.</w:t>
      </w:r>
    </w:p>
    <w:p>
      <w:pPr>
        <w:pStyle w:val="Heading1"/>
      </w:pPr>
      <w:r>
        <w:t>12. REFERENCIAS</w:t>
      </w:r>
    </w:p>
    <w:p>
      <w:r>
        <w:t>[AGREGAR AQUÍ LAS REFERENCIAS BIBLIOGRÁFICAS UTILIZADAS]</w:t>
      </w:r>
    </w:p>
    <w:p>
      <w:r>
        <w:t>Se recomienda incluir como mínimo referencias relacionadas con:</w:t>
      </w:r>
    </w:p>
    <w:p>
      <w:pPr>
        <w:pStyle w:val="ListBullet"/>
      </w:pPr>
      <w:r>
        <w:t>Redes neuronales recurrentes.</w:t>
      </w:r>
    </w:p>
    <w:p>
      <w:pPr>
        <w:pStyle w:val="ListBullet"/>
      </w:pPr>
      <w:r>
        <w:t>Arquitectura LSTM.</w:t>
      </w:r>
    </w:p>
    <w:p>
      <w:pPr>
        <w:pStyle w:val="ListBullet"/>
      </w:pPr>
      <w:r>
        <w:t>Arquitectura GRU.</w:t>
      </w:r>
    </w:p>
    <w:p>
      <w:pPr>
        <w:pStyle w:val="ListBullet"/>
      </w:pPr>
      <w:r>
        <w:t>PyTorch.</w:t>
      </w:r>
    </w:p>
    <w:p>
      <w:pPr>
        <w:pStyle w:val="ListBullet"/>
      </w:pPr>
      <w:r>
        <w:t>Clasificación de series temporales.</w:t>
      </w:r>
    </w:p>
    <w:p>
      <w:pPr>
        <w:pStyle w:val="ListBullet"/>
      </w:pPr>
      <w:r>
        <w:t>Normalización de datos.</w:t>
      </w:r>
    </w:p>
    <w:p>
      <w:pPr>
        <w:pStyle w:val="ListBullet"/>
      </w:pPr>
      <w:r>
        <w:t>Técnicas de regularización.</w:t>
      </w:r>
    </w:p>
    <w:p>
      <w:pPr>
        <w:pStyle w:val="Heading1"/>
      </w:pPr>
      <w:r>
        <w:t>ANEXOS</w:t>
      </w:r>
    </w:p>
    <w:p>
      <w:pPr>
        <w:pStyle w:val="Heading2"/>
      </w:pPr>
      <w:r>
        <w:t>ANEXO A — Código fuente</w:t>
      </w:r>
    </w:p>
    <w:p>
      <w:r>
        <w:t>[INSERTAR REFERENCIA AL NOTEBOOK O REPOSITORIO]</w:t>
      </w:r>
    </w:p>
    <w:p>
      <w:pPr>
        <w:pStyle w:val="Heading2"/>
      </w:pPr>
      <w:r>
        <w:t>ANEXO B — Curvas de entrenamiento</w:t>
      </w:r>
    </w:p>
    <w:p>
      <w:pPr>
        <w:spacing w:before="200" w:after="200"/>
        <w:jc w:val="center"/>
      </w:pPr>
      <w:r>
        <w:rPr>
          <w:rFonts w:ascii="Arial" w:hAnsi="Arial"/>
          <w:b/>
          <w:sz w:val="22"/>
        </w:rPr>
        <w:t>[INSERTAR IMAGEN AQUÍ]</w:t>
      </w:r>
    </w:p>
    <w:p>
      <w:pPr>
        <w:pStyle w:val="Heading2"/>
      </w:pPr>
      <w:r>
        <w:t>ANEXO C — Matriz de Confusión LSTM</w:t>
      </w:r>
    </w:p>
    <w:p>
      <w:pPr>
        <w:spacing w:before="200" w:after="200"/>
        <w:jc w:val="center"/>
      </w:pPr>
      <w:r>
        <w:rPr>
          <w:rFonts w:ascii="Arial" w:hAnsi="Arial"/>
          <w:b/>
          <w:sz w:val="22"/>
        </w:rPr>
        <w:t>[INSERTAR IMAGEN AQUÍ]</w:t>
      </w:r>
    </w:p>
    <w:p>
      <w:pPr>
        <w:pStyle w:val="Heading2"/>
      </w:pPr>
      <w:r>
        <w:t>ANEXO D — Matriz de Confusión GRU</w:t>
      </w:r>
    </w:p>
    <w:p>
      <w:pPr>
        <w:spacing w:before="200" w:after="200"/>
        <w:jc w:val="center"/>
      </w:pPr>
      <w:r>
        <w:rPr>
          <w:rFonts w:ascii="Arial" w:hAnsi="Arial"/>
          <w:b/>
          <w:sz w:val="22"/>
        </w:rPr>
        <w:t>[INSERTAR IMAGEN AQUÍ]</w:t>
      </w:r>
    </w:p>
    <w:p>
      <w:pPr>
        <w:pStyle w:val="Heading2"/>
      </w:pPr>
      <w:r>
        <w:t>ANEXO E — Comparación de métricas</w:t>
      </w:r>
    </w:p>
    <w:p>
      <w:pPr>
        <w:spacing w:before="200" w:after="200"/>
        <w:jc w:val="center"/>
      </w:pPr>
      <w:r>
        <w:rPr>
          <w:rFonts w:ascii="Arial" w:hAnsi="Arial"/>
          <w:b/>
          <w:sz w:val="22"/>
        </w:rPr>
        <w:t>[INSERTAR IMAGEN AQUÍ]</w:t>
      </w:r>
    </w:p>
    <w:sectPr w:rsidR="00FC693F" w:rsidRPr="0006063C" w:rsidSect="00034616">
      <w:headerReference w:type="default" r:id="rId9"/>
      <w:footerReference w:type="default" r:id="rId10"/>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8"/>
      </w:rPr>
      <w:t>Inteligencia Artificial II — Examen Parcial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