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00" w:hRule="exact"/>
        </w:trPr>
        <w:tc>
          <w:tcPr>
            <w:tcW w:type="dxa" w:w="12240"/>
            <w:tcBorders>
              <w:top w:val="none" w:color="FFFFFF" w:sz="0"/>
              <w:left w:val="none" w:color="FFFFFF" w:sz="0"/>
              <w:bottom w:val="none" w:color="FFFFFF" w:sz="0"/>
              <w:right w:val="none" w:color="FFFFFF" w:sz="0"/>
            </w:tcBorders>
            <w:shd w:fill="16305C" w:val="clear"/>
            <w:tcMar>
              <w:top w:type="dxa" w:w="100"/>
              <w:left w:type="dxa" w:w="100"/>
              <w:bottom w:type="dxa" w:w="100"/>
              <w:right w:type="dxa" w:w="100"/>
            </w:tcMar>
            <w:vAlign w:val="center"/>
          </w:tcPr>
          <w:p>
            <w:pPr>
              <w:spacing w:before="2600"/>
            </w:pPr>
            <w:r>
              <w:t xml:space="preserve"/>
            </w:r>
          </w:p>
          <w:p>
            <w:pPr>
              <w:jc w:val="center"/>
            </w:pPr>
            <w:r>
              <w:drawing>
                <wp:inline distT="0" distB="0" distL="0" distR="0">
                  <wp:extent cx="2476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47700"/>
                          </a:xfrm>
                          <a:prstGeom prst="rect">
                            <a:avLst/>
                          </a:prstGeom>
                        </pic:spPr>
                      </pic:pic>
                    </a:graphicData>
                  </a:graphic>
                </wp:inline>
              </w:drawing>
            </w:r>
          </w:p>
          <w:p>
            <w:pPr>
              <w:spacing w:before="900"/>
              <w:jc w:val="center"/>
            </w:pPr>
            <w:r>
              <w:rPr>
                <w:rFonts w:ascii="Calibri" w:cs="Calibri" w:eastAsia="Calibri" w:hAnsi="Calibri"/>
                <w:b/>
                <w:bCs/>
                <w:color w:val="FFFFFF"/>
                <w:sz w:val="52"/>
                <w:szCs w:val="52"/>
              </w:rPr>
              <w:t xml:space="preserve">TALENTSYNC MANPOWER</w:t>
            </w:r>
          </w:p>
          <w:p>
            <w:pPr>
              <w:spacing w:before="200"/>
              <w:jc w:val="center"/>
            </w:pPr>
            <w:r>
              <w:rPr>
                <w:rFonts w:ascii="Calibri" w:cs="Calibri" w:eastAsia="Calibri" w:hAnsi="Calibri"/>
                <w:b/>
                <w:bCs/>
                <w:color w:val="F07C1D"/>
                <w:sz w:val="26"/>
                <w:szCs w:val="26"/>
              </w:rPr>
              <w:t xml:space="preserve">COMPANY PROFILE</w:t>
            </w:r>
          </w:p>
          <w:p>
            <w:pPr>
              <w:spacing w:before="260"/>
              <w:jc w:val="center"/>
            </w:pPr>
            <w:r>
              <w:rPr>
                <w:rFonts w:ascii="Calibri" w:cs="Calibri" w:eastAsia="Calibri" w:hAnsi="Calibri"/>
                <w:color w:val="C9D6E8"/>
                <w:sz w:val="20"/>
                <w:szCs w:val="20"/>
              </w:rPr>
              <w:t xml:space="preserve">Your Trusted Partner for Skilled Manpower Solutions Across Africa · GCC &amp; Beyond</w:t>
            </w:r>
          </w:p>
          <w:p>
            <w:pPr>
              <w:spacing w:before="700"/>
              <w:jc w:val="center"/>
            </w:pPr>
            <w:r>
              <w:rPr>
                <w:rFonts w:ascii="Calibri" w:cs="Calibri" w:eastAsia="Calibri" w:hAnsi="Calibri"/>
                <w:i/>
                <w:iCs/>
                <w:color w:val="FBA94C"/>
                <w:sz w:val="19"/>
                <w:szCs w:val="19"/>
              </w:rPr>
              <w:t xml:space="preserve">Over 10,000 Manpower Supplied Across 9 Industries</w:t>
            </w:r>
          </w:p>
        </w:tc>
      </w:tr>
    </w:tbl>
    <w:p>
      <w:pPr>
        <w:sectPr>
          <w:pgSz w:w="12240" w:h="15840" w:orient="portrait"/>
          <w:pgMar w:top="0" w:right="0" w:bottom="0" w:left="0" w:header="708" w:footer="708" w:gutter="0"/>
          <w:pgNumType/>
          <w:docGrid w:linePitch="360"/>
        </w:sectPr>
      </w:pPr>
    </w:p>
    <w:p>
      <w:pPr>
        <w:pBdr>
          <w:bottom w:val="single" w:color="F07C1D" w:sz="8" w:space="6"/>
        </w:pBdr>
        <w:spacing w:after="160" w:before="0"/>
      </w:pPr>
      <w:r>
        <w:rPr>
          <w:rFonts w:ascii="Calibri" w:cs="Calibri" w:eastAsia="Calibri" w:hAnsi="Calibri"/>
          <w:b/>
          <w:bCs/>
          <w:color w:val="16305C"/>
          <w:sz w:val="27"/>
          <w:szCs w:val="27"/>
        </w:rPr>
        <w:t xml:space="preserve">ABOUT US</w:t>
      </w:r>
    </w:p>
    <w:p>
      <w:pPr>
        <w:spacing w:after="120" w:line="276"/>
      </w:pPr>
      <w:r>
        <w:rPr>
          <w:rFonts w:ascii="Calibri" w:cs="Calibri" w:eastAsia="Calibri" w:hAnsi="Calibri"/>
          <w:color w:val="26313F"/>
          <w:sz w:val="21"/>
          <w:szCs w:val="21"/>
        </w:rPr>
        <w:t xml:space="preserve">TalentSync Manpower Services is a Fujairah, UAE-based manpower supply and recruitment company specializing in delivering skilled, semi-skilled, and professional workforce solutions to construction, oil &amp; gas, engineering, and industrial sectors across Africa, the GCC, and beyond.</w:t>
      </w:r>
    </w:p>
    <w:p>
      <w:pPr>
        <w:spacing w:after="120" w:line="276"/>
      </w:pPr>
      <w:r>
        <w:rPr>
          <w:rFonts w:ascii="Calibri" w:cs="Calibri" w:eastAsia="Calibri" w:hAnsi="Calibri"/>
          <w:color w:val="26313F"/>
          <w:sz w:val="21"/>
          <w:szCs w:val="21"/>
        </w:rPr>
        <w:t xml:space="preserve">Founded and led by professionals with extensive field experience, TalentSync bridges the gap between talented workers from Pakistan, South Asia, and the Middle East with project-driven clients who demand reliability, speed, and quality. Our team ensures every candidate is vetted, documented, and ready to contribute from day one. To date, we have supplied over 10,000 manpower across nine major industries and 19 target countries.</w:t>
      </w:r>
    </w:p>
    <w:p>
      <w:pPr>
        <w:spacing w:after="200" w:before="16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450"/>
      </w:tblGrid>
      <w:tr>
        <w:tc>
          <w:tcPr>
            <w:tcW w:type="dxa" w:w="2450"/>
            <w:tcBorders>
              <w:top w:val="none" w:color="FFFFFF" w:sz="0"/>
              <w:left w:val="none" w:color="FFFFFF" w:sz="0"/>
              <w:bottom w:val="none" w:color="FFFFFF" w:sz="0"/>
              <w:right w:val="none" w:color="FFFFFF" w:sz="0"/>
            </w:tcBorders>
            <w:shd w:fill="0F2347" w:val="clear"/>
            <w:tcMar>
              <w:top w:type="dxa" w:w="200"/>
              <w:left w:type="dxa" w:w="100"/>
              <w:bottom w:type="dxa" w:w="200"/>
              <w:right w:type="dxa" w:w="100"/>
            </w:tcMar>
            <w:vAlign w:val="center"/>
          </w:tcPr>
          <w:p>
            <w:pPr>
              <w:spacing w:after="20"/>
              <w:jc w:val="center"/>
            </w:pPr>
            <w:r>
              <w:rPr>
                <w:rFonts w:ascii="Calibri" w:cs="Calibri" w:eastAsia="Calibri" w:hAnsi="Calibri"/>
                <w:b/>
                <w:bCs/>
                <w:color w:val="F07C1D"/>
                <w:sz w:val="32"/>
                <w:szCs w:val="32"/>
              </w:rPr>
              <w:t xml:space="preserve">10,000+</w:t>
            </w:r>
          </w:p>
          <w:p>
            <w:pPr>
              <w:jc w:val="center"/>
            </w:pPr>
            <w:r>
              <w:rPr>
                <w:rFonts w:ascii="Calibri" w:cs="Calibri" w:eastAsia="Calibri" w:hAnsi="Calibri"/>
                <w:color w:val="FFFFFF"/>
                <w:sz w:val="17"/>
                <w:szCs w:val="17"/>
              </w:rPr>
              <w:t xml:space="preserve">Manpower Supplied</w:t>
            </w:r>
          </w:p>
        </w:tc>
        <w:tc>
          <w:tcPr>
            <w:tcW w:type="dxa" w:w="2450"/>
            <w:tcBorders>
              <w:top w:val="none" w:color="FFFFFF" w:sz="0"/>
              <w:left w:val="none" w:color="FFFFFF" w:sz="0"/>
              <w:bottom w:val="none" w:color="FFFFFF" w:sz="0"/>
              <w:right w:val="none" w:color="FFFFFF" w:sz="0"/>
            </w:tcBorders>
            <w:shd w:fill="0F2347" w:val="clear"/>
            <w:tcMar>
              <w:top w:type="dxa" w:w="200"/>
              <w:left w:type="dxa" w:w="100"/>
              <w:bottom w:type="dxa" w:w="200"/>
              <w:right w:type="dxa" w:w="100"/>
            </w:tcMar>
            <w:vAlign w:val="center"/>
          </w:tcPr>
          <w:p>
            <w:pPr>
              <w:spacing w:after="20"/>
              <w:jc w:val="center"/>
            </w:pPr>
            <w:r>
              <w:rPr>
                <w:rFonts w:ascii="Calibri" w:cs="Calibri" w:eastAsia="Calibri" w:hAnsi="Calibri"/>
                <w:b/>
                <w:bCs/>
                <w:color w:val="F07C1D"/>
                <w:sz w:val="32"/>
                <w:szCs w:val="32"/>
              </w:rPr>
              <w:t xml:space="preserve">600+</w:t>
            </w:r>
          </w:p>
          <w:p>
            <w:pPr>
              <w:jc w:val="center"/>
            </w:pPr>
            <w:r>
              <w:rPr>
                <w:rFonts w:ascii="Calibri" w:cs="Calibri" w:eastAsia="Calibri" w:hAnsi="Calibri"/>
                <w:color w:val="FFFFFF"/>
                <w:sz w:val="17"/>
                <w:szCs w:val="17"/>
              </w:rPr>
              <w:t xml:space="preserve">Operators Deployed</w:t>
            </w:r>
          </w:p>
        </w:tc>
        <w:tc>
          <w:tcPr>
            <w:tcW w:type="dxa" w:w="2450"/>
            <w:tcBorders>
              <w:top w:val="none" w:color="FFFFFF" w:sz="0"/>
              <w:left w:val="none" w:color="FFFFFF" w:sz="0"/>
              <w:bottom w:val="none" w:color="FFFFFF" w:sz="0"/>
              <w:right w:val="none" w:color="FFFFFF" w:sz="0"/>
            </w:tcBorders>
            <w:shd w:fill="0F2347" w:val="clear"/>
            <w:tcMar>
              <w:top w:type="dxa" w:w="200"/>
              <w:left w:type="dxa" w:w="100"/>
              <w:bottom w:type="dxa" w:w="200"/>
              <w:right w:type="dxa" w:w="100"/>
            </w:tcMar>
            <w:vAlign w:val="center"/>
          </w:tcPr>
          <w:p>
            <w:pPr>
              <w:spacing w:after="20"/>
              <w:jc w:val="center"/>
            </w:pPr>
            <w:r>
              <w:rPr>
                <w:rFonts w:ascii="Calibri" w:cs="Calibri" w:eastAsia="Calibri" w:hAnsi="Calibri"/>
                <w:b/>
                <w:bCs/>
                <w:color w:val="F07C1D"/>
                <w:sz w:val="32"/>
                <w:szCs w:val="32"/>
              </w:rPr>
              <w:t xml:space="preserve">19</w:t>
            </w:r>
          </w:p>
          <w:p>
            <w:pPr>
              <w:jc w:val="center"/>
            </w:pPr>
            <w:r>
              <w:rPr>
                <w:rFonts w:ascii="Calibri" w:cs="Calibri" w:eastAsia="Calibri" w:hAnsi="Calibri"/>
                <w:color w:val="FFFFFF"/>
                <w:sz w:val="17"/>
                <w:szCs w:val="17"/>
              </w:rPr>
              <w:t xml:space="preserve">Target Countries</w:t>
            </w:r>
          </w:p>
        </w:tc>
        <w:tc>
          <w:tcPr>
            <w:tcW w:type="dxa" w:w="2450"/>
            <w:tcBorders>
              <w:top w:val="none" w:color="FFFFFF" w:sz="0"/>
              <w:left w:val="none" w:color="FFFFFF" w:sz="0"/>
              <w:bottom w:val="none" w:color="FFFFFF" w:sz="0"/>
              <w:right w:val="none" w:color="FFFFFF" w:sz="0"/>
            </w:tcBorders>
            <w:shd w:fill="0F2347" w:val="clear"/>
            <w:tcMar>
              <w:top w:type="dxa" w:w="200"/>
              <w:left w:type="dxa" w:w="100"/>
              <w:bottom w:type="dxa" w:w="200"/>
              <w:right w:type="dxa" w:w="100"/>
            </w:tcMar>
            <w:vAlign w:val="center"/>
          </w:tcPr>
          <w:p>
            <w:pPr>
              <w:spacing w:after="20"/>
              <w:jc w:val="center"/>
            </w:pPr>
            <w:r>
              <w:rPr>
                <w:rFonts w:ascii="Calibri" w:cs="Calibri" w:eastAsia="Calibri" w:hAnsi="Calibri"/>
                <w:b/>
                <w:bCs/>
                <w:color w:val="F07C1D"/>
                <w:sz w:val="32"/>
                <w:szCs w:val="32"/>
              </w:rPr>
              <w:t xml:space="preserve">5+</w:t>
            </w:r>
          </w:p>
          <w:p>
            <w:pPr>
              <w:jc w:val="center"/>
            </w:pPr>
            <w:r>
              <w:rPr>
                <w:rFonts w:ascii="Calibri" w:cs="Calibri" w:eastAsia="Calibri" w:hAnsi="Calibri"/>
                <w:color w:val="FFFFFF"/>
                <w:sz w:val="17"/>
                <w:szCs w:val="17"/>
              </w:rPr>
              <w:t xml:space="preserve">Years' Experience</w:t>
            </w:r>
          </w:p>
        </w:tc>
      </w:tr>
    </w:tbl>
    <w:p>
      <w:pPr>
        <w:spacing w:after="60" w:before="180"/>
      </w:pPr>
      <w:r>
        <w:rPr>
          <w:rFonts w:ascii="Calibri" w:cs="Calibri" w:eastAsia="Calibri" w:hAnsi="Calibri"/>
          <w:b/>
          <w:bCs/>
          <w:color w:val="16305C"/>
          <w:sz w:val="22"/>
          <w:szCs w:val="22"/>
        </w:rPr>
        <w:t xml:space="preserve">Our Vision</w:t>
      </w:r>
    </w:p>
    <w:p>
      <w:pPr>
        <w:spacing w:after="120" w:line="276"/>
      </w:pPr>
      <w:r>
        <w:rPr>
          <w:rFonts w:ascii="Calibri" w:cs="Calibri" w:eastAsia="Calibri" w:hAnsi="Calibri"/>
          <w:color w:val="26313F"/>
          <w:sz w:val="21"/>
          <w:szCs w:val="21"/>
        </w:rPr>
        <w:t xml:space="preserve">To be the most trusted manpower partner for construction and infrastructure projects globally — providing workforce solutions that are efficient, cost-effective, and built on integrity.</w:t>
      </w:r>
    </w:p>
    <w:p>
      <w:pPr>
        <w:spacing w:after="60" w:before="180"/>
      </w:pPr>
      <w:r>
        <w:rPr>
          <w:rFonts w:ascii="Calibri" w:cs="Calibri" w:eastAsia="Calibri" w:hAnsi="Calibri"/>
          <w:b/>
          <w:bCs/>
          <w:color w:val="16305C"/>
          <w:sz w:val="22"/>
          <w:szCs w:val="22"/>
        </w:rPr>
        <w:t xml:space="preserve">Our Mission</w:t>
      </w:r>
    </w:p>
    <w:p>
      <w:pPr>
        <w:spacing w:after="120" w:line="276"/>
      </w:pPr>
      <w:r>
        <w:rPr>
          <w:rFonts w:ascii="Calibri" w:cs="Calibri" w:eastAsia="Calibri" w:hAnsi="Calibri"/>
          <w:color w:val="26313F"/>
          <w:sz w:val="21"/>
          <w:szCs w:val="21"/>
        </w:rPr>
        <w:t xml:space="preserve">We commit to sourcing, screening, and deploying the right talent at the right time — ensuring zero disruption to our clients' project timelines. We treat every placement as a long-term partnership, not a transaction.</w:t>
      </w:r>
    </w:p>
    <w:p>
      <w:pPr>
        <w:spacing w:after="60" w:before="180"/>
      </w:pPr>
      <w:r>
        <w:rPr>
          <w:rFonts w:ascii="Calibri" w:cs="Calibri" w:eastAsia="Calibri" w:hAnsi="Calibri"/>
          <w:b/>
          <w:bCs/>
          <w:color w:val="16305C"/>
          <w:sz w:val="22"/>
          <w:szCs w:val="22"/>
        </w:rPr>
        <w:t xml:space="preserve">Our Core Values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tcBorders>
              <w:top w:val="none" w:color="FFFFFF" w:sz="0"/>
              <w:left w:val="none" w:color="FFFFFF" w:sz="0"/>
              <w:bottom w:val="none" w:color="FFFFFF" w:sz="0"/>
              <w:right w:val="none" w:color="FFFFFF" w:sz="0"/>
            </w:tcBorders>
            <w:shd w:fill="0F2347" w:val="clear"/>
            <w:tcMar>
              <w:top w:type="dxa" w:w="180"/>
              <w:left w:type="dxa" w:w="200"/>
              <w:bottom w:type="dxa" w:w="180"/>
              <w:right w:type="dxa" w:w="200"/>
            </w:tcMar>
            <w:vAlign w:val="top"/>
          </w:tcPr>
          <w:p>
            <w:pPr>
              <w:spacing w:after="40"/>
            </w:pPr>
            <w:r>
              <w:rPr>
                <w:rFonts w:ascii="Calibri" w:cs="Calibri" w:eastAsia="Calibri" w:hAnsi="Calibri"/>
                <w:b/>
                <w:bCs/>
                <w:color w:val="FFFFFF"/>
                <w:sz w:val="20"/>
                <w:szCs w:val="20"/>
              </w:rPr>
              <w:t xml:space="preserve">Integrity</w:t>
            </w:r>
          </w:p>
          <w:p>
            <w:r>
              <w:rPr>
                <w:rFonts w:ascii="Calibri" w:cs="Calibri" w:eastAsia="Calibri" w:hAnsi="Calibri"/>
                <w:color w:val="C9D6E8"/>
                <w:sz w:val="18"/>
                <w:szCs w:val="18"/>
              </w:rPr>
              <w:t xml:space="preserve">Transparent dealings with clients, candidates, and partners at every stage of the process.</w:t>
            </w:r>
          </w:p>
        </w:tc>
        <w:tc>
          <w:tcPr>
            <w:tcW w:type="dxa" w:w="4900"/>
            <w:tcBorders>
              <w:top w:val="none" w:color="FFFFFF" w:sz="0"/>
              <w:left w:val="none" w:color="FFFFFF" w:sz="0"/>
              <w:bottom w:val="none" w:color="FFFFFF" w:sz="0"/>
              <w:right w:val="none" w:color="FFFFFF" w:sz="0"/>
            </w:tcBorders>
            <w:shd w:fill="0F2347" w:val="clear"/>
            <w:tcMar>
              <w:top w:type="dxa" w:w="180"/>
              <w:left w:type="dxa" w:w="200"/>
              <w:bottom w:type="dxa" w:w="180"/>
              <w:right w:type="dxa" w:w="200"/>
            </w:tcMar>
            <w:vAlign w:val="top"/>
          </w:tcPr>
          <w:p>
            <w:pPr>
              <w:spacing w:after="40"/>
            </w:pPr>
            <w:r>
              <w:rPr>
                <w:rFonts w:ascii="Calibri" w:cs="Calibri" w:eastAsia="Calibri" w:hAnsi="Calibri"/>
                <w:b/>
                <w:bCs/>
                <w:color w:val="FFFFFF"/>
                <w:sz w:val="20"/>
                <w:szCs w:val="20"/>
              </w:rPr>
              <w:t xml:space="preserve">Reliability</w:t>
            </w:r>
          </w:p>
          <w:p>
            <w:r>
              <w:rPr>
                <w:rFonts w:ascii="Calibri" w:cs="Calibri" w:eastAsia="Calibri" w:hAnsi="Calibri"/>
                <w:color w:val="C9D6E8"/>
                <w:sz w:val="18"/>
                <w:szCs w:val="18"/>
              </w:rPr>
              <w:t xml:space="preserve">Consistent, on-time delivery of manpower, even under tight project deadlines.</w:t>
            </w:r>
          </w:p>
        </w:tc>
      </w:tr>
      <w:tr>
        <w:trPr>
          <w:trHeight w:val="100" w:hRule="atLeast"/>
        </w:trP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4900"/>
            <w:tcBorders>
              <w:top w:val="none" w:color="FFFFFF" w:sz="0"/>
              <w:left w:val="none" w:color="FFFFFF" w:sz="0"/>
              <w:bottom w:val="none" w:color="FFFFFF" w:sz="0"/>
              <w:right w:val="none" w:color="FFFFFF" w:sz="0"/>
            </w:tcBorders>
            <w:shd w:fill="0F2347" w:val="clear"/>
            <w:tcMar>
              <w:top w:type="dxa" w:w="180"/>
              <w:left w:type="dxa" w:w="200"/>
              <w:bottom w:type="dxa" w:w="180"/>
              <w:right w:type="dxa" w:w="200"/>
            </w:tcMar>
            <w:vAlign w:val="top"/>
          </w:tcPr>
          <w:p>
            <w:pPr>
              <w:spacing w:after="40"/>
            </w:pPr>
            <w:r>
              <w:rPr>
                <w:rFonts w:ascii="Calibri" w:cs="Calibri" w:eastAsia="Calibri" w:hAnsi="Calibri"/>
                <w:b/>
                <w:bCs/>
                <w:color w:val="FFFFFF"/>
                <w:sz w:val="20"/>
                <w:szCs w:val="20"/>
              </w:rPr>
              <w:t xml:space="preserve">Excellence</w:t>
            </w:r>
          </w:p>
          <w:p>
            <w:r>
              <w:rPr>
                <w:rFonts w:ascii="Calibri" w:cs="Calibri" w:eastAsia="Calibri" w:hAnsi="Calibri"/>
                <w:color w:val="C9D6E8"/>
                <w:sz w:val="18"/>
                <w:szCs w:val="18"/>
              </w:rPr>
              <w:t xml:space="preserve">Rigorous screening and trade testing to ensure every candidate meets the standard required.</w:t>
            </w:r>
          </w:p>
        </w:tc>
        <w:tc>
          <w:tcPr>
            <w:tcW w:type="dxa" w:w="4900"/>
            <w:tcBorders>
              <w:top w:val="none" w:color="FFFFFF" w:sz="0"/>
              <w:left w:val="none" w:color="FFFFFF" w:sz="0"/>
              <w:bottom w:val="none" w:color="FFFFFF" w:sz="0"/>
              <w:right w:val="none" w:color="FFFFFF" w:sz="0"/>
            </w:tcBorders>
            <w:shd w:fill="0F2347" w:val="clear"/>
            <w:tcMar>
              <w:top w:type="dxa" w:w="180"/>
              <w:left w:type="dxa" w:w="200"/>
              <w:bottom w:type="dxa" w:w="180"/>
              <w:right w:type="dxa" w:w="200"/>
            </w:tcMar>
            <w:vAlign w:val="top"/>
          </w:tcPr>
          <w:p>
            <w:pPr>
              <w:spacing w:after="40"/>
            </w:pPr>
            <w:r>
              <w:rPr>
                <w:rFonts w:ascii="Calibri" w:cs="Calibri" w:eastAsia="Calibri" w:hAnsi="Calibri"/>
                <w:b/>
                <w:bCs/>
                <w:color w:val="FFFFFF"/>
                <w:sz w:val="20"/>
                <w:szCs w:val="20"/>
              </w:rPr>
              <w:t xml:space="preserve">Partnership</w:t>
            </w:r>
          </w:p>
          <w:p>
            <w:r>
              <w:rPr>
                <w:rFonts w:ascii="Calibri" w:cs="Calibri" w:eastAsia="Calibri" w:hAnsi="Calibri"/>
                <w:color w:val="C9D6E8"/>
                <w:sz w:val="18"/>
                <w:szCs w:val="18"/>
              </w:rPr>
              <w:t xml:space="preserve">Long-term relationships built on trust, not one-off transactions.</w:t>
            </w:r>
          </w:p>
        </w:tc>
      </w:tr>
      <w:tr>
        <w:trPr>
          <w:trHeight w:val="100" w:hRule="atLeast"/>
        </w:trP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bl>
    <w:p>
      <w:pPr>
        <w:spacing w:after="60" w:before="180"/>
      </w:pPr>
      <w:r>
        <w:rPr>
          <w:rFonts w:ascii="Calibri" w:cs="Calibri" w:eastAsia="Calibri" w:hAnsi="Calibri"/>
          <w:b/>
          <w:bCs/>
          <w:color w:val="16305C"/>
          <w:sz w:val="22"/>
          <w:szCs w:val="22"/>
        </w:rPr>
        <w:t xml:space="preserve">Company Snapshot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66"/>
        <w:gridCol w:w="3266"/>
        <w:gridCol w:w="3266"/>
      </w:tblGrid>
      <w:tr>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Head Office: Fujairah, UAE</w:t>
            </w:r>
          </w:p>
        </w:tc>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Experience: 5+ Years</w:t>
            </w:r>
          </w:p>
        </w:tc>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Sectors Served: 9</w:t>
            </w:r>
          </w:p>
        </w:tc>
      </w:tr>
      <w:tr>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Manpower Supplied: 10,000+</w:t>
            </w:r>
          </w:p>
        </w:tc>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Target Countries: 19</w:t>
            </w:r>
          </w:p>
        </w:tc>
        <w:tc>
          <w:tcPr>
            <w:tcW w:type="dxa" w:w="3266"/>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Operators Deployed: 600+</w:t>
            </w:r>
          </w:p>
        </w:tc>
      </w:tr>
    </w:tbl>
    <w:p>
      <w:r>
        <w:br w:type="page"/>
      </w:r>
    </w:p>
    <w:p>
      <w:pPr>
        <w:pBdr>
          <w:bottom w:val="single" w:color="F07C1D" w:sz="8" w:space="6"/>
        </w:pBdr>
        <w:spacing w:after="160" w:before="0"/>
      </w:pPr>
      <w:r>
        <w:rPr>
          <w:rFonts w:ascii="Calibri" w:cs="Calibri" w:eastAsia="Calibri" w:hAnsi="Calibri"/>
          <w:b/>
          <w:bCs/>
          <w:color w:val="16305C"/>
          <w:sz w:val="27"/>
          <w:szCs w:val="27"/>
        </w:rPr>
        <w:t xml:space="preserve">OUR SERVICES</w:t>
      </w:r>
    </w:p>
    <w:p>
      <w:pPr>
        <w:spacing w:after="120" w:line="276"/>
      </w:pPr>
      <w:r>
        <w:rPr>
          <w:rFonts w:ascii="Calibri" w:cs="Calibri" w:eastAsia="Calibri" w:hAnsi="Calibri"/>
          <w:color w:val="26313F"/>
          <w:sz w:val="21"/>
          <w:szCs w:val="21"/>
        </w:rPr>
        <w:t xml:space="preserve">TalentSync provides end-to-end workforce solutions tailored to the demands of large-scale construction, industrial, and energy projects:</w:t>
      </w:r>
    </w:p>
    <w:p>
      <w:pPr>
        <w:spacing w:after="40" w:before="200"/>
      </w:pPr>
      <w:r>
        <w:rPr>
          <w:rFonts w:ascii="Calibri" w:cs="Calibri" w:eastAsia="Calibri" w:hAnsi="Calibri"/>
          <w:b/>
          <w:bCs/>
          <w:color w:val="F07C1D"/>
          <w:sz w:val="22"/>
          <w:szCs w:val="22"/>
        </w:rPr>
        <w:t xml:space="preserve">01  </w:t>
      </w:r>
      <w:r>
        <w:rPr>
          <w:rFonts w:ascii="Calibri" w:cs="Calibri" w:eastAsia="Calibri" w:hAnsi="Calibri"/>
          <w:b/>
          <w:bCs/>
          <w:color w:val="16305C"/>
          <w:sz w:val="22"/>
          <w:szCs w:val="22"/>
        </w:rPr>
        <w:t xml:space="preserve">Skilled Operator Supply</w:t>
      </w:r>
    </w:p>
    <w:p>
      <w:pPr>
        <w:spacing w:after="60"/>
        <w:ind w:left="300"/>
      </w:pPr>
      <w:r>
        <w:rPr>
          <w:rFonts w:ascii="Calibri" w:cs="Calibri" w:eastAsia="Calibri" w:hAnsi="Calibri"/>
          <w:color w:val="26313F"/>
          <w:sz w:val="20"/>
          <w:szCs w:val="20"/>
        </w:rPr>
        <w:t xml:space="preserve">Heavy equipment operators (excavators, bulldozers, cranes, graders, compactors, loaders, pavers) with certified experience for road, civil, mining, and oil field projects.</w:t>
      </w:r>
    </w:p>
    <w:p>
      <w:pPr>
        <w:spacing w:after="40" w:before="200"/>
      </w:pPr>
      <w:r>
        <w:rPr>
          <w:rFonts w:ascii="Calibri" w:cs="Calibri" w:eastAsia="Calibri" w:hAnsi="Calibri"/>
          <w:b/>
          <w:bCs/>
          <w:color w:val="F07C1D"/>
          <w:sz w:val="22"/>
          <w:szCs w:val="22"/>
        </w:rPr>
        <w:t xml:space="preserve">02  </w:t>
      </w:r>
      <w:r>
        <w:rPr>
          <w:rFonts w:ascii="Calibri" w:cs="Calibri" w:eastAsia="Calibri" w:hAnsi="Calibri"/>
          <w:b/>
          <w:bCs/>
          <w:color w:val="16305C"/>
          <w:sz w:val="22"/>
          <w:szCs w:val="22"/>
        </w:rPr>
        <w:t xml:space="preserve">Engineering &amp; Technical Staff</w:t>
      </w:r>
    </w:p>
    <w:p>
      <w:pPr>
        <w:spacing w:after="60"/>
        <w:ind w:left="300"/>
      </w:pPr>
      <w:r>
        <w:rPr>
          <w:rFonts w:ascii="Calibri" w:cs="Calibri" w:eastAsia="Calibri" w:hAnsi="Calibri"/>
          <w:color w:val="26313F"/>
          <w:sz w:val="20"/>
          <w:szCs w:val="20"/>
        </w:rPr>
        <w:t xml:space="preserve">Civil, mechanical, and electrical engineers, quantity surveyors, site engineers, and project managers for medium to large-scale projects.</w:t>
      </w:r>
    </w:p>
    <w:p>
      <w:pPr>
        <w:spacing w:after="40" w:before="200"/>
      </w:pPr>
      <w:r>
        <w:rPr>
          <w:rFonts w:ascii="Calibri" w:cs="Calibri" w:eastAsia="Calibri" w:hAnsi="Calibri"/>
          <w:b/>
          <w:bCs/>
          <w:color w:val="F07C1D"/>
          <w:sz w:val="22"/>
          <w:szCs w:val="22"/>
        </w:rPr>
        <w:t xml:space="preserve">03  </w:t>
      </w:r>
      <w:r>
        <w:rPr>
          <w:rFonts w:ascii="Calibri" w:cs="Calibri" w:eastAsia="Calibri" w:hAnsi="Calibri"/>
          <w:b/>
          <w:bCs/>
          <w:color w:val="16305C"/>
          <w:sz w:val="22"/>
          <w:szCs w:val="22"/>
        </w:rPr>
        <w:t xml:space="preserve">Survey Teams</w:t>
      </w:r>
    </w:p>
    <w:p>
      <w:pPr>
        <w:spacing w:after="60"/>
        <w:ind w:left="300"/>
      </w:pPr>
      <w:r>
        <w:rPr>
          <w:rFonts w:ascii="Calibri" w:cs="Calibri" w:eastAsia="Calibri" w:hAnsi="Calibri"/>
          <w:color w:val="26313F"/>
          <w:sz w:val="20"/>
          <w:szCs w:val="20"/>
        </w:rPr>
        <w:t xml:space="preserve">Experienced land surveyors with total station and GPS proficiency for road, pipeline, and boundary surveys.</w:t>
      </w:r>
    </w:p>
    <w:p>
      <w:pPr>
        <w:spacing w:after="40" w:before="200"/>
      </w:pPr>
      <w:r>
        <w:rPr>
          <w:rFonts w:ascii="Calibri" w:cs="Calibri" w:eastAsia="Calibri" w:hAnsi="Calibri"/>
          <w:b/>
          <w:bCs/>
          <w:color w:val="F07C1D"/>
          <w:sz w:val="22"/>
          <w:szCs w:val="22"/>
        </w:rPr>
        <w:t xml:space="preserve">04  </w:t>
      </w:r>
      <w:r>
        <w:rPr>
          <w:rFonts w:ascii="Calibri" w:cs="Calibri" w:eastAsia="Calibri" w:hAnsi="Calibri"/>
          <w:b/>
          <w:bCs/>
          <w:color w:val="16305C"/>
          <w:sz w:val="22"/>
          <w:szCs w:val="22"/>
        </w:rPr>
        <w:t xml:space="preserve">Construction Labour</w:t>
      </w:r>
    </w:p>
    <w:p>
      <w:pPr>
        <w:spacing w:after="60"/>
        <w:ind w:left="300"/>
      </w:pPr>
      <w:r>
        <w:rPr>
          <w:rFonts w:ascii="Calibri" w:cs="Calibri" w:eastAsia="Calibri" w:hAnsi="Calibri"/>
          <w:color w:val="26313F"/>
          <w:sz w:val="20"/>
          <w:szCs w:val="20"/>
        </w:rPr>
        <w:t xml:space="preserve">Masons, steel fixers, carpenters, plumbers, electricians, welders, and general labour for all phases of construction.</w:t>
      </w:r>
    </w:p>
    <w:p>
      <w:pPr>
        <w:spacing w:after="40" w:before="200"/>
      </w:pPr>
      <w:r>
        <w:rPr>
          <w:rFonts w:ascii="Calibri" w:cs="Calibri" w:eastAsia="Calibri" w:hAnsi="Calibri"/>
          <w:b/>
          <w:bCs/>
          <w:color w:val="F07C1D"/>
          <w:sz w:val="22"/>
          <w:szCs w:val="22"/>
        </w:rPr>
        <w:t xml:space="preserve">05  </w:t>
      </w:r>
      <w:r>
        <w:rPr>
          <w:rFonts w:ascii="Calibri" w:cs="Calibri" w:eastAsia="Calibri" w:hAnsi="Calibri"/>
          <w:b/>
          <w:bCs/>
          <w:color w:val="16305C"/>
          <w:sz w:val="22"/>
          <w:szCs w:val="22"/>
        </w:rPr>
        <w:t xml:space="preserve">Camp &amp; Logistics Staff</w:t>
      </w:r>
    </w:p>
    <w:p>
      <w:pPr>
        <w:spacing w:after="60"/>
        <w:ind w:left="300"/>
      </w:pPr>
      <w:r>
        <w:rPr>
          <w:rFonts w:ascii="Calibri" w:cs="Calibri" w:eastAsia="Calibri" w:hAnsi="Calibri"/>
          <w:color w:val="26313F"/>
          <w:sz w:val="20"/>
          <w:szCs w:val="20"/>
        </w:rPr>
        <w:t xml:space="preserve">Camp bosses, cooks, drivers, and administrative staff to support field teams in remote or mobilisation-phase projects.</w:t>
      </w:r>
    </w:p>
    <w:p>
      <w:pPr>
        <w:spacing w:after="40" w:before="200"/>
      </w:pPr>
      <w:r>
        <w:rPr>
          <w:rFonts w:ascii="Calibri" w:cs="Calibri" w:eastAsia="Calibri" w:hAnsi="Calibri"/>
          <w:b/>
          <w:bCs/>
          <w:color w:val="F07C1D"/>
          <w:sz w:val="22"/>
          <w:szCs w:val="22"/>
        </w:rPr>
        <w:t xml:space="preserve">06  </w:t>
      </w:r>
      <w:r>
        <w:rPr>
          <w:rFonts w:ascii="Calibri" w:cs="Calibri" w:eastAsia="Calibri" w:hAnsi="Calibri"/>
          <w:b/>
          <w:bCs/>
          <w:color w:val="16305C"/>
          <w:sz w:val="22"/>
          <w:szCs w:val="22"/>
        </w:rPr>
        <w:t xml:space="preserve">Recruitment &amp; Visa Processing</w:t>
      </w:r>
    </w:p>
    <w:p>
      <w:pPr>
        <w:spacing w:after="60"/>
        <w:ind w:left="300"/>
      </w:pPr>
      <w:r>
        <w:rPr>
          <w:rFonts w:ascii="Calibri" w:cs="Calibri" w:eastAsia="Calibri" w:hAnsi="Calibri"/>
          <w:color w:val="26313F"/>
          <w:sz w:val="20"/>
          <w:szCs w:val="20"/>
        </w:rPr>
        <w:t xml:space="preserve">Full-cycle recruitment including sourcing, trade testing, medical checks, visa processing, and mobilisation coordination.</w:t>
      </w:r>
    </w:p>
    <w:p>
      <w:pPr>
        <w:spacing w:after="60" w:before="180"/>
      </w:pPr>
      <w:r>
        <w:rPr>
          <w:rFonts w:ascii="Calibri" w:cs="Calibri" w:eastAsia="Calibri" w:hAnsi="Calibri"/>
          <w:b/>
          <w:bCs/>
          <w:color w:val="16305C"/>
          <w:sz w:val="22"/>
          <w:szCs w:val="22"/>
        </w:rPr>
        <w:t xml:space="preserve">Our Recruitment &amp; Mobilisation Process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1960"/>
        <w:gridCol w:w="1960"/>
        <w:gridCol w:w="1960"/>
      </w:tblGrid>
      <w:tr>
        <w:tc>
          <w:tcPr>
            <w:tcW w:type="dxa" w:w="1960"/>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1</w:t>
            </w:r>
          </w:p>
          <w:p>
            <w:pPr>
              <w:spacing w:after="40"/>
              <w:jc w:val="center"/>
            </w:pPr>
            <w:r>
              <w:rPr>
                <w:rFonts w:ascii="Calibri" w:cs="Calibri" w:eastAsia="Calibri" w:hAnsi="Calibri"/>
                <w:b/>
                <w:bCs/>
                <w:color w:val="16305C"/>
                <w:sz w:val="18"/>
                <w:szCs w:val="18"/>
              </w:rPr>
              <w:t xml:space="preserve">Sourcing</w:t>
            </w:r>
          </w:p>
          <w:p>
            <w:pPr>
              <w:jc w:val="center"/>
            </w:pPr>
            <w:r>
              <w:rPr>
                <w:rFonts w:ascii="Calibri" w:cs="Calibri" w:eastAsia="Calibri" w:hAnsi="Calibri"/>
                <w:color w:val="5B6674"/>
                <w:sz w:val="16"/>
                <w:szCs w:val="16"/>
              </w:rPr>
              <w:t xml:space="preserve">Identify candidates from our vetted talent pool</w:t>
            </w:r>
          </w:p>
        </w:tc>
        <w:tc>
          <w:tcPr>
            <w:tcW w:type="dxa" w:w="1960"/>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2</w:t>
            </w:r>
          </w:p>
          <w:p>
            <w:pPr>
              <w:spacing w:after="40"/>
              <w:jc w:val="center"/>
            </w:pPr>
            <w:r>
              <w:rPr>
                <w:rFonts w:ascii="Calibri" w:cs="Calibri" w:eastAsia="Calibri" w:hAnsi="Calibri"/>
                <w:b/>
                <w:bCs/>
                <w:color w:val="16305C"/>
                <w:sz w:val="18"/>
                <w:szCs w:val="18"/>
              </w:rPr>
              <w:t xml:space="preserve">Screening</w:t>
            </w:r>
          </w:p>
          <w:p>
            <w:pPr>
              <w:jc w:val="center"/>
            </w:pPr>
            <w:r>
              <w:rPr>
                <w:rFonts w:ascii="Calibri" w:cs="Calibri" w:eastAsia="Calibri" w:hAnsi="Calibri"/>
                <w:color w:val="5B6674"/>
                <w:sz w:val="16"/>
                <w:szCs w:val="16"/>
              </w:rPr>
              <w:t xml:space="preserve">Trade testing &amp; skills verification</w:t>
            </w:r>
          </w:p>
        </w:tc>
        <w:tc>
          <w:tcPr>
            <w:tcW w:type="dxa" w:w="1960"/>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3</w:t>
            </w:r>
          </w:p>
          <w:p>
            <w:pPr>
              <w:spacing w:after="40"/>
              <w:jc w:val="center"/>
            </w:pPr>
            <w:r>
              <w:rPr>
                <w:rFonts w:ascii="Calibri" w:cs="Calibri" w:eastAsia="Calibri" w:hAnsi="Calibri"/>
                <w:b/>
                <w:bCs/>
                <w:color w:val="16305C"/>
                <w:sz w:val="18"/>
                <w:szCs w:val="18"/>
              </w:rPr>
              <w:t xml:space="preserve">Documentation</w:t>
            </w:r>
          </w:p>
          <w:p>
            <w:pPr>
              <w:jc w:val="center"/>
            </w:pPr>
            <w:r>
              <w:rPr>
                <w:rFonts w:ascii="Calibri" w:cs="Calibri" w:eastAsia="Calibri" w:hAnsi="Calibri"/>
                <w:color w:val="5B6674"/>
                <w:sz w:val="16"/>
                <w:szCs w:val="16"/>
              </w:rPr>
              <w:t xml:space="preserve">Medical checks &amp; paperwork</w:t>
            </w:r>
          </w:p>
        </w:tc>
        <w:tc>
          <w:tcPr>
            <w:tcW w:type="dxa" w:w="1960"/>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4</w:t>
            </w:r>
          </w:p>
          <w:p>
            <w:pPr>
              <w:spacing w:after="40"/>
              <w:jc w:val="center"/>
            </w:pPr>
            <w:r>
              <w:rPr>
                <w:rFonts w:ascii="Calibri" w:cs="Calibri" w:eastAsia="Calibri" w:hAnsi="Calibri"/>
                <w:b/>
                <w:bCs/>
                <w:color w:val="16305C"/>
                <w:sz w:val="18"/>
                <w:szCs w:val="18"/>
              </w:rPr>
              <w:t xml:space="preserve">Visa Processing</w:t>
            </w:r>
          </w:p>
          <w:p>
            <w:pPr>
              <w:jc w:val="center"/>
            </w:pPr>
            <w:r>
              <w:rPr>
                <w:rFonts w:ascii="Calibri" w:cs="Calibri" w:eastAsia="Calibri" w:hAnsi="Calibri"/>
                <w:color w:val="5B6674"/>
                <w:sz w:val="16"/>
                <w:szCs w:val="16"/>
              </w:rPr>
              <w:t xml:space="preserve">Full visa &amp; permit handling</w:t>
            </w:r>
          </w:p>
        </w:tc>
        <w:tc>
          <w:tcPr>
            <w:tcW w:type="dxa" w:w="1960"/>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5</w:t>
            </w:r>
          </w:p>
          <w:p>
            <w:pPr>
              <w:spacing w:after="40"/>
              <w:jc w:val="center"/>
            </w:pPr>
            <w:r>
              <w:rPr>
                <w:rFonts w:ascii="Calibri" w:cs="Calibri" w:eastAsia="Calibri" w:hAnsi="Calibri"/>
                <w:b/>
                <w:bCs/>
                <w:color w:val="16305C"/>
                <w:sz w:val="18"/>
                <w:szCs w:val="18"/>
              </w:rPr>
              <w:t xml:space="preserve">Deployment</w:t>
            </w:r>
          </w:p>
          <w:p>
            <w:pPr>
              <w:jc w:val="center"/>
            </w:pPr>
            <w:r>
              <w:rPr>
                <w:rFonts w:ascii="Calibri" w:cs="Calibri" w:eastAsia="Calibri" w:hAnsi="Calibri"/>
                <w:color w:val="5B6674"/>
                <w:sz w:val="16"/>
                <w:szCs w:val="16"/>
              </w:rPr>
              <w:t xml:space="preserve">Travel, induction &amp; on-site handover</w:t>
            </w:r>
          </w:p>
        </w:tc>
      </w:tr>
    </w:tbl>
    <w:p>
      <w:pPr>
        <w:spacing w:after="60" w:before="180"/>
      </w:pPr>
      <w:r>
        <w:rPr>
          <w:rFonts w:ascii="Calibri" w:cs="Calibri" w:eastAsia="Calibri" w:hAnsi="Calibri"/>
          <w:b/>
          <w:bCs/>
          <w:color w:val="16305C"/>
          <w:sz w:val="22"/>
          <w:szCs w:val="22"/>
        </w:rPr>
        <w:t xml:space="preserve">Quality &amp; Compliance Standards</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Every candidate undergoes trade testing relevant to their role before shortlisting.</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Medical fitness checks are completed prior to visa processing and deployment.</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Documentation, passports, and certifications are verified against client and country requirements.</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Dedicated coordinators manage travel logistics, accommodation, and on-site induction.</w:t>
      </w:r>
    </w:p>
    <w:p>
      <w:r>
        <w:br w:type="page"/>
      </w:r>
    </w:p>
    <w:p>
      <w:pPr>
        <w:pBdr>
          <w:bottom w:val="single" w:color="F07C1D" w:sz="8" w:space="6"/>
        </w:pBdr>
        <w:spacing w:after="160" w:before="0"/>
      </w:pPr>
      <w:r>
        <w:rPr>
          <w:rFonts w:ascii="Calibri" w:cs="Calibri" w:eastAsia="Calibri" w:hAnsi="Calibri"/>
          <w:b/>
          <w:bCs/>
          <w:color w:val="16305C"/>
          <w:sz w:val="27"/>
          <w:szCs w:val="27"/>
        </w:rPr>
        <w:t xml:space="preserve">INDUSTRIES WE SERVE</w:t>
      </w:r>
    </w:p>
    <w:p>
      <w:pPr>
        <w:spacing w:after="120" w:line="276"/>
      </w:pPr>
      <w:r>
        <w:rPr>
          <w:rFonts w:ascii="Calibri" w:cs="Calibri" w:eastAsia="Calibri" w:hAnsi="Calibri"/>
          <w:color w:val="26313F"/>
          <w:sz w:val="21"/>
          <w:szCs w:val="21"/>
        </w:rPr>
        <w:t xml:space="preserve">TalentSync supplies manpower across nine major industries, giving clients a single, reliable partner for workforce needs spanning construction, energy, and industrial operations: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Construction &amp; Infrastructure</w:t>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Oil &amp; Gas</w:t>
            </w:r>
          </w:p>
        </w:tc>
      </w:tr>
      <w:t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Heavy Equipment &amp; Mining</w:t>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Engineering &amp; Technical Services</w:t>
            </w:r>
          </w:p>
        </w:tc>
      </w:tr>
      <w:t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Power &amp; Energy</w:t>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Industrial &amp; Manufacturing</w:t>
            </w:r>
          </w:p>
        </w:tc>
      </w:tr>
      <w:t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Logistics &amp; Transportation</w:t>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Marine &amp; Shipbuilding</w:t>
            </w:r>
          </w:p>
        </w:tc>
      </w:tr>
      <w:t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Facility Management &amp; Maintenance</w:t>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bl>
    <w:p>
      <w:pPr>
        <w:spacing w:after="60" w:before="180"/>
      </w:pPr>
      <w:r>
        <w:rPr>
          <w:rFonts w:ascii="Calibri" w:cs="Calibri" w:eastAsia="Calibri" w:hAnsi="Calibri"/>
          <w:b/>
          <w:bCs/>
          <w:color w:val="16305C"/>
          <w:sz w:val="22"/>
          <w:szCs w:val="22"/>
        </w:rPr>
        <w:t xml:space="preserve">Africa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66"/>
        <w:gridCol w:w="3266"/>
        <w:gridCol w:w="3266"/>
      </w:tblGrid>
      <w:tr>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Libya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Tanzania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Algeria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Egypt</w:t>
            </w:r>
          </w:p>
        </w:tc>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Nigeria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Ghana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Zambia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Kenya</w:t>
            </w:r>
          </w:p>
        </w:tc>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Uganda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Mozambique</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DR Congo</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Republic of Congo</w:t>
            </w:r>
          </w:p>
        </w:tc>
      </w:tr>
    </w:tbl>
    <w:p>
      <w:pPr>
        <w:spacing w:after="60" w:before="180"/>
      </w:pPr>
      <w:r>
        <w:rPr>
          <w:rFonts w:ascii="Calibri" w:cs="Calibri" w:eastAsia="Calibri" w:hAnsi="Calibri"/>
          <w:b/>
          <w:bCs/>
          <w:color w:val="16305C"/>
          <w:sz w:val="22"/>
          <w:szCs w:val="22"/>
        </w:rPr>
        <w:t xml:space="preserve">Gulf / Middle East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66"/>
        <w:gridCol w:w="3266"/>
        <w:gridCol w:w="3266"/>
      </w:tblGrid>
      <w:tr>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Saudi Arabia</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UAE</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Qatar</w:t>
            </w:r>
          </w:p>
        </w:tc>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Oman</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Kuwait</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Bahrain</w:t>
            </w:r>
          </w:p>
        </w:tc>
        <w:tc>
          <w:tcPr>
            <w:tcW w:type="dxa" w:w="3266"/>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Iraq</w:t>
            </w:r>
          </w:p>
        </w:tc>
      </w:tr>
    </w:tbl>
    <w:p>
      <w:pPr>
        <w:spacing w:after="60" w:before="180"/>
      </w:pPr>
      <w:r>
        <w:rPr>
          <w:rFonts w:ascii="Calibri" w:cs="Calibri" w:eastAsia="Calibri" w:hAnsi="Calibri"/>
          <w:b/>
          <w:bCs/>
          <w:color w:val="16305C"/>
          <w:sz w:val="22"/>
          <w:szCs w:val="22"/>
        </w:rPr>
        <w:t xml:space="preserve">Regional Reach</w:t>
      </w:r>
    </w:p>
    <w:p>
      <w:pPr>
        <w:spacing w:after="0" w:line="276"/>
      </w:pPr>
      <w:r>
        <w:rPr>
          <w:rFonts w:ascii="Calibri" w:cs="Calibri" w:eastAsia="Calibri" w:hAnsi="Calibri"/>
          <w:color w:val="26313F"/>
          <w:sz w:val="21"/>
          <w:szCs w:val="21"/>
        </w:rPr>
        <w:t xml:space="preserve">With a growing footprint across 12 African nations and 7 Gulf/Middle East markets, TalentSync is positioned to support clients wherever their projects take them — from oil field mobilisation in Libya to civil infrastructure works in Saudi Arabia. As we expand, new target countries are added based on client demand and emerging project opportunities.</w:t>
      </w:r>
    </w:p>
    <w:p>
      <w:r>
        <w:br w:type="page"/>
      </w:r>
    </w:p>
    <w:p>
      <w:pPr>
        <w:pBdr>
          <w:bottom w:val="single" w:color="F07C1D" w:sz="8" w:space="6"/>
        </w:pBdr>
        <w:spacing w:after="160" w:before="0"/>
      </w:pPr>
      <w:r>
        <w:rPr>
          <w:rFonts w:ascii="Calibri" w:cs="Calibri" w:eastAsia="Calibri" w:hAnsi="Calibri"/>
          <w:b/>
          <w:bCs/>
          <w:color w:val="16305C"/>
          <w:sz w:val="27"/>
          <w:szCs w:val="27"/>
        </w:rPr>
        <w:t xml:space="preserve">RECENT PROJECT HIGHLIGHTS</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Libya — CEVAHiR Contracting: Supplied 28 heavy equipment operators and 2 surveyors for a major road construction project, with complete hotel and food logistics coordinated from UAE to Saudi Arabia transit.</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Saudi Arabia — Infrastructure Project: Mobilised 30 skilled construction workers including operators and supervisors for a civil infrastructure project with full visa and travel coordination.</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Turkey — Construction Project: Deployed engineers and skilled tradesmen for a commercial building project, managing end-to-end recruitment and mobilisation from Pakistan.</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26313F"/>
          <w:sz w:val="21"/>
          <w:szCs w:val="21"/>
        </w:rPr>
        <w:t xml:space="preserve">Libya — Ongoing Manpower Supply: Provided over 100 operators and heavy equipment personnel to a major construction company for oil field and road infrastructure works.</w:t>
      </w:r>
    </w:p>
    <w:p>
      <w:pPr>
        <w:spacing w:before="100"/>
      </w:pPr>
      <w:r>
        <w:t xml:space="preserve"/>
      </w:r>
    </w:p>
    <w:p>
      <w:pPr>
        <w:pBdr>
          <w:bottom w:val="single" w:color="F07C1D" w:sz="8" w:space="6"/>
        </w:pBdr>
        <w:spacing w:after="160" w:before="320"/>
      </w:pPr>
      <w:r>
        <w:rPr>
          <w:rFonts w:ascii="Calibri" w:cs="Calibri" w:eastAsia="Calibri" w:hAnsi="Calibri"/>
          <w:b/>
          <w:bCs/>
          <w:color w:val="16305C"/>
          <w:sz w:val="27"/>
          <w:szCs w:val="27"/>
        </w:rPr>
        <w:t xml:space="preserve">TRUSTED BY LEADING COMPANIES</w:t>
      </w:r>
    </w:p>
    <w:p>
      <w:pPr>
        <w:spacing w:after="120" w:line="276"/>
      </w:pPr>
      <w:r>
        <w:rPr>
          <w:rFonts w:ascii="Calibri" w:cs="Calibri" w:eastAsia="Calibri" w:hAnsi="Calibri"/>
          <w:color w:val="26313F"/>
          <w:sz w:val="21"/>
          <w:szCs w:val="21"/>
        </w:rPr>
        <w:t xml:space="preserve">TalentSync Manpower Services has experience working with established companies and contractors across construction, infrastructure, oil &amp; gas, and engineering sectors. Our previous clients and business partners include: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450"/>
      </w:tblGrid>
      <w:tr>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Cevahir</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LIBCO</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EN-EZ</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Ecotech</w:t>
            </w:r>
          </w:p>
        </w:tc>
      </w:tr>
      <w:tr>
        <w:trPr>
          <w:trHeight w:val="60" w:hRule="atLeast"/>
        </w:trPr>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Iris Construction</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Descon</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BST</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Trojan</w:t>
            </w:r>
          </w:p>
        </w:tc>
      </w:tr>
      <w:tr>
        <w:trPr>
          <w:trHeight w:val="60" w:hRule="atLeast"/>
        </w:trPr>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Al Ryum</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WME</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UEP</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Al Jamal</w:t>
            </w:r>
          </w:p>
        </w:tc>
      </w:tr>
      <w:tr>
        <w:trPr>
          <w:trHeight w:val="60" w:hRule="atLeast"/>
        </w:trPr>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Global Builders</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Express</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Khalifa Holding Group</w:t>
            </w:r>
          </w:p>
        </w:tc>
        <w:tc>
          <w:tcPr>
            <w:tcW w:type="dxa" w:w="2450"/>
            <w:tcBorders>
              <w:top w:val="single" w:color="E1E6ED" w:sz="4"/>
              <w:left w:val="single" w:color="E1E6ED" w:sz="4"/>
              <w:bottom w:val="single" w:color="E1E6ED" w:sz="4"/>
              <w:right w:val="single" w:color="E1E6ED" w:sz="4"/>
            </w:tcBorders>
            <w:shd w:fill="F3F6FA" w:val="clear"/>
            <w:tcMar>
              <w:top w:type="dxa" w:w="140"/>
              <w:left w:type="dxa" w:w="80"/>
              <w:bottom w:type="dxa" w:w="140"/>
              <w:right w:type="dxa" w:w="80"/>
            </w:tcMar>
            <w:vAlign w:val="center"/>
          </w:tcPr>
          <w:p>
            <w:pPr>
              <w:jc w:val="center"/>
            </w:pPr>
            <w:r>
              <w:rPr>
                <w:rFonts w:ascii="Calibri" w:cs="Calibri" w:eastAsia="Calibri" w:hAnsi="Calibri"/>
                <w:b/>
                <w:bCs/>
                <w:color w:val="16305C"/>
                <w:sz w:val="19"/>
                <w:szCs w:val="19"/>
              </w:rPr>
              <w:t xml:space="preserve">Daewoo E&amp;C Iraq</w:t>
            </w:r>
          </w:p>
        </w:tc>
      </w:tr>
      <w:tr>
        <w:trPr>
          <w:trHeight w:val="60" w:hRule="atLeast"/>
        </w:trPr>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245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bl>
    <w:p>
      <w:pPr>
        <w:spacing w:after="60" w:before="180"/>
      </w:pPr>
      <w:r>
        <w:rPr>
          <w:rFonts w:ascii="Calibri" w:cs="Calibri" w:eastAsia="Calibri" w:hAnsi="Calibri"/>
          <w:b/>
          <w:bCs/>
          <w:color w:val="16305C"/>
          <w:sz w:val="22"/>
          <w:szCs w:val="22"/>
        </w:rPr>
        <w:t xml:space="preserve">Our Growing Network</w:t>
      </w:r>
    </w:p>
    <w:p>
      <w:pPr>
        <w:spacing w:after="0" w:line="276"/>
      </w:pPr>
      <w:r>
        <w:rPr>
          <w:rFonts w:ascii="Calibri" w:cs="Calibri" w:eastAsia="Calibri" w:hAnsi="Calibri"/>
          <w:color w:val="26313F"/>
          <w:sz w:val="21"/>
          <w:szCs w:val="21"/>
        </w:rPr>
        <w:t xml:space="preserve">These partnerships span multiple industries and geographies, reflecting the range of projects TalentSync supports — from large-scale road and civil infrastructure works to oil field operations and commercial construction. Each engagement strengthens our regional talent pool and deepens our understanding of client-specific mobilisation requirements.</w:t>
      </w:r>
    </w:p>
    <w:p>
      <w:r>
        <w:br w:type="page"/>
      </w:r>
    </w:p>
    <w:p>
      <w:pPr>
        <w:pBdr>
          <w:bottom w:val="single" w:color="F07C1D" w:sz="8" w:space="6"/>
        </w:pBdr>
        <w:spacing w:after="160" w:before="0"/>
      </w:pPr>
      <w:r>
        <w:rPr>
          <w:rFonts w:ascii="Calibri" w:cs="Calibri" w:eastAsia="Calibri" w:hAnsi="Calibri"/>
          <w:b/>
          <w:bCs/>
          <w:color w:val="16305C"/>
          <w:sz w:val="27"/>
          <w:szCs w:val="27"/>
        </w:rPr>
        <w:t xml:space="preserve">WHY CHOOSE TALENTSYNC?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Speed &amp; Reliability</w:t>
            </w:r>
          </w:p>
          <w:p>
            <w:pPr>
              <w:spacing w:after="0"/>
            </w:pPr>
            <w:r>
              <w:rPr>
                <w:rFonts w:ascii="Calibri" w:cs="Calibri" w:eastAsia="Calibri" w:hAnsi="Calibri"/>
                <w:color w:val="26313F"/>
                <w:sz w:val="19"/>
                <w:szCs w:val="19"/>
              </w:rPr>
              <w:t xml:space="preserve">We mobilise teams within days, not weeks. Our pre-screened talent pool means zero delay in project kick-off.</w:t>
            </w:r>
          </w:p>
        </w:tc>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Quality Assurance</w:t>
            </w:r>
          </w:p>
          <w:p>
            <w:pPr>
              <w:spacing w:after="0"/>
            </w:pPr>
            <w:r>
              <w:rPr>
                <w:rFonts w:ascii="Calibri" w:cs="Calibri" w:eastAsia="Calibri" w:hAnsi="Calibri"/>
                <w:color w:val="26313F"/>
                <w:sz w:val="19"/>
                <w:szCs w:val="19"/>
              </w:rPr>
              <w:t xml:space="preserve">Every worker undergoes trade testing, document verification, and medical fitness checks before deployment.</w:t>
            </w:r>
          </w:p>
        </w:tc>
      </w:tr>
      <w:tr>
        <w:trPr>
          <w:trHeight w:val="100" w:hRule="atLeast"/>
        </w:trP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End-to-End Management</w:t>
            </w:r>
          </w:p>
          <w:p>
            <w:pPr>
              <w:spacing w:after="0"/>
            </w:pPr>
            <w:r>
              <w:rPr>
                <w:rFonts w:ascii="Calibri" w:cs="Calibri" w:eastAsia="Calibri" w:hAnsi="Calibri"/>
                <w:color w:val="26313F"/>
                <w:sz w:val="19"/>
                <w:szCs w:val="19"/>
              </w:rPr>
              <w:t xml:space="preserve">From sourcing to visa processing, travel logistics to on-site induction — we handle it all so you don't have to.</w:t>
            </w:r>
          </w:p>
        </w:tc>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Competitive Pricing</w:t>
            </w:r>
          </w:p>
          <w:p>
            <w:pPr>
              <w:spacing w:after="0"/>
            </w:pPr>
            <w:r>
              <w:rPr>
                <w:rFonts w:ascii="Calibri" w:cs="Calibri" w:eastAsia="Calibri" w:hAnsi="Calibri"/>
                <w:color w:val="26313F"/>
                <w:sz w:val="19"/>
                <w:szCs w:val="19"/>
              </w:rPr>
              <w:t xml:space="preserve">We offer transparent, competitive rates with no hidden fees. Our efficiency means you get more value per hire.</w:t>
            </w:r>
          </w:p>
        </w:tc>
      </w:tr>
      <w:tr>
        <w:trPr>
          <w:trHeight w:val="100" w:hRule="atLeast"/>
        </w:trP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r>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Proven Track Record</w:t>
            </w:r>
          </w:p>
          <w:p>
            <w:pPr>
              <w:spacing w:after="0"/>
            </w:pPr>
            <w:r>
              <w:rPr>
                <w:rFonts w:ascii="Calibri" w:cs="Calibri" w:eastAsia="Calibri" w:hAnsi="Calibri"/>
                <w:color w:val="26313F"/>
                <w:sz w:val="19"/>
                <w:szCs w:val="19"/>
              </w:rPr>
              <w:t xml:space="preserve">Over 10,000 manpower supplied across 9 industries and 19 target countries, with 600+ operators deployed to date.</w:t>
            </w:r>
          </w:p>
        </w:tc>
        <w:tc>
          <w:tcPr>
            <w:tcW w:type="dxa" w:w="4900"/>
            <w:tcBorders>
              <w:top w:val="none" w:color="FFFFFF" w:sz="0"/>
              <w:left w:val="none" w:color="FFFFFF" w:sz="0"/>
              <w:bottom w:val="none" w:color="FFFFFF" w:sz="0"/>
              <w:right w:val="none" w:color="FFFFFF" w:sz="0"/>
            </w:tcBorders>
            <w:shd w:fill="F3F6FA" w:val="clear"/>
            <w:tcMar>
              <w:top w:type="dxa" w:w="160"/>
              <w:left w:type="dxa" w:w="180"/>
              <w:bottom w:type="dxa" w:w="160"/>
              <w:right w:type="dxa" w:w="180"/>
            </w:tcMar>
            <w:vAlign w:val="top"/>
          </w:tcPr>
          <w:p>
            <w:pPr>
              <w:spacing w:after="40"/>
            </w:pPr>
            <w:r>
              <w:rPr>
                <w:rFonts w:ascii="Calibri" w:cs="Calibri" w:eastAsia="Calibri" w:hAnsi="Calibri"/>
                <w:b/>
                <w:bCs/>
                <w:color w:val="16305C"/>
                <w:sz w:val="20"/>
                <w:szCs w:val="20"/>
              </w:rPr>
              <w:t xml:space="preserve">Trusted Partnerships</w:t>
            </w:r>
          </w:p>
          <w:p>
            <w:pPr>
              <w:spacing w:after="0"/>
            </w:pPr>
            <w:r>
              <w:rPr>
                <w:rFonts w:ascii="Calibri" w:cs="Calibri" w:eastAsia="Calibri" w:hAnsi="Calibri"/>
                <w:color w:val="26313F"/>
                <w:sz w:val="19"/>
                <w:szCs w:val="19"/>
              </w:rPr>
              <w:t xml:space="preserve">Built on long-term relationships with contractors, project managers, and government entities across Africa and the GCC.</w:t>
            </w:r>
          </w:p>
        </w:tc>
      </w:tr>
      <w:tr>
        <w:trPr>
          <w:trHeight w:val="100" w:hRule="atLeast"/>
        </w:trPr>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c>
          <w:tcPr>
            <w:tcW w:type="dxa" w:w="490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r>
              <w:t xml:space="preserve"/>
            </w:r>
          </w:p>
        </w:tc>
      </w:tr>
    </w:tbl>
    <w:p>
      <w:pPr>
        <w:spacing w:after="60" w:before="180"/>
      </w:pPr>
      <w:r>
        <w:rPr>
          <w:rFonts w:ascii="Calibri" w:cs="Calibri" w:eastAsia="Calibri" w:hAnsi="Calibri"/>
          <w:b/>
          <w:bCs/>
          <w:color w:val="16305C"/>
          <w:sz w:val="22"/>
          <w:szCs w:val="22"/>
        </w:rPr>
        <w:t xml:space="preserve">How to Get Started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66"/>
        <w:gridCol w:w="3266"/>
        <w:gridCol w:w="3266"/>
      </w:tblGrid>
      <w:tr>
        <w:tc>
          <w:tcPr>
            <w:tcW w:type="dxa" w:w="3266"/>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1</w:t>
            </w:r>
          </w:p>
          <w:p>
            <w:pPr>
              <w:spacing w:after="40"/>
              <w:jc w:val="center"/>
            </w:pPr>
            <w:r>
              <w:rPr>
                <w:rFonts w:ascii="Calibri" w:cs="Calibri" w:eastAsia="Calibri" w:hAnsi="Calibri"/>
                <w:b/>
                <w:bCs/>
                <w:color w:val="16305C"/>
                <w:sz w:val="18"/>
                <w:szCs w:val="18"/>
              </w:rPr>
              <w:t xml:space="preserve">Share Requirements</w:t>
            </w:r>
          </w:p>
          <w:p>
            <w:pPr>
              <w:jc w:val="center"/>
            </w:pPr>
            <w:r>
              <w:rPr>
                <w:rFonts w:ascii="Calibri" w:cs="Calibri" w:eastAsia="Calibri" w:hAnsi="Calibri"/>
                <w:color w:val="5B6674"/>
                <w:sz w:val="16"/>
                <w:szCs w:val="16"/>
              </w:rPr>
              <w:t xml:space="preserve">Send us your role, headcount &amp; project location</w:t>
            </w:r>
          </w:p>
        </w:tc>
        <w:tc>
          <w:tcPr>
            <w:tcW w:type="dxa" w:w="3266"/>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2</w:t>
            </w:r>
          </w:p>
          <w:p>
            <w:pPr>
              <w:spacing w:after="40"/>
              <w:jc w:val="center"/>
            </w:pPr>
            <w:r>
              <w:rPr>
                <w:rFonts w:ascii="Calibri" w:cs="Calibri" w:eastAsia="Calibri" w:hAnsi="Calibri"/>
                <w:b/>
                <w:bCs/>
                <w:color w:val="16305C"/>
                <w:sz w:val="18"/>
                <w:szCs w:val="18"/>
              </w:rPr>
              <w:t xml:space="preserve">Receive a Proposal</w:t>
            </w:r>
          </w:p>
          <w:p>
            <w:pPr>
              <w:jc w:val="center"/>
            </w:pPr>
            <w:r>
              <w:rPr>
                <w:rFonts w:ascii="Calibri" w:cs="Calibri" w:eastAsia="Calibri" w:hAnsi="Calibri"/>
                <w:color w:val="5B6674"/>
                <w:sz w:val="16"/>
                <w:szCs w:val="16"/>
              </w:rPr>
              <w:t xml:space="preserve">Get candidate profiles &amp; timeline within 24 hours</w:t>
            </w:r>
          </w:p>
        </w:tc>
        <w:tc>
          <w:tcPr>
            <w:tcW w:type="dxa" w:w="3266"/>
            <w:tcBorders>
              <w:top w:val="single" w:color="E1E6ED" w:sz="4"/>
              <w:left w:val="single" w:color="E1E6ED" w:sz="4"/>
              <w:bottom w:val="single" w:color="E1E6ED" w:sz="4"/>
              <w:right w:val="single" w:color="E1E6ED" w:sz="4"/>
            </w:tcBorders>
            <w:shd w:fill="F3F6FA" w:val="clear"/>
            <w:tcMar>
              <w:top w:type="dxa" w:w="200"/>
              <w:left w:type="dxa" w:w="120"/>
              <w:bottom w:type="dxa" w:w="200"/>
              <w:right w:type="dxa" w:w="120"/>
            </w:tcMar>
            <w:vAlign w:val="top"/>
          </w:tcPr>
          <w:p>
            <w:pPr>
              <w:spacing w:after="60"/>
              <w:jc w:val="center"/>
            </w:pPr>
            <w:r>
              <w:rPr>
                <w:rFonts w:ascii="Calibri" w:cs="Calibri" w:eastAsia="Calibri" w:hAnsi="Calibri"/>
                <w:b/>
                <w:bCs/>
                <w:color w:val="F07C1D"/>
                <w:sz w:val="30"/>
                <w:szCs w:val="30"/>
              </w:rPr>
              <w:t xml:space="preserve">3</w:t>
            </w:r>
          </w:p>
          <w:p>
            <w:pPr>
              <w:spacing w:after="40"/>
              <w:jc w:val="center"/>
            </w:pPr>
            <w:r>
              <w:rPr>
                <w:rFonts w:ascii="Calibri" w:cs="Calibri" w:eastAsia="Calibri" w:hAnsi="Calibri"/>
                <w:b/>
                <w:bCs/>
                <w:color w:val="16305C"/>
                <w:sz w:val="18"/>
                <w:szCs w:val="18"/>
              </w:rPr>
              <w:t xml:space="preserve">Mobilise</w:t>
            </w:r>
          </w:p>
          <w:p>
            <w:pPr>
              <w:jc w:val="center"/>
            </w:pPr>
            <w:r>
              <w:rPr>
                <w:rFonts w:ascii="Calibri" w:cs="Calibri" w:eastAsia="Calibri" w:hAnsi="Calibri"/>
                <w:color w:val="5B6674"/>
                <w:sz w:val="16"/>
                <w:szCs w:val="16"/>
              </w:rPr>
              <w:t xml:space="preserve">We handle documentation, visas &amp; deployment</w:t>
            </w:r>
          </w:p>
        </w:tc>
      </w:tr>
    </w:tbl>
    <w:p>
      <w:pPr>
        <w:pBdr>
          <w:bottom w:val="single" w:color="F07C1D" w:sz="8" w:space="6"/>
        </w:pBdr>
        <w:spacing w:after="160" w:before="320"/>
      </w:pPr>
      <w:r>
        <w:rPr>
          <w:rFonts w:ascii="Calibri" w:cs="Calibri" w:eastAsia="Calibri" w:hAnsi="Calibri"/>
          <w:b/>
          <w:bCs/>
          <w:color w:val="16305C"/>
          <w:sz w:val="27"/>
          <w:szCs w:val="27"/>
        </w:rPr>
        <w:t xml:space="preserve">GET IN TOUCH</w:t>
      </w:r>
    </w:p>
    <w:p>
      <w:pPr>
        <w:spacing w:after="120" w:line="276"/>
      </w:pPr>
      <w:r>
        <w:rPr>
          <w:rFonts w:ascii="Calibri" w:cs="Calibri" w:eastAsia="Calibri" w:hAnsi="Calibri"/>
          <w:color w:val="26313F"/>
          <w:sz w:val="21"/>
          <w:szCs w:val="21"/>
        </w:rPr>
        <w:t xml:space="preserve">If you have any manpower or recruitment requirements for your upcoming projects in Africa, the GCC, or anywhere else — we are ready to assist. Our team will respond within 24 hours.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none" w:color="FFFFFF" w:sz="0"/>
              <w:bottom w:val="none" w:color="FFFFFF" w:sz="0"/>
              <w:right w:val="none" w:color="FFFFFF" w:sz="0"/>
            </w:tcBorders>
            <w:shd w:fill="16305C" w:val="clear"/>
            <w:tcMar>
              <w:top w:type="dxa" w:w="260"/>
              <w:left w:type="dxa" w:w="300"/>
              <w:bottom w:type="dxa" w:w="260"/>
              <w:right w:type="dxa" w:w="300"/>
            </w:tcMar>
            <w:vAlign w:val="top"/>
          </w:tcPr>
          <w:p>
            <w:pPr>
              <w:spacing w:after="100"/>
            </w:pPr>
            <w:r>
              <w:rPr>
                <w:rFonts w:ascii="Calibri" w:cs="Calibri" w:eastAsia="Calibri" w:hAnsi="Calibri"/>
                <w:b/>
                <w:bCs/>
                <w:color w:val="FFFFFF"/>
                <w:sz w:val="24"/>
                <w:szCs w:val="24"/>
              </w:rPr>
              <w:t xml:space="preserve">TALENTSYNC MANPOWER SERVICES</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FFFFFF"/>
                <w:sz w:val="21"/>
                <w:szCs w:val="21"/>
              </w:rPr>
              <w:t xml:space="preserve">Fujairah, UAE</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FFFFFF"/>
                <w:sz w:val="21"/>
                <w:szCs w:val="21"/>
              </w:rPr>
              <w:t xml:space="preserve">murad.f@talentsync-ae.com</w:t>
            </w:r>
          </w:p>
          <w:p>
            <w:pPr>
              <w:spacing w:after="70"/>
              <w:ind w:left="260" w:hanging="260"/>
            </w:pPr>
            <w:r>
              <w:rPr>
                <w:rFonts w:ascii="Calibri" w:cs="Calibri" w:eastAsia="Calibri" w:hAnsi="Calibri"/>
                <w:b/>
                <w:bCs/>
                <w:color w:val="F07C1D"/>
                <w:sz w:val="20"/>
                <w:szCs w:val="20"/>
              </w:rPr>
              <w:t xml:space="preserve">■  </w:t>
            </w:r>
            <w:r>
              <w:rPr>
                <w:rFonts w:ascii="Calibri" w:cs="Calibri" w:eastAsia="Calibri" w:hAnsi="Calibri"/>
                <w:color w:val="FFFFFF"/>
                <w:sz w:val="21"/>
                <w:szCs w:val="21"/>
              </w:rPr>
              <w:t xml:space="preserve">+971 55 177 2283</w:t>
            </w:r>
          </w:p>
          <w:p>
            <w:pPr>
              <w:spacing w:before="100"/>
            </w:pPr>
            <w:r>
              <w:rPr>
                <w:rFonts w:ascii="Calibri" w:cs="Calibri" w:eastAsia="Calibri" w:hAnsi="Calibri"/>
                <w:b/>
                <w:bCs/>
                <w:color w:val="F07C1D"/>
                <w:sz w:val="20"/>
                <w:szCs w:val="20"/>
              </w:rPr>
              <w:t xml:space="preserve">■  Available 24/7 for urgent project requirements</w:t>
            </w:r>
          </w:p>
        </w:tc>
      </w:tr>
    </w:tbl>
    <w:p>
      <w:pPr>
        <w:spacing w:before="260"/>
        <w:jc w:val="center"/>
      </w:pPr>
      <w:r>
        <w:rPr>
          <w:rFonts w:ascii="Calibri" w:cs="Calibri" w:eastAsia="Calibri" w:hAnsi="Calibri"/>
          <w:i/>
          <w:iCs/>
          <w:color w:val="5B6674"/>
          <w:sz w:val="18"/>
          <w:szCs w:val="18"/>
        </w:rPr>
        <w:t xml:space="preserve">TalentSync Manpower Services · Fujairah, UAE · Your People, Our Priority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6ED" w:sz="4" w:space="6"/>
      </w:pBdr>
      <w:jc w:val="center"/>
    </w:pPr>
    <w:r>
      <w:rPr>
        <w:rFonts w:ascii="Calibri" w:cs="Calibri" w:eastAsia="Calibri" w:hAnsi="Calibri"/>
        <w:color w:val="5B6674"/>
        <w:sz w:val="15"/>
        <w:szCs w:val="15"/>
      </w:rPr>
      <w:t xml:space="preserve">TalentSync Manpower Services  |  Fujairah, UAE  |  murad.f@talentsync-ae.com  |  +971 55 177 2283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4"/>
        <w:sz w:val="15"/>
        <w:szCs w:val="15"/>
      </w:rPr>
      <w:t xml:space="preserve">TalentSync Manpower Services |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aa64084bdf71347f1e66405e45fd7261b16c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2026-08-28T07:28:59.641Z</dcterms:created>
  <dcterms:modified xsi:type="dcterms:W3CDTF">2026-08-28T07:28:59.653Z</dcterms:modified>
</cp:coreProperties>
</file>

<file path=docProps/custom.xml><?xml version="1.0" encoding="utf-8"?>
<Properties xmlns="http://schemas.openxmlformats.org/officeDocument/2006/custom-properties" xmlns:vt="http://schemas.openxmlformats.org/officeDocument/2006/docPropsVTypes"/>
</file>