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Term Definitions</w:t>
      </w:r>
    </w:p>
    <w:p>
      <w:pPr>
        <w:spacing w:after="400"/>
        <w:jc w:val="center"/>
      </w:pPr>
      <w:r>
        <w:rPr>
          <w:i/>
          <w:iCs/>
        </w:rPr>
        <w:t xml:space="preserve">Qaium Hossain</w:t>
      </w:r>
    </w:p>
    <w:p>
      <w:pPr>
        <w:spacing w:after="60" w:before="200"/>
      </w:pPr>
      <w:r>
        <w:rPr>
          <w:b/>
          <w:bCs/>
        </w:rPr>
        <w:t xml:space="preserve">EDI (Electronic Data Interchange)</w:t>
      </w:r>
    </w:p>
    <w:p>
      <w:pPr>
        <w:spacing w:after="120"/>
      </w:pPr>
      <w:r>
        <w:t xml:space="preserve">The computer-to-computer exchange of standardized business documents — purchase orders, invoices, advance shipping notices, and similar transactions — directly between the information systems of trading partners, in a structured, machine-readable format (e.g., ANSI X12, EDIFACT) and without manual re-keying or human intervention.</w:t>
      </w:r>
    </w:p>
    <w:p>
      <w:pPr>
        <w:spacing w:after="60" w:before="200"/>
      </w:pPr>
      <w:r>
        <w:rPr>
          <w:b/>
          <w:bCs/>
        </w:rPr>
        <w:t xml:space="preserve">Purchase Price Variance (PPV)</w:t>
      </w:r>
    </w:p>
    <w:p>
      <w:pPr>
        <w:spacing w:after="120"/>
      </w:pPr>
      <w:r>
        <w:t xml:space="preserve">The difference between the standard, budgeted, or planned cost of a purchased item and the actual price paid for it, multiplied by the quantity purchased. It is a common metric for evaluating how well the purchasing function controls material costs relative to a cost baseline set at the start of a period.</w:t>
      </w:r>
    </w:p>
    <w:p>
      <w:pPr>
        <w:spacing w:after="60" w:before="200"/>
      </w:pPr>
      <w:r>
        <w:rPr>
          <w:b/>
          <w:bCs/>
        </w:rPr>
        <w:t xml:space="preserve">Market-based price model</w:t>
      </w:r>
    </w:p>
    <w:p>
      <w:pPr>
        <w:spacing w:after="120"/>
      </w:pPr>
      <w:r>
        <w:t xml:space="preserve">A pricing approach in which the price paid for a good or service is determined by prevailing supply-and-demand conditions in the open market — for example, a published commodity index, spot-market price, or exchange quote — rather than by the individual supplier's internal cost structure. Prices move with the market and are typically used for commoditized items with transparent, actively traded pricing.</w:t>
      </w:r>
    </w:p>
    <w:p>
      <w:pPr>
        <w:spacing w:after="60" w:before="200"/>
      </w:pPr>
      <w:r>
        <w:rPr>
          <w:b/>
          <w:bCs/>
        </w:rPr>
        <w:t xml:space="preserve">Cost-based price model</w:t>
      </w:r>
    </w:p>
    <w:p>
      <w:pPr>
        <w:spacing w:after="120"/>
      </w:pPr>
      <w:r>
        <w:t xml:space="preserve">A pricing approach in which the price is built up from the supplier's actual or estimated cost to produce the good or service (direct materials, direct labor, overhead) plus an agreed markup or profit margin. It is typically used when no transparent market price exists, such as for custom-engineered items or services, and often requires the buyer to have visibility into the supplier's cost structure (open-book costing).</w:t>
      </w:r>
    </w:p>
    <w:p>
      <w:pPr>
        <w:spacing w:after="60" w:before="200"/>
      </w:pPr>
      <w:r>
        <w:rPr>
          <w:b/>
          <w:bCs/>
        </w:rPr>
        <w:t xml:space="preserve">Competitive bidding</w:t>
      </w:r>
    </w:p>
    <w:p>
      <w:pPr>
        <w:spacing w:after="120"/>
      </w:pPr>
      <w:r>
        <w:t xml:space="preserve">A procurement method in which a buyer issues an identical specification or scope of work to multiple qualified suppliers and solicits sealed or otherwise comparable price/proposal quotes from them. The buyer then awards the business based on a structured comparison of the bids across criteria such as price, quality, capability, and delivery, with the goal of achieving the best overall value through supplier competition.</w:t>
      </w:r>
    </w:p>
    <w:p>
      <w:pPr>
        <w:spacing w:after="60" w:before="200"/>
      </w:pPr>
      <w:r>
        <w:rPr>
          <w:b/>
          <w:bCs/>
        </w:rPr>
        <w:t xml:space="preserve">Channel Assembly</w:t>
      </w:r>
    </w:p>
    <w:p>
      <w:pPr>
        <w:spacing w:after="120"/>
      </w:pPr>
      <w:r>
        <w:t xml:space="preserve">A supply chain strategy in which final assembly, configuration, or customization of a product is performed downstream in the distribution channel — by a distributor, reseller, or fulfillment partner — rather than by the original manufacturer. It allows the manufacturer to ship generic, undifferentiated sub-assemblies and defer product differentiation until closer to the point of sale, reducing finished-goods inventory risk and improving responsiveness to actual demand (a form of postponement).</w:t>
      </w:r>
    </w:p>
    <w:p>
      <w:pPr>
        <w:spacing w:after="60" w:before="200"/>
      </w:pPr>
      <w:r>
        <w:rPr>
          <w:b/>
          <w:bCs/>
        </w:rPr>
        <w:t xml:space="preserve">XML (eXtensible Markup Language)</w:t>
      </w:r>
    </w:p>
    <w:p>
      <w:pPr>
        <w:spacing w:after="120"/>
      </w:pPr>
      <w:r>
        <w:t xml:space="preserve">A markup language that uses self-describing, custom-defined tags to structure data in a hierarchical (tree) format that is both human-readable and machine-parseable. It is widely used to exchange structured business data between systems and applications — including as an internet-based alternative or complement to traditional EDI — because its schema (tags and structure) can be tailored to the specific data being exchanged.</w:t>
      </w:r>
    </w:p>
    <w:p>
      <w:pPr>
        <w:spacing w:after="60" w:before="200"/>
      </w:pPr>
      <w:r>
        <w:rPr>
          <w:b/>
          <w:bCs/>
        </w:rPr>
        <w:t xml:space="preserve">JSON (JavaScript Object Notation)</w:t>
      </w:r>
    </w:p>
    <w:p>
      <w:pPr>
        <w:spacing w:after="120"/>
      </w:pPr>
      <w:r>
        <w:t xml:space="preserve">A lightweight, text-based data-interchange format that represents data as collections of key–value pairs (objects) and ordered lists (arrays). It is less verbose than XML, maps directly onto native data structures in most programming languages, and has become the de facto standard format for exchanging data through modern web and application-programming interfaces (APIs).</w:t>
      </w:r>
    </w:p>
    <w:p>
      <w:pPr>
        <w:spacing w:after="60" w:before="200"/>
      </w:pPr>
      <w:r>
        <w:rPr>
          <w:b/>
          <w:bCs/>
        </w:rPr>
        <w:t xml:space="preserve">Drop Shipping</w:t>
      </w:r>
    </w:p>
    <w:p>
      <w:pPr>
        <w:spacing w:after="120"/>
      </w:pPr>
      <w:r>
        <w:t xml:space="preserve">An order-fulfillment arrangement in which the retailer or seller never takes physical possession of the inventory it sells. Instead, when a customer places an order, the seller forwards the order details to a manufacturer, distributor, or wholesaler, who ships the product directly to the end customer on the seller's behalf — eliminating the retailer's need to hold, warehouse, or handle the product.</w:t>
      </w:r>
    </w:p>
    <w:p>
      <w:pPr>
        <w:spacing w:after="60" w:before="200"/>
      </w:pPr>
      <w:r>
        <w:rPr>
          <w:b/>
          <w:bCs/>
        </w:rPr>
        <w:t xml:space="preserve">Vendor Managed Inventory (VMI)</w:t>
      </w:r>
    </w:p>
    <w:p>
      <w:pPr>
        <w:spacing w:after="120"/>
      </w:pPr>
      <w:r>
        <w:t xml:space="preserve">A collaborative supply chain arrangement in which the supplier (vendor), rather than the buyer/customer, takes responsibility for monitoring the buyer's inventory levels — typically using shared point-of-sale, usage, or stock-level data — and for deciding when and how much to replenish. The goal is to maintain agreed service levels and reduce stockouts while lowering the buyer's inventory-management workload and, often, overall supply chain inventory and costs.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2026-09-10T20:54:31.213Z</dcterms:created>
  <dcterms:modified xsi:type="dcterms:W3CDTF">2026-09-10T20:54:31.213Z</dcterms:modified>
</cp:coreProperties>
</file>

<file path=docProps/custom.xml><?xml version="1.0" encoding="utf-8"?>
<Properties xmlns="http://schemas.openxmlformats.org/officeDocument/2006/custom-properties" xmlns:vt="http://schemas.openxmlformats.org/officeDocument/2006/docPropsVTypes"/>
</file>