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53A5B"/>
          <w:sz w:val="48"/>
        </w:rPr>
        <w:t>1.4 — UX Cadrage V1</w:t>
      </w:r>
    </w:p>
    <w:p>
      <w:r>
        <w:rPr>
          <w:b/>
          <w:color w:val="1F5D7A"/>
          <w:sz w:val="32"/>
        </w:rPr>
        <w:t>SaaS suisse de clôture comptable</w:t>
      </w:r>
    </w:p>
    <w:p>
      <w:r>
        <w:rPr>
          <w:i/>
          <w:color w:val="556B7A"/>
          <w:sz w:val="23"/>
        </w:rPr>
        <w:t>Source de vérité de l’exécution UX pour la phase actuelle</w:t>
      </w:r>
    </w:p>
    <w:p>
      <w:r>
        <w:rPr>
          <w:color w:val="556B7A"/>
          <w:sz w:val="19"/>
        </w:rPr>
        <w:t>Version 1.0  |  Statut : cadrage exécutable V1  |  Périmètre : backend-first, desktop-first, AI-ready</w:t>
      </w:r>
    </w:p>
    <w:tbl>
      <w:tblPr>
        <w:tblW w:type="auto" w:w="0"/>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fill="EDF4F8"/>
            <w:tcMar>
              <w:top w:w="100" w:type="dxa"/>
              <w:start w:w="160" w:type="dxa"/>
              <w:bottom w:w="100" w:type="dxa"/>
              <w:end w:w="160" w:type="dxa"/>
            </w:tcMar>
          </w:tcPr>
          <w:p>
            <w:r>
              <w:rPr>
                <w:color w:val="243B53"/>
                <w:sz w:val="21"/>
              </w:rPr>
              <w:t>Ce document ne remplace pas la vision UX (1.1), le playbook UX (1.2) ni la source de vérité UI (1.3). Il les recadre pour la phase actuelle. Sa fonction est simple : dire ce qui est vrai maintenant, ce qui est explicitement hors scope, et comment l’expérience doit rester cohérente pendant la montée en puissance du produit.</w:t>
            </w:r>
          </w:p>
        </w:tc>
      </w:tr>
    </w:tbl>
    <w:p/>
    <w:p>
      <w:pPr>
        <w:pStyle w:val="Heading1"/>
      </w:pPr>
      <w:r>
        <w:t>Lecture rapide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175"/>
        <w:gridCol w:w="3175"/>
        <w:gridCol w:w="3175"/>
      </w:tblGrid>
      <w:tr>
        <w:tc>
          <w:tcPr>
            <w:tcW w:type="dxa" w:w="2891"/>
            <w:shd w:fill="EAF2F8"/>
            <w:tcMar>
              <w:top w:w="80" w:type="dxa"/>
              <w:start w:w="110" w:type="dxa"/>
              <w:bottom w:w="90" w:type="dxa"/>
              <w:end w:w="110" w:type="dxa"/>
            </w:tcMar>
          </w:tcPr>
          <w:p>
            <w:r>
              <w:rPr>
                <w:b/>
                <w:color w:val="153A5B"/>
                <w:sz w:val="22"/>
              </w:rPr>
              <w:t>Ce qui est vrai maintenant</w:t>
            </w:r>
          </w:p>
          <w:p>
            <w:r>
              <w:rPr>
                <w:color w:val="243B53"/>
                <w:sz w:val="19"/>
              </w:rPr>
              <w:t>Monolithe modulaire backend-first, REST-first, Cloud Run + Cloud SQL, multi-tenant strict, audit append-only, closing + import balance + mapping manuel déjà alignés côté cœur métier.</w:t>
            </w:r>
          </w:p>
        </w:tc>
        <w:tc>
          <w:tcPr>
            <w:tcW w:type="dxa" w:w="2891"/>
            <w:shd w:fill="F3F7F9"/>
            <w:tcMar>
              <w:top w:w="80" w:type="dxa"/>
              <w:start w:w="110" w:type="dxa"/>
              <w:bottom w:w="90" w:type="dxa"/>
              <w:end w:w="110" w:type="dxa"/>
            </w:tcMar>
          </w:tcPr>
          <w:p>
            <w:r>
              <w:rPr>
                <w:b/>
                <w:color w:val="153A5B"/>
                <w:sz w:val="22"/>
              </w:rPr>
              <w:t>Ce qui est hors scope maintenant</w:t>
            </w:r>
          </w:p>
          <w:p>
            <w:r>
              <w:rPr>
                <w:color w:val="243B53"/>
                <w:sz w:val="19"/>
              </w:rPr>
              <w:t>Frontend riche, GraphQL, IA opérationnelle au cœur du runtime, mobile profond, workpapers, exports, financial statements et tout flux qui brouille la lisibilité du cockpit V1.</w:t>
            </w:r>
          </w:p>
        </w:tc>
        <w:tc>
          <w:tcPr>
            <w:tcW w:type="dxa" w:w="2891"/>
            <w:shd w:fill="EEF3F6"/>
            <w:tcMar>
              <w:top w:w="80" w:type="dxa"/>
              <w:start w:w="110" w:type="dxa"/>
              <w:bottom w:w="90" w:type="dxa"/>
              <w:end w:w="110" w:type="dxa"/>
            </w:tcMar>
          </w:tcPr>
          <w:p>
            <w:r>
              <w:rPr>
                <w:b/>
                <w:color w:val="153A5B"/>
                <w:sz w:val="22"/>
              </w:rPr>
              <w:t>Ce qui reste la cible long terme</w:t>
            </w:r>
          </w:p>
          <w:p>
            <w:r>
              <w:rPr>
                <w:color w:val="243B53"/>
                <w:sz w:val="19"/>
              </w:rPr>
              <w:t>Une expérience premium, data-heavy, audit-ready, evidence-first, multi-device et AI-native, mais introduite par vagues sans dégrader la fiabilité ni la compréhension du produit.</w:t>
            </w:r>
          </w:p>
        </w:tc>
      </w:tr>
    </w:tbl>
    <w:p>
      <w:pPr>
        <w:pStyle w:val="Heading1"/>
      </w:pPr>
      <w:r>
        <w:t>1. Rôle du document</w:t>
      </w:r>
    </w:p>
    <w:p>
      <w:pPr>
        <w:spacing w:after="120"/>
      </w:pPr>
      <w:r>
        <w:t>Le document 1.4 a priorité sur les arbitrages de scope et de focalisation de la V1 actuelle. En cas de tension entre ambition long terme et exécution immédiate, c’est ce document qui tranche le présent. La vision conserve la destination ; le cadrage définit la route praticable maintenant.</w:t>
      </w:r>
    </w:p>
    <w:p>
      <w:pPr>
        <w:spacing w:after="120"/>
      </w:pPr>
      <w:r>
        <w:t>Sa mission n’est pas de réduire l’ambition du produit, mais d’empêcher deux dérives classiques : premièrement, confondre la North Star avec le backlog immédiat ; deuxièmement, laisser chaque sprint reconstruire implicitement une UX différente.</w:t>
      </w:r>
    </w:p>
    <w:p>
      <w:pPr>
        <w:pStyle w:val="Heading1"/>
      </w:pPr>
      <w:r>
        <w:t>2. Décisions de phase qui impactent directement l’UX</w:t>
      </w:r>
    </w:p>
    <w:p>
      <w:pPr>
        <w:spacing w:after="120"/>
      </w:pPr>
      <w:r>
        <w:t>La plateforme actuelle se construit backend-first autour d’un moteur déterministe. Cette décision a une conséquence UX majeure : les premiers écrans et contrats d’interaction doivent privilégier la compréhension, la traçabilité et la réduction de l’ambiguïté avant toute sophistication d’assistance.</w:t>
      </w:r>
    </w:p>
    <w:p>
      <w:pPr>
        <w:spacing w:after="120"/>
      </w:pPr>
      <w:r>
        <w:t>L’API reste REST-first au stade actuel, ce qui favorise des parcours explicites, des actions métier lisibles et des statuts clairs. L’UX doit donc refléter des commandes et lectures nettes, sans composition artificielle ni écran qui masquerait les règles métier.</w:t>
      </w:r>
    </w:p>
    <w:p>
      <w:pPr>
        <w:spacing w:after="120"/>
      </w:pPr>
      <w:r>
        <w:t>L’IA n’est pas encore une capacité runtime structurante de la V1. L’expérience actuelle doit donc être conçue comme “AI-ready, not AI-led” : aucun écran ne doit dépendre d’une promesse d’assistance intelligente pour rester compréhensible, utilisable et crédible.</w:t>
      </w:r>
    </w:p>
    <w:p>
      <w:pPr>
        <w:pStyle w:val="Heading1"/>
      </w:pPr>
      <w:r>
        <w:t>3. Principes UX non négociables de la phase actuelle</w:t>
      </w:r>
    </w:p>
    <w:p>
      <w:pPr>
        <w:spacing w:after="120"/>
      </w:pPr>
      <w:r>
        <w:t>Le produit reste un workbench de clôture, pas un SaaS générique. Les tableaux, filtres, preuves, statuts, montants et contextes de dossier sont des éléments de premier rang. Une interface acceptable doit aider un expert à avancer sous pression, pas à admirer un design système abstrait.</w:t>
      </w:r>
    </w:p>
    <w:p>
      <w:pPr>
        <w:spacing w:after="120"/>
      </w:pPr>
      <w:r>
        <w:t>La confiance doit être visible. Le tenant, le dossier, le statut, la dernière importation utile, le niveau de préparation et les éléments bloquants doivent être faciles à voir. Aucun écran sensible ne doit faire disparaître le contexte client ou la nature de l’action en cours.</w:t>
      </w:r>
    </w:p>
    <w:p>
      <w:pPr>
        <w:spacing w:after="120"/>
      </w:pPr>
      <w:r>
        <w:t>La vitesse prime, mais sans panique. Hors actions irréversibles, on préfère un retour explicite et un mécanisme d’annulation ou de correction rapide à une forêt de confirmations modales. Cette règle doit guider les futurs écrans d’import, de mapping et de contrôle.</w:t>
      </w:r>
    </w:p>
    <w:p>
      <w:pPr>
        <w:spacing w:after="120"/>
      </w:pPr>
      <w:r>
        <w:t>La sobriété est une discipline, pas une austérité. L’interface doit rester premium et claire, mais chaque ajout doit prouver sa valeur opérationnelle. L’écran idéal montre l’essentiel, puis laisse respirer le reste.</w:t>
      </w:r>
    </w:p>
    <w:p>
      <w:pPr>
        <w:pStyle w:val="Heading1"/>
      </w:pPr>
      <w:r>
        <w:t>4. Utilisateurs prioritaires et moments d’usage réellement couverts</w:t>
      </w:r>
    </w:p>
    <w:p>
      <w:pPr>
        <w:spacing w:after="120"/>
      </w:pPr>
      <w:r>
        <w:t>Dans la phase actuelle, le produit sert d’abord trois profils : l’assistant comptable qui importe et structure, le reviewer qui lit et vérifie, et le manager qui arbitre et fait avancer le dossier. L’expérience doit donc favoriser les séquences courtes, fréquentes, décisionnelles, plutôt qu’une couverture fonctionnelle encyclopédique.</w:t>
      </w:r>
    </w:p>
    <w:p>
      <w:pPr>
        <w:spacing w:after="120"/>
      </w:pPr>
      <w:r>
        <w:t>Les moments d’usage déjà légitimes ou immédiatement cohérents avec le produit sont : créer ou ouvrir un dossier de closing, importer une balance, comprendre la dernière version utile de cette balance, établir un mapping manuel stable, puis préparer la lecture de readiness et de contrôles. Les usages plus riches de revue documentaire, de pack final, d’annexes ou d’assistance IA restent hors du noyau UX actuel.</w:t>
      </w:r>
    </w:p>
    <w:p>
      <w:pPr>
        <w:pStyle w:val="Heading1"/>
      </w:pPr>
      <w:r>
        <w:t>5. Ce que l’expérience V1 doit montrer maintenant</w:t>
      </w:r>
    </w:p>
    <w:p>
      <w:pPr>
        <w:spacing w:after="120"/>
      </w:pPr>
      <w:r>
        <w:t>L’état de vérité actuel du produit peut être résumé ainsi : le dossier existe, la balance peut être importée et versionnée, le mapping manuel existe et survit au réimport tant que le compte existe encore dans le dernier import. Cette trajectoire produit doit se refléter visuellement dans les futurs écrans et dans la navigation.</w:t>
      </w:r>
    </w:p>
    <w:p>
      <w:pPr>
        <w:spacing w:after="120"/>
      </w:pPr>
      <w:r>
        <w:t>Le système d’écrans actuel ou à très court terme doit donc privilégier : une entrée dossier de closing claire, un point d’accès lisible à l’historique d’imports, une projection déterministe du mapping courant, puis une porte d’entrée vers les contrôles. Le chemin logique doit rester visible : dossier → import → mapping → contrôles.</w:t>
      </w:r>
    </w:p>
    <w:p>
      <w:pPr>
        <w:pStyle w:val="Heading1"/>
      </w:pPr>
      <w:r>
        <w:t>6. Focus navigation et architecture de l’information V1</w:t>
      </w:r>
    </w:p>
    <w:p>
      <w:pPr>
        <w:spacing w:after="120"/>
      </w:pPr>
      <w:r>
        <w:t>La navigation desktop doit rester concise, explicite et orientée tâches métier. La recommandation de base reste un nombre limité d’entrées principales, avec des libellés métier compréhensibles et un accès rapide aux écrans data-heavy.</w:t>
      </w:r>
    </w:p>
    <w:p>
      <w:pPr>
        <w:spacing w:after="120"/>
      </w:pPr>
      <w:r>
        <w:t>Dans la phase actuelle, le produit n’a pas besoin d’une navigation profonde ni d’une recherche globale tout-terrain pour être utile. En revanche, il a besoin d’un shell stable où le tenant, le dossier actif et la section courante restent visibles en permanence. Le header et la zone de contexte sont donc plus importants qu’un menu sophistiqué.</w:t>
      </w:r>
    </w:p>
    <w:p>
      <w:pPr>
        <w:spacing w:after="120"/>
      </w:pPr>
      <w:r>
        <w:t>Le principe de hiérarchie est simple : une seule zone de travail principale par écran, une seule action primaire dominante, et des actions secondaires clairement séparées. Aucune fonctionnalité critique ne doit dépendre d’un hover, d’un drawer implicite ou d’une couleur seule.</w:t>
      </w:r>
    </w:p>
    <w:p>
      <w:pPr>
        <w:pStyle w:val="Heading1"/>
      </w:pPr>
      <w:r>
        <w:t>7. Règles UX par capacité déjà construite</w:t>
      </w:r>
    </w:p>
    <w:p>
      <w:pPr>
        <w:spacing w:after="120"/>
      </w:pPr>
      <w:r>
        <w:t>Closing folder. L’expérience doit rendre le dossier lisible comme objet central de travail : identité, période, statut, état d’archivage et tenant doivent être immédiatement visibles. La lecture reste autorisée sur un dossier archivé ; l’écriture doit être bloquée de manière compréhensible.</w:t>
      </w:r>
    </w:p>
    <w:p>
      <w:pPr>
        <w:spacing w:after="120"/>
      </w:pPr>
      <w:r>
        <w:t>Import balance. L’import doit être perçu comme une action transactionnelle et non destructive. Une erreur ne doit jamais laisser l’utilisateur dans l’incertitude sur ce qui a été persisté ou non. Les versions doivent être compréhensibles, ordonnées et comparables.</w:t>
      </w:r>
    </w:p>
    <w:p>
      <w:pPr>
        <w:spacing w:after="120"/>
      </w:pPr>
      <w:r>
        <w:t>Manual mapping. Le mapping manuel doit être présenté comme la projection courante sur le dernier import, et non comme une donnée flottante sans contexte. Si aucun import n’existe, la lecture doit rester possible mais vide. Si un mapping devient non projetable après réimport, il peut subsister en base mais ne doit pas polluer l’écran.</w:t>
      </w:r>
    </w:p>
    <w:p>
      <w:pPr>
        <w:spacing w:after="120"/>
      </w:pPr>
      <w:r>
        <w:t>Controls. La prochaine capacité logique est la lecture d’un état de readiness déterministe. Le futur écran de contrôles devra répondre à une question simple : est-ce prêt, qu’est-ce qui bloque, et où agir ensuite ?</w:t>
      </w:r>
    </w:p>
    <w:p>
      <w:pPr>
        <w:pStyle w:val="Heading1"/>
      </w:pPr>
      <w:r>
        <w:t>8. Positionnement UX de l’IA dans la phase actuelle</w:t>
      </w:r>
    </w:p>
    <w:p>
      <w:pPr>
        <w:spacing w:after="120"/>
      </w:pPr>
      <w:r>
        <w:t>La vision produit reste AI-native à long terme, mais la phase actuelle ne doit pas donner l’illusion d’une intelligence omniprésente. Les écrans de base doivent fonctionner, se comprendre et inspirer confiance sans dépendre d’un copilote. L’IA, aujourd’hui, est un cadre de gouvernance et d’anticipation, pas une promesse d’usage centrale.</w:t>
      </w:r>
    </w:p>
    <w:p>
      <w:pPr>
        <w:spacing w:after="120"/>
      </w:pPr>
      <w:r>
        <w:t>Conséquence UX : aucun wording ne doit suggérer une certitude automatique, aucune action sensible ne doit être implicitement déléguée, et aucune interface ne doit masquer la preuve ou le contexte métier derrière une recommandation opaque.</w:t>
      </w:r>
    </w:p>
    <w:p>
      <w:pPr>
        <w:pStyle w:val="Heading1"/>
      </w:pPr>
      <w:r>
        <w:t>9. Desktop-first, mobile-adapted, mais pas mobile-driven</w:t>
      </w:r>
    </w:p>
    <w:p>
      <w:pPr>
        <w:spacing w:after="120"/>
      </w:pPr>
      <w:r>
        <w:t>La V1 actuelle doit être pensée desktop-first. Le workbench de clôture, l’import de balance, le mapping et les futurs contrôles sont des tâches à forte densité d’information, plus naturelles sur desktop ou grand écran. La promesse multi-device n’est pas abandonnée ; elle est phasée.</w:t>
      </w:r>
    </w:p>
    <w:p>
      <w:pPr>
        <w:spacing w:after="120"/>
      </w:pPr>
      <w:r>
        <w:t>Concrètement, cela signifie : responsive propre, lisibilité préservée, mais aucun effort excessif pour transformer immédiatement toutes les tâches V1 en parcours mobile-first. Le mobile peut rester consultatif ou opportuniste sur cette phase, tant que la cohérence des concepts est maintenue.</w:t>
      </w:r>
    </w:p>
    <w:p>
      <w:pPr>
        <w:pStyle w:val="Heading1"/>
      </w:pPr>
      <w:r>
        <w:t>10. Définition de done UX pour la phase actuelle</w:t>
      </w:r>
    </w:p>
    <w:p>
      <w:pPr>
        <w:spacing w:after="120"/>
      </w:pPr>
      <w:r>
        <w:t>Une fonctionnalité ne peut pas être considérée comme prête si elle est seulement correcte côté backend. Dans cette phase, la définition de done UX minimale doit inclure : contexte tenant et dossier visible sur les écrans sensibles ; hiérarchie claire ; action primaire unique ; états vides, loading et erreur explicites ; navigation clavier correcte ; messages d’erreur exploitables ; et absence d’ambiguïté sur ce qui a été persisté.</w:t>
      </w:r>
    </w:p>
    <w:p>
      <w:pPr>
        <w:spacing w:after="120"/>
      </w:pPr>
      <w:r>
        <w:t>Pour les écrans data-heavy, la done UX doit aussi inclure : tri déterministe, formats monétaires lisibles, alignements stables, distinction nette entre état courant et état historique, et absence de bruit visuel.</w:t>
      </w:r>
    </w:p>
    <w:p>
      <w:pPr>
        <w:pStyle w:val="Heading1"/>
      </w:pPr>
      <w:r>
        <w:t>11. Out of scope UX de la phase actuelle</w:t>
      </w:r>
    </w:p>
    <w:p>
      <w:pPr>
        <w:spacing w:after="120"/>
      </w:pPr>
      <w:r>
        <w:t>Sont explicitement hors scope maintenant : le wizard d’onboarding riche, l’expérience mobile complète, la navigation transversale avancée, les surfaces IA centrales, les workpapers, le pack final, les exports et toute couche de revue documentaire riche. Cela ne veut pas dire que ces sujets disparaissent ; cela veut dire qu’ils ne doivent pas polluer les décisions UX de la phase actuelle.</w:t>
      </w:r>
    </w:p>
    <w:p>
      <w:pPr>
        <w:spacing w:after="120"/>
      </w:pPr>
      <w:r>
        <w:t>L’erreur à éviter est de concevoir aujourd’hui une interface comme si toutes les capacités futures étaient déjà présentes. Le produit doit d’abord devenir évident sur son chemin critique.</w:t>
      </w:r>
    </w:p>
    <w:p>
      <w:pPr>
        <w:pStyle w:val="Heading1"/>
      </w:pPr>
      <w:r>
        <w:t>12. Impacts directs pour produit, design et engineering</w:t>
      </w:r>
    </w:p>
    <w:p>
      <w:pPr>
        <w:spacing w:after="120"/>
      </w:pPr>
      <w:r>
        <w:t>Produit : prioriser les écrans et décisions qui rendent le flux dossier → import → mapping → contrôles incontestable.</w:t>
      </w:r>
    </w:p>
    <w:p>
      <w:pPr>
        <w:spacing w:after="120"/>
      </w:pPr>
      <w:r>
        <w:t>Design : s’appuyer sur 1.3 pour la grammaire visuelle, mais ne pas sur-spécifier des composants ou patterns qui n’ont pas encore d’usage légitime dans le produit courant.</w:t>
      </w:r>
    </w:p>
    <w:p>
      <w:pPr>
        <w:spacing w:after="120"/>
      </w:pPr>
      <w:r>
        <w:t>Engineering : construire des écrans lisibles, déterministes et cohérents avec les contrats backend, plutôt que d’anticiper des compositions futures non encore utiles.</w:t>
      </w:r>
    </w:p>
    <w:p>
      <w:pPr>
        <w:spacing w:after="120"/>
      </w:pPr>
      <w:r>
        <w:t>Codex et les développeurs doivent comprendre une règle simple : la vision long terme reste intacte, mais le cadrage UX V1 tranche le présent.</w:t>
      </w:r>
    </w:p>
    <w:p>
      <w:pPr>
        <w:pStyle w:val="Heading1"/>
      </w:pPr>
      <w:r>
        <w:t>13. Sources de cadrage utilisées</w:t>
      </w:r>
    </w:p>
    <w:p>
      <w:pPr>
        <w:spacing w:after="120"/>
      </w:pPr>
      <w:r>
        <w:t>Ce document s’appuie principalement sur la vision UX, le playbook UX, la source de vérité UI et le plan de développement V1, complétés par les décisions d’architecture et de delivery réellement actées dans le repo et dans les sprints récents.</w:t>
      </w:r>
    </w:p>
    <w:p>
      <w:pPr>
        <w:spacing w:after="120"/>
      </w:pPr>
      <w:r>
        <w:t>Il doit être relu après chaque vague majeure qui modifie réellement l’expérience : controls, états financiers, workpapers, exports, puis surfaces IA.</w:t>
      </w:r>
    </w:p>
    <w:p>
      <w:pPr>
        <w:pStyle w:val="Heading1"/>
      </w:pPr>
      <w:r>
        <w:t>14. Séquence UX de delivery recommandée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2381"/>
        <w:gridCol w:w="2381"/>
        <w:gridCol w:w="2381"/>
        <w:gridCol w:w="2381"/>
      </w:tblGrid>
      <w:tr>
        <w:tc>
          <w:tcPr>
            <w:tcW w:type="dxa" w:w="1587"/>
            <w:shd w:fill="DCEAF4"/>
            <w:tcMar>
              <w:top w:w="80" w:type="dxa"/>
              <w:start w:w="110" w:type="dxa"/>
              <w:bottom w:w="80" w:type="dxa"/>
              <w:end w:w="110" w:type="dxa"/>
            </w:tcMar>
          </w:tcPr>
          <w:p>
            <w:r>
              <w:rPr>
                <w:b/>
                <w:color w:val="153A5B"/>
                <w:sz w:val="21"/>
              </w:rPr>
              <w:t>Phase</w:t>
            </w:r>
          </w:p>
        </w:tc>
        <w:tc>
          <w:tcPr>
            <w:tcW w:type="dxa" w:w="1984"/>
            <w:shd w:fill="DCEAF4"/>
            <w:tcMar>
              <w:top w:w="80" w:type="dxa"/>
              <w:start w:w="110" w:type="dxa"/>
              <w:bottom w:w="80" w:type="dxa"/>
              <w:end w:w="110" w:type="dxa"/>
            </w:tcMar>
          </w:tcPr>
          <w:p>
            <w:r>
              <w:rPr>
                <w:b/>
                <w:color w:val="153A5B"/>
                <w:sz w:val="21"/>
              </w:rPr>
              <w:t>Capacité</w:t>
            </w:r>
          </w:p>
        </w:tc>
        <w:tc>
          <w:tcPr>
            <w:tcW w:type="dxa" w:w="3402"/>
            <w:shd w:fill="DCEAF4"/>
            <w:tcMar>
              <w:top w:w="80" w:type="dxa"/>
              <w:start w:w="110" w:type="dxa"/>
              <w:bottom w:w="80" w:type="dxa"/>
              <w:end w:w="110" w:type="dxa"/>
            </w:tcMar>
          </w:tcPr>
          <w:p>
            <w:r>
              <w:rPr>
                <w:b/>
                <w:color w:val="153A5B"/>
                <w:sz w:val="21"/>
              </w:rPr>
              <w:t>Promesse UX minimale</w:t>
            </w:r>
          </w:p>
        </w:tc>
        <w:tc>
          <w:tcPr>
            <w:tcW w:type="dxa" w:w="1984"/>
            <w:shd w:fill="DCEAF4"/>
            <w:tcMar>
              <w:top w:w="80" w:type="dxa"/>
              <w:start w:w="110" w:type="dxa"/>
              <w:bottom w:w="80" w:type="dxa"/>
              <w:end w:w="110" w:type="dxa"/>
            </w:tcMar>
          </w:tcPr>
          <w:p>
            <w:r>
              <w:rPr>
                <w:b/>
                <w:color w:val="153A5B"/>
                <w:sz w:val="21"/>
              </w:rPr>
              <w:t>Statut</w:t>
            </w:r>
          </w:p>
        </w:tc>
      </w:tr>
      <w:tr>
        <w:tc>
          <w:tcPr>
            <w:tcW w:type="dxa" w:w="2381"/>
            <w:tcMar>
              <w:top w:w="70" w:type="dxa"/>
              <w:start w:w="110" w:type="dxa"/>
              <w:bottom w:w="70" w:type="dxa"/>
              <w:end w:w="110" w:type="dxa"/>
            </w:tcMar>
          </w:tcPr>
          <w:p>
            <w:r>
              <w:rPr>
                <w:color w:val="243B53"/>
                <w:sz w:val="19"/>
              </w:rPr>
              <w:t>A</w:t>
            </w:r>
          </w:p>
        </w:tc>
        <w:tc>
          <w:tcPr>
            <w:tcW w:type="dxa" w:w="2381"/>
            <w:tcMar>
              <w:top w:w="70" w:type="dxa"/>
              <w:start w:w="110" w:type="dxa"/>
              <w:bottom w:w="70" w:type="dxa"/>
              <w:end w:w="110" w:type="dxa"/>
            </w:tcMar>
          </w:tcPr>
          <w:p>
            <w:r>
              <w:rPr>
                <w:color w:val="243B53"/>
                <w:sz w:val="19"/>
              </w:rPr>
              <w:t>Closing</w:t>
            </w:r>
          </w:p>
        </w:tc>
        <w:tc>
          <w:tcPr>
            <w:tcW w:type="dxa" w:w="2381"/>
            <w:tcMar>
              <w:top w:w="70" w:type="dxa"/>
              <w:start w:w="110" w:type="dxa"/>
              <w:bottom w:w="70" w:type="dxa"/>
              <w:end w:w="110" w:type="dxa"/>
            </w:tcMar>
          </w:tcPr>
          <w:p>
            <w:r>
              <w:rPr>
                <w:color w:val="243B53"/>
                <w:sz w:val="19"/>
              </w:rPr>
              <w:t>Créer, lire et contextualiser un dossier sans ambiguïté.</w:t>
            </w:r>
          </w:p>
        </w:tc>
        <w:tc>
          <w:tcPr>
            <w:tcW w:type="dxa" w:w="2381"/>
            <w:tcMar>
              <w:top w:w="70" w:type="dxa"/>
              <w:start w:w="110" w:type="dxa"/>
              <w:bottom w:w="70" w:type="dxa"/>
              <w:end w:w="110" w:type="dxa"/>
            </w:tcMar>
          </w:tcPr>
          <w:p>
            <w:r>
              <w:rPr>
                <w:b/>
                <w:color w:val="243B53"/>
                <w:sz w:val="19"/>
              </w:rPr>
              <w:t>Acté</w:t>
            </w:r>
          </w:p>
        </w:tc>
      </w:tr>
      <w:tr>
        <w:tc>
          <w:tcPr>
            <w:tcW w:type="dxa" w:w="2381"/>
            <w:tcMar>
              <w:top w:w="70" w:type="dxa"/>
              <w:start w:w="110" w:type="dxa"/>
              <w:bottom w:w="70" w:type="dxa"/>
              <w:end w:w="110" w:type="dxa"/>
            </w:tcMar>
          </w:tcPr>
          <w:p>
            <w:r>
              <w:rPr>
                <w:color w:val="243B53"/>
                <w:sz w:val="19"/>
              </w:rPr>
              <w:t>B</w:t>
            </w:r>
          </w:p>
        </w:tc>
        <w:tc>
          <w:tcPr>
            <w:tcW w:type="dxa" w:w="2381"/>
            <w:tcMar>
              <w:top w:w="70" w:type="dxa"/>
              <w:start w:w="110" w:type="dxa"/>
              <w:bottom w:w="70" w:type="dxa"/>
              <w:end w:w="110" w:type="dxa"/>
            </w:tcMar>
          </w:tcPr>
          <w:p>
            <w:r>
              <w:rPr>
                <w:color w:val="243B53"/>
                <w:sz w:val="19"/>
              </w:rPr>
              <w:t>Import balance</w:t>
            </w:r>
          </w:p>
        </w:tc>
        <w:tc>
          <w:tcPr>
            <w:tcW w:type="dxa" w:w="2381"/>
            <w:tcMar>
              <w:top w:w="70" w:type="dxa"/>
              <w:start w:w="110" w:type="dxa"/>
              <w:bottom w:w="70" w:type="dxa"/>
              <w:end w:w="110" w:type="dxa"/>
            </w:tcMar>
          </w:tcPr>
          <w:p>
            <w:r>
              <w:rPr>
                <w:color w:val="243B53"/>
                <w:sz w:val="19"/>
              </w:rPr>
              <w:t>Importer proprement, versionner, expliquer les échecs.</w:t>
            </w:r>
          </w:p>
        </w:tc>
        <w:tc>
          <w:tcPr>
            <w:tcW w:type="dxa" w:w="2381"/>
            <w:tcMar>
              <w:top w:w="70" w:type="dxa"/>
              <w:start w:w="110" w:type="dxa"/>
              <w:bottom w:w="70" w:type="dxa"/>
              <w:end w:w="110" w:type="dxa"/>
            </w:tcMar>
          </w:tcPr>
          <w:p>
            <w:r>
              <w:rPr>
                <w:b/>
                <w:color w:val="243B53"/>
                <w:sz w:val="19"/>
              </w:rPr>
              <w:t>Acté</w:t>
            </w:r>
          </w:p>
        </w:tc>
      </w:tr>
      <w:tr>
        <w:tc>
          <w:tcPr>
            <w:tcW w:type="dxa" w:w="2381"/>
            <w:tcMar>
              <w:top w:w="70" w:type="dxa"/>
              <w:start w:w="110" w:type="dxa"/>
              <w:bottom w:w="70" w:type="dxa"/>
              <w:end w:w="110" w:type="dxa"/>
            </w:tcMar>
          </w:tcPr>
          <w:p>
            <w:r>
              <w:rPr>
                <w:color w:val="243B53"/>
                <w:sz w:val="19"/>
              </w:rPr>
              <w:t>C</w:t>
            </w:r>
          </w:p>
        </w:tc>
        <w:tc>
          <w:tcPr>
            <w:tcW w:type="dxa" w:w="2381"/>
            <w:tcMar>
              <w:top w:w="70" w:type="dxa"/>
              <w:start w:w="110" w:type="dxa"/>
              <w:bottom w:w="70" w:type="dxa"/>
              <w:end w:w="110" w:type="dxa"/>
            </w:tcMar>
          </w:tcPr>
          <w:p>
            <w:r>
              <w:rPr>
                <w:color w:val="243B53"/>
                <w:sz w:val="19"/>
              </w:rPr>
              <w:t>Manual mapping</w:t>
            </w:r>
          </w:p>
        </w:tc>
        <w:tc>
          <w:tcPr>
            <w:tcW w:type="dxa" w:w="2381"/>
            <w:tcMar>
              <w:top w:w="70" w:type="dxa"/>
              <w:start w:w="110" w:type="dxa"/>
              <w:bottom w:w="70" w:type="dxa"/>
              <w:end w:w="110" w:type="dxa"/>
            </w:tcMar>
          </w:tcPr>
          <w:p>
            <w:r>
              <w:rPr>
                <w:color w:val="243B53"/>
                <w:sz w:val="19"/>
              </w:rPr>
              <w:t>Projeter le mapping courant sur le dernier import, sans bruit.</w:t>
            </w:r>
          </w:p>
        </w:tc>
        <w:tc>
          <w:tcPr>
            <w:tcW w:type="dxa" w:w="2381"/>
            <w:tcMar>
              <w:top w:w="70" w:type="dxa"/>
              <w:start w:w="110" w:type="dxa"/>
              <w:bottom w:w="70" w:type="dxa"/>
              <w:end w:w="110" w:type="dxa"/>
            </w:tcMar>
          </w:tcPr>
          <w:p>
            <w:r>
              <w:rPr>
                <w:b/>
                <w:color w:val="243B53"/>
                <w:sz w:val="19"/>
              </w:rPr>
              <w:t>Acté</w:t>
            </w:r>
          </w:p>
        </w:tc>
      </w:tr>
      <w:tr>
        <w:tc>
          <w:tcPr>
            <w:tcW w:type="dxa" w:w="2381"/>
            <w:tcMar>
              <w:top w:w="70" w:type="dxa"/>
              <w:start w:w="110" w:type="dxa"/>
              <w:bottom w:w="70" w:type="dxa"/>
              <w:end w:w="110" w:type="dxa"/>
            </w:tcMar>
          </w:tcPr>
          <w:p>
            <w:r>
              <w:rPr>
                <w:color w:val="243B53"/>
                <w:sz w:val="19"/>
              </w:rPr>
              <w:t>D</w:t>
            </w:r>
          </w:p>
        </w:tc>
        <w:tc>
          <w:tcPr>
            <w:tcW w:type="dxa" w:w="2381"/>
            <w:tcMar>
              <w:top w:w="70" w:type="dxa"/>
              <w:start w:w="110" w:type="dxa"/>
              <w:bottom w:w="70" w:type="dxa"/>
              <w:end w:w="110" w:type="dxa"/>
            </w:tcMar>
          </w:tcPr>
          <w:p>
            <w:r>
              <w:rPr>
                <w:color w:val="243B53"/>
                <w:sz w:val="19"/>
              </w:rPr>
              <w:t>Controls</w:t>
            </w:r>
          </w:p>
        </w:tc>
        <w:tc>
          <w:tcPr>
            <w:tcW w:type="dxa" w:w="2381"/>
            <w:tcMar>
              <w:top w:w="70" w:type="dxa"/>
              <w:start w:w="110" w:type="dxa"/>
              <w:bottom w:w="70" w:type="dxa"/>
              <w:end w:w="110" w:type="dxa"/>
            </w:tcMar>
          </w:tcPr>
          <w:p>
            <w:r>
              <w:rPr>
                <w:color w:val="243B53"/>
                <w:sz w:val="19"/>
              </w:rPr>
              <w:t>Dire clairement ce qui est prêt, bloqué et pourquoi.</w:t>
            </w:r>
          </w:p>
        </w:tc>
        <w:tc>
          <w:tcPr>
            <w:tcW w:type="dxa" w:w="2381"/>
            <w:tcMar>
              <w:top w:w="70" w:type="dxa"/>
              <w:start w:w="110" w:type="dxa"/>
              <w:bottom w:w="70" w:type="dxa"/>
              <w:end w:w="110" w:type="dxa"/>
            </w:tcMar>
          </w:tcPr>
          <w:p>
            <w:r>
              <w:rPr>
                <w:b/>
                <w:color w:val="243B53"/>
                <w:sz w:val="19"/>
              </w:rPr>
              <w:t>Prochaine vague</w:t>
            </w:r>
          </w:p>
        </w:tc>
      </w:tr>
    </w:tbl>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C8C"/>
        <w:sz w:val="17"/>
      </w:rPr>
      <w:t>1.4-UX-Cadrage-V1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5D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