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49" w:name="Xd8029ddd524cec4a55278b548a41a7cc55ff776"/>
    <w:p>
      <w:pPr>
        <w:pStyle w:val="Heading1"/>
      </w:pPr>
      <w:r>
        <w:t xml:space="preserve">Vision d’Architecture Technique – North Star Architecture</w:t>
      </w:r>
    </w:p>
    <w:p>
      <w:pPr>
        <w:pStyle w:val="FirstParagraph"/>
      </w:pPr>
      <w:r>
        <w:rPr>
          <w:b/>
        </w:rPr>
        <w:t xml:space="preserve">Note d’alignement V1 (mars 2026) — </w:t>
      </w:r>
      <w:r>
        <w:t>ce document conserve la North Star. Pour l’exécution présente, les ADRs et 2.3-Architecture-Cadrage-V1 priment. Les mentions de GraphQL actif, de microservice IA dédié, de RLS généralisée, de MFA/ABAC étendus et d’IA-native structurante décrivent ici la cible long terme, pas le runtime V1 courant.</w:t>
      </w:r>
    </w:p>
    <w:bookmarkStart w:id="21" w:name="promesse-système"/>
    <w:p>
      <w:pPr>
        <w:pStyle w:val="Heading2"/>
      </w:pPr>
      <w:r>
        <w:t xml:space="preserve">Promesse Système</w:t>
      </w:r>
    </w:p>
    <w:p>
      <w:pPr>
        <w:pStyle w:val="FirstParagraph"/>
      </w:pPr>
      <w:r>
        <w:t>La plateforme fiduciaire SaaS B2B promet une expérience premium, intelligente et fiable pour les professionnels financiers. Elle allie l’excellence du design Apple (fluidité, simplicité) avec une confiance “by design” digne d’une banque, tout en préparant une intégration IA evidence-first destinée à augmenter la productivité à mesure des prochaines vagues produit. En pratique, cela se traduit par un système sécurisé de bout en bout traitant des données financières sensibles, une UX cohérente multi-plateforme sans friction, et des capacités d’IA explicables et auditables introduites progressivement. L’architecture technique supporte cette vision en offrant une base unique et modulaire qui accélère le travail métier, tout en garantissant que chaque interaction utilisateur reste fluide, pertinente et digne de confiance.</w:t>
      </w:r>
    </w:p>
    <w:bookmarkEnd w:id="21"/>
    <w:bookmarkStart w:id="39" w:name="principes-architecturaux-non-négociables"/>
    <w:p>
      <w:pPr>
        <w:pStyle w:val="Heading2"/>
      </w:pPr>
      <w:r>
        <w:t xml:space="preserve">Principes Architecturaux Non-Négociables</w:t>
      </w:r>
    </w:p>
    <w:p>
      <w:pPr>
        <w:pStyle w:val="Compact"/>
        <w:numPr>
          <w:ilvl w:val="0"/>
          <w:numId w:val="1001"/>
        </w:numPr>
      </w:pPr>
      <w:r>
        <w:rPr>
          <w:b/>
          <w:bCs/>
        </w:rPr>
        <w:t xml:space="preserve">Expérience Utilisateur d’Excellence</w:t>
      </w:r>
      <w:r>
        <w:t xml:space="preserve"> </w:t>
      </w:r>
      <w:r>
        <w:t xml:space="preserve">– L’architecture est</w:t>
      </w:r>
      <w:r>
        <w:t xml:space="preserve"> </w:t>
      </w:r>
      <w:r>
        <w:rPr>
          <w:b/>
          <w:bCs/>
        </w:rPr>
        <w:t xml:space="preserve">orientée UX</w:t>
      </w:r>
      <w:r>
        <w:t xml:space="preserve"> </w:t>
      </w:r>
      <w:r>
        <w:t xml:space="preserve">: les APIs sont conçues “screen-first” pour répondre exactement aux besoins des écrans web &amp; mobile, minimisant la latence et les appels</w:t>
      </w:r>
      <w:hyperlink r:id="rId22">
        <w:r>
          <w:rPr>
            <w:rStyle w:val="Hyperlink"/>
          </w:rPr>
          <w:t xml:space="preserve">[1]</w:t>
        </w:r>
      </w:hyperlink>
      <w:hyperlink r:id="rId23">
        <w:r>
          <w:rPr>
            <w:rStyle w:val="Hyperlink"/>
          </w:rPr>
          <w:t xml:space="preserve">[2]</w:t>
        </w:r>
      </w:hyperlink>
      <w:r>
        <w:t xml:space="preserve">. Chaque composant doit servir la</w:t>
      </w:r>
      <w:r>
        <w:t xml:space="preserve"> </w:t>
      </w:r>
      <w:r>
        <w:rPr>
          <w:b/>
          <w:bCs/>
        </w:rPr>
        <w:t xml:space="preserve">fluidité</w:t>
      </w:r>
      <w:r>
        <w:t xml:space="preserve"> </w:t>
      </w:r>
      <w:r>
        <w:t xml:space="preserve">(ex: requêtes consolidées pour éviter les allers-retours) et la</w:t>
      </w:r>
      <w:r>
        <w:t xml:space="preserve"> </w:t>
      </w:r>
      <w:r>
        <w:rPr>
          <w:b/>
          <w:bCs/>
        </w:rPr>
        <w:t xml:space="preserve">cohérence multi-device</w:t>
      </w:r>
      <w:r>
        <w:t xml:space="preserve">, afin que l’utilisateur retrouve une</w:t>
      </w:r>
      <w:r>
        <w:t xml:space="preserve"> </w:t>
      </w:r>
      <w:r>
        <w:rPr>
          <w:b/>
          <w:bCs/>
        </w:rPr>
        <w:t xml:space="preserve">expérience harmonieuse</w:t>
      </w:r>
      <w:r>
        <w:t xml:space="preserve"> </w:t>
      </w:r>
      <w:r>
        <w:t xml:space="preserve">partout</w:t>
      </w:r>
      <w:hyperlink r:id="rId24">
        <w:r>
          <w:rPr>
            <w:rStyle w:val="Hyperlink"/>
          </w:rPr>
          <w:t xml:space="preserve">[3]</w:t>
        </w:r>
      </w:hyperlink>
      <w:r>
        <w:t xml:space="preserve">. La performance perçue est optimisée (pagination efficace, caching, micro-interactions en temps réel) pour une UX 11/10.</w:t>
      </w:r>
    </w:p>
    <w:p>
      <w:pPr>
        <w:pStyle w:val="Compact"/>
        <w:numPr>
          <w:ilvl w:val="0"/>
          <w:numId w:val="1001"/>
        </w:numPr>
      </w:pPr>
      <w:r>
        <w:rPr>
          <w:b/>
        </w:rPr>
        <w:t>Confiance &amp; Sécurité by Design</w:t>
      </w:r>
      <w:r>
        <w:t xml:space="preserve"> – La sécurité de niveau bancaire reste la cible structurante[4]. En V1, le socle actif repose sur un resource server OIDC/JWT, un RBAC opérationnel, une vérité d’accès persistée (`app_user`, `tenant_membership`) et un tenant-scoping applicatif robuste ; la MFA généralisée, l’ABAC centralisé et la RLS large relèvent du hardening progressif / target state[5][6][7]. Chaque mutation métier significative doit rester auditée et traçable, avec une logique Privacy by Design qui prépare l’introduction future de surfaces plus sensibles.</w:t>
      </w:r>
    </w:p>
    <w:p>
      <w:pPr>
        <w:pStyle w:val="Compact"/>
        <w:numPr>
          <w:ilvl w:val="0"/>
          <w:numId w:val="1001"/>
        </w:numPr>
      </w:pPr>
      <w:r>
        <w:rPr>
          <w:b/>
        </w:rPr>
        <w:t>IA Native &amp; “Evidence-First”</w:t>
      </w:r>
      <w:r>
        <w:t xml:space="preserve"> – L’IA reste un pilier de la cible produit, mais pas encore un composant structurant du runtime V1. La phase actuelle est AI-ready : contrats, audit, contexte et traçabilité préparent des usages evidence-first ; un microservice IA dédié (Python/FastAPI) ou des chaînes LangChain/LangGraph relèvent d’une option d’activation ultérieure, non d’un composant actif aujourd’hui[8][9][10].</w:t>
      </w:r>
    </w:p>
    <w:p>
      <w:pPr>
        <w:pStyle w:val="Compact"/>
        <w:numPr>
          <w:ilvl w:val="0"/>
          <w:numId w:val="1001"/>
        </w:numPr>
      </w:pPr>
      <w:r>
        <w:rPr>
          <w:b/>
          <w:bCs/>
        </w:rPr>
        <w:t xml:space="preserve">Modularité Cohérente (Monolithe Modulaire)</w:t>
      </w:r>
      <w:r>
        <w:t xml:space="preserve"> </w:t>
      </w:r>
      <w:r>
        <w:t xml:space="preserve">– Plutôt qu’une constellation précoce de microservices, le choix est à un</w:t>
      </w:r>
      <w:r>
        <w:t xml:space="preserve"> </w:t>
      </w:r>
      <w:r>
        <w:rPr>
          <w:b/>
          <w:bCs/>
        </w:rPr>
        <w:t xml:space="preserve">monolithe modulaire</w:t>
      </w:r>
      <w:r>
        <w:t xml:space="preserve"> </w:t>
      </w:r>
      <w:r>
        <w:t xml:space="preserve">en Kotlin/Spring Boot. Tous les sous-domaines (utilisateurs, facturation, documents, etc.) cohabitent dans une base de code unifiée, mais</w:t>
      </w:r>
      <w:r>
        <w:t xml:space="preserve"> </w:t>
      </w:r>
      <w:r>
        <w:rPr>
          <w:b/>
          <w:bCs/>
        </w:rPr>
        <w:t xml:space="preserve">fortement découpée en modules faiblement couplés</w:t>
      </w:r>
      <w:r>
        <w:t xml:space="preserve"> </w:t>
      </w:r>
      <w:r>
        <w:t xml:space="preserve">suivant les principes</w:t>
      </w:r>
      <w:r>
        <w:t xml:space="preserve"> </w:t>
      </w:r>
      <w:r>
        <w:rPr>
          <w:i/>
          <w:iCs/>
        </w:rPr>
        <w:t xml:space="preserve">Clean Architecture</w:t>
      </w:r>
      <w:hyperlink r:id="rId31">
        <w:r>
          <w:rPr>
            <w:rStyle w:val="Hyperlink"/>
          </w:rPr>
          <w:t xml:space="preserve">[11]</w:t>
        </w:r>
      </w:hyperlink>
      <w:hyperlink r:id="rId32">
        <w:r>
          <w:rPr>
            <w:rStyle w:val="Hyperlink"/>
          </w:rPr>
          <w:t xml:space="preserve">[12]</w:t>
        </w:r>
      </w:hyperlink>
      <w:r>
        <w:t xml:space="preserve">. On obtient ainsi un socle unique cohérent qui évite les pièges du “big monolith” non structuré tout en repoussant la complexité du distribué</w:t>
      </w:r>
      <w:hyperlink r:id="rId33">
        <w:r>
          <w:rPr>
            <w:rStyle w:val="Hyperlink"/>
          </w:rPr>
          <w:t xml:space="preserve">[13]</w:t>
        </w:r>
      </w:hyperlink>
      <w:r>
        <w:t xml:space="preserve">. Les frontières modulaires sont strictes (APIs internes explicites, événements domaine), assurant une évolutivité gouvernable et la possibilité future d’extraction en microservices si le besoin s’impose – jamais avant d’y gagner un avantage net.</w:t>
      </w:r>
    </w:p>
    <w:p>
      <w:pPr>
        <w:pStyle w:val="Compact"/>
        <w:numPr>
          <w:ilvl w:val="0"/>
          <w:numId w:val="1001"/>
        </w:numPr>
      </w:pPr>
      <w:r>
        <w:rPr>
          <w:b/>
        </w:rPr>
        <w:t>API Bimodale (CQRS-lite)</w:t>
      </w:r>
      <w:r>
        <w:t xml:space="preserve"> – La séparation commandes/requêtes reste un principe directeur[14][15]. En V1, l’API publique est REST-first pour les workflows métier déterministes et auditables ; GraphQL demeure un target state de lecture, à activer seulement si le coût de composition frontend devient réel et mesuré[16][17].</w:t>
      </w:r>
    </w:p>
    <w:p>
      <w:pPr>
        <w:pStyle w:val="Compact"/>
        <w:numPr>
          <w:ilvl w:val="0"/>
          <w:numId w:val="1001"/>
        </w:numPr>
      </w:pPr>
      <w:r>
        <w:rPr>
          <w:b/>
          <w:bCs/>
        </w:rPr>
        <w:t xml:space="preserve">Observabilité &amp; Fiabilité Totales</w:t>
      </w:r>
      <w:r>
        <w:t xml:space="preserve"> </w:t>
      </w:r>
      <w:r>
        <w:t xml:space="preserve">– Le système est</w:t>
      </w:r>
      <w:r>
        <w:t xml:space="preserve"> </w:t>
      </w:r>
      <w:r>
        <w:rPr>
          <w:b/>
          <w:bCs/>
        </w:rPr>
        <w:t xml:space="preserve">mesurable et transparent</w:t>
      </w:r>
      <w:r>
        <w:t xml:space="preserve"> </w:t>
      </w:r>
      <w:r>
        <w:t xml:space="preserve">par conception. Chaque service embarque la télémétrie standard (traces</w:t>
      </w:r>
      <w:r>
        <w:t xml:space="preserve"> </w:t>
      </w:r>
      <w:r>
        <w:rPr>
          <w:b/>
          <w:bCs/>
        </w:rPr>
        <w:t xml:space="preserve">OpenTelemetry</w:t>
      </w:r>
      <w:r>
        <w:t xml:space="preserve">, métriques clés, logs structurés) pour permettre un monitoring temps réel et un</w:t>
      </w:r>
      <w:r>
        <w:t xml:space="preserve"> </w:t>
      </w:r>
      <w:r>
        <w:rPr>
          <w:b/>
          <w:bCs/>
        </w:rPr>
        <w:t xml:space="preserve">diagnostic proactif</w:t>
      </w:r>
      <w:hyperlink r:id="rId38">
        <w:r>
          <w:rPr>
            <w:rStyle w:val="Hyperlink"/>
          </w:rPr>
          <w:t xml:space="preserve">[18]</w:t>
        </w:r>
      </w:hyperlink>
      <w:r>
        <w:t xml:space="preserve">. Des tableaux de bord agrègent ces données afin que toute anomalie de performance ou de sécurité soit détectée et traitée immédiatement</w:t>
      </w:r>
      <w:hyperlink r:id="rId38">
        <w:r>
          <w:rPr>
            <w:rStyle w:val="Hyperlink"/>
          </w:rPr>
          <w:t xml:space="preserve">[18]</w:t>
        </w:r>
      </w:hyperlink>
      <w:r>
        <w:t xml:space="preserve">. En parallèle, l’architecture privilégie la</w:t>
      </w:r>
      <w:r>
        <w:t xml:space="preserve"> </w:t>
      </w:r>
      <w:r>
        <w:rPr>
          <w:b/>
          <w:bCs/>
        </w:rPr>
        <w:t xml:space="preserve">résilience</w:t>
      </w:r>
      <w:r>
        <w:t xml:space="preserve"> </w:t>
      </w:r>
      <w:r>
        <w:t xml:space="preserve">: tolérance aux pannes (ex: redémarrages isolés, gestion élégante des erreurs), tests d’intégrité fréquents, et capacité de</w:t>
      </w:r>
      <w:r>
        <w:t xml:space="preserve"> </w:t>
      </w:r>
      <w:r>
        <w:rPr>
          <w:b/>
          <w:bCs/>
        </w:rPr>
        <w:t xml:space="preserve">scaling</w:t>
      </w:r>
      <w:r>
        <w:t xml:space="preserve"> </w:t>
      </w:r>
      <w:r>
        <w:t xml:space="preserve">sans interruption pour maintenir le niveau de service sous charge. Une plateforme observable et robuste est le garant d’une</w:t>
      </w:r>
      <w:r>
        <w:t xml:space="preserve"> </w:t>
      </w:r>
      <w:r>
        <w:rPr>
          <w:b/>
          <w:bCs/>
        </w:rPr>
        <w:t xml:space="preserve">fiabilité continue</w:t>
      </w:r>
      <w:r>
        <w:t xml:space="preserve">, support indispensable d’une UX de confiance.</w:t>
      </w:r>
    </w:p>
    <w:bookmarkEnd w:id="39"/>
    <w:bookmarkStart w:id="44" w:name="Xc13018402bf5f27e9597ce212749aac6459c270"/>
    <w:p>
      <w:pPr>
        <w:pStyle w:val="Heading2"/>
      </w:pPr>
      <w:r>
        <w:t xml:space="preserve">Décisions Signature (Moves Techniques Différenciants)</w:t>
      </w:r>
    </w:p>
    <w:p>
      <w:pPr>
        <w:pStyle w:val="Compact"/>
        <w:numPr>
          <w:ilvl w:val="0"/>
          <w:numId w:val="1002"/>
        </w:numPr>
      </w:pPr>
      <w:r>
        <w:rPr>
          <w:b/>
          <w:bCs/>
        </w:rPr>
        <w:t xml:space="preserve">Monolithe Modulaire Kotlin</w:t>
      </w:r>
      <w:r>
        <w:t xml:space="preserve"> </w:t>
      </w:r>
      <w:r>
        <w:t xml:space="preserve">– Choix fondateur d’implémenter un</w:t>
      </w:r>
      <w:r>
        <w:t xml:space="preserve"> </w:t>
      </w:r>
      <w:r>
        <w:rPr>
          <w:i/>
          <w:iCs/>
        </w:rPr>
        <w:t xml:space="preserve">modular monolith</w:t>
      </w:r>
      <w:r>
        <w:t xml:space="preserve"> </w:t>
      </w:r>
      <w:r>
        <w:t xml:space="preserve">avec Kotlin/Spring Boot, combinant la</w:t>
      </w:r>
      <w:r>
        <w:t xml:space="preserve"> </w:t>
      </w:r>
      <w:r>
        <w:rPr>
          <w:b/>
          <w:bCs/>
        </w:rPr>
        <w:t xml:space="preserve">simplicité opérationnelle</w:t>
      </w:r>
      <w:r>
        <w:t xml:space="preserve"> </w:t>
      </w:r>
      <w:r>
        <w:t xml:space="preserve">d’un seul déploiement et la</w:t>
      </w:r>
      <w:r>
        <w:t xml:space="preserve"> </w:t>
      </w:r>
      <w:r>
        <w:rPr>
          <w:b/>
          <w:bCs/>
        </w:rPr>
        <w:t xml:space="preserve">clarté structurelle</w:t>
      </w:r>
      <w:r>
        <w:t xml:space="preserve"> </w:t>
      </w:r>
      <w:r>
        <w:t xml:space="preserve">de modules internes quasi-indépendants</w:t>
      </w:r>
      <w:hyperlink r:id="rId31">
        <w:r>
          <w:rPr>
            <w:rStyle w:val="Hyperlink"/>
          </w:rPr>
          <w:t xml:space="preserve">[11]</w:t>
        </w:r>
      </w:hyperlink>
      <w:r>
        <w:t xml:space="preserve">. Cette décision, renforcée par l’utilisation de</w:t>
      </w:r>
      <w:r>
        <w:t xml:space="preserve"> </w:t>
      </w:r>
      <w:r>
        <w:rPr>
          <w:i/>
          <w:iCs/>
        </w:rPr>
        <w:t xml:space="preserve">clean architecture</w:t>
      </w:r>
      <w:r>
        <w:t xml:space="preserve">, donne un avantage durable : rapidité de développement (pas de latence inter-services) et maintenance facilitées, tout en préparant l’avenir (les modules pourront s’extraire en microservices ciblés si nécessaire)</w:t>
      </w:r>
      <w:hyperlink r:id="rId33">
        <w:r>
          <w:rPr>
            <w:rStyle w:val="Hyperlink"/>
          </w:rPr>
          <w:t xml:space="preserve">[13]</w:t>
        </w:r>
      </w:hyperlink>
      <w:r>
        <w:t xml:space="preserve">.</w:t>
      </w:r>
    </w:p>
    <w:p>
      <w:pPr>
        <w:pStyle w:val="Compact"/>
        <w:numPr>
          <w:ilvl w:val="0"/>
          <w:numId w:val="1002"/>
        </w:numPr>
      </w:pPr>
      <w:r>
        <w:rPr>
          <w:b/>
        </w:rPr>
        <w:t>IA Orchestrée via Microservice Dédié</w:t>
      </w:r>
      <w:r>
        <w:t xml:space="preserve"> – Target state / non current V1. L’extraction d’un service IA séparé en Python, orchestrant des LLMs via des frameworks spécialisés, reste une option d’évolution pertinente si des usages documentaires lourds, des besoins GPU ou des charges asynchrones le justifient[8][19][20]. Ce n’est pas une hypothèse obligatoire du présent.</w:t>
      </w:r>
    </w:p>
    <w:p>
      <w:pPr>
        <w:pStyle w:val="Compact"/>
        <w:numPr>
          <w:ilvl w:val="0"/>
          <w:numId w:val="1002"/>
        </w:numPr>
      </w:pPr>
      <w:r>
        <w:rPr>
          <w:b/>
        </w:rPr>
        <w:t>Sécurité “Zero Trust” &amp; Multi-Tenant Cloisonné</w:t>
      </w:r>
      <w:r>
        <w:t xml:space="preserve"> – Target state / hardening progressif. La V1 exécutable repose d’abord sur OIDC/JWT, RBAC minimal, vérité d’accès persistée, audit append-only sur mutations significatives et application-scoping first ; la MFA généralisée, l’ABAC centralisé et la RLS large restent des renforcements ultérieurs[21][22].</w:t>
      </w:r>
    </w:p>
    <w:bookmarkEnd w:id="44"/>
    <w:bookmarkStart w:id="45" w:name="mesures-de-succès-slo-indicateurs-clés"/>
    <w:p>
      <w:pPr>
        <w:pStyle w:val="Heading2"/>
      </w:pPr>
      <w:r>
        <w:t xml:space="preserve">Mesures de Succès (SLO &amp; Indicateurs Clés)</w:t>
      </w:r>
    </w:p>
    <w:p>
      <w:pPr>
        <w:pStyle w:val="Compact"/>
        <w:numPr>
          <w:ilvl w:val="0"/>
          <w:numId w:val="1003"/>
        </w:numPr>
      </w:pPr>
      <w:r>
        <w:rPr>
          <w:b/>
          <w:bCs/>
        </w:rPr>
        <w:t xml:space="preserve">Disponibilité &amp; Fiabilité</w:t>
      </w:r>
      <w:r>
        <w:t xml:space="preserve"> </w:t>
      </w:r>
      <w:r>
        <w:t xml:space="preserve">– SLA de disponibilité</w:t>
      </w:r>
      <w:r>
        <w:t xml:space="preserve"> </w:t>
      </w:r>
      <w:r>
        <w:rPr>
          <w:b/>
          <w:bCs/>
        </w:rPr>
        <w:t xml:space="preserve">≥ 99,9%</w:t>
      </w:r>
      <w:r>
        <w:t xml:space="preserve"> </w:t>
      </w:r>
      <w:r>
        <w:t xml:space="preserve">sur le service (équivalent à &lt;9h d’indisponibilité par an). SLO de</w:t>
      </w:r>
      <w:r>
        <w:t xml:space="preserve"> </w:t>
      </w:r>
      <w:r>
        <w:rPr>
          <w:b/>
          <w:bCs/>
        </w:rPr>
        <w:t xml:space="preserve">réactivité</w:t>
      </w:r>
      <w:r>
        <w:t xml:space="preserve"> </w:t>
      </w:r>
      <w:r>
        <w:t xml:space="preserve">: 95% des requêtes de lecture servent une réponse en &lt;200ms, et des commandes critiques en &lt;500ms (mesuré en P95).</w:t>
      </w:r>
      <w:r>
        <w:t xml:space="preserve"> </w:t>
      </w:r>
      <w:r>
        <w:rPr>
          <w:b/>
          <w:bCs/>
        </w:rPr>
        <w:t xml:space="preserve">Aucun</w:t>
      </w:r>
      <w:r>
        <w:t xml:space="preserve"> </w:t>
      </w:r>
      <w:r>
        <w:t xml:space="preserve">incident de sévérité haute non détecté en production (grâce à l’observabilité) sur une période glissante d’un an.</w:t>
      </w:r>
    </w:p>
    <w:p>
      <w:pPr>
        <w:pStyle w:val="Compact"/>
        <w:numPr>
          <w:ilvl w:val="0"/>
          <w:numId w:val="1003"/>
        </w:numPr>
      </w:pPr>
      <w:r>
        <w:rPr>
          <w:b/>
          <w:bCs/>
        </w:rPr>
        <w:t xml:space="preserve">Sécurité &amp; Conformité</w:t>
      </w:r>
      <w:r>
        <w:t xml:space="preserve"> </w:t>
      </w:r>
      <w:r>
        <w:t xml:space="preserve">–</w:t>
      </w:r>
      <w:r>
        <w:t xml:space="preserve"> </w:t>
      </w:r>
      <w:r>
        <w:rPr>
          <w:b/>
          <w:bCs/>
        </w:rPr>
        <w:t xml:space="preserve">0 faille critique</w:t>
      </w:r>
      <w:r>
        <w:t xml:space="preserve"> </w:t>
      </w:r>
      <w:r>
        <w:t xml:space="preserve">en production (toutes les vulnérabilités connues corrigées sous SLA interne).</w:t>
      </w:r>
      <w:r>
        <w:t xml:space="preserve"> </w:t>
      </w:r>
      <w:r>
        <w:rPr>
          <w:b/>
          <w:bCs/>
        </w:rPr>
        <w:t xml:space="preserve">100% des accès</w:t>
      </w:r>
      <w:r>
        <w:t xml:space="preserve"> </w:t>
      </w:r>
      <w:r>
        <w:t xml:space="preserve">aux données sensibles tracés en audit log, avec rapprochement mensuel.</w:t>
      </w:r>
      <w:r>
        <w:t xml:space="preserve"> </w:t>
      </w:r>
      <w:r>
        <w:rPr>
          <w:b/>
          <w:bCs/>
        </w:rPr>
        <w:t xml:space="preserve">Isolation garantie</w:t>
      </w:r>
      <w:r>
        <w:t xml:space="preserve"> </w:t>
      </w:r>
      <w:r>
        <w:t xml:space="preserve">: 0 occurrence de fuite inter-tenant ou d’accès non autorisé à des données client (vérifié par audits réguliers et tests de pentest). Certification externe ou audit de sécurité passé avec succès chaque année (conformité aux standards financiers).</w:t>
      </w:r>
    </w:p>
    <w:p>
      <w:pPr>
        <w:pStyle w:val="Compact"/>
        <w:numPr>
          <w:ilvl w:val="0"/>
          <w:numId w:val="1003"/>
        </w:numPr>
      </w:pPr>
      <w:r>
        <w:rPr>
          <w:b/>
          <w:bCs/>
        </w:rPr>
        <w:t xml:space="preserve">Qualité de l’Expérience</w:t>
      </w:r>
      <w:r>
        <w:t xml:space="preserve"> </w:t>
      </w:r>
      <w:r>
        <w:t xml:space="preserve">– Score de satisfaction utilisateur</w:t>
      </w:r>
      <w:r>
        <w:t xml:space="preserve"> </w:t>
      </w:r>
      <w:r>
        <w:rPr>
          <w:b/>
          <w:bCs/>
        </w:rPr>
        <w:t xml:space="preserve">NPS ≥ +50</w:t>
      </w:r>
      <w:r>
        <w:t xml:space="preserve"> </w:t>
      </w:r>
      <w:r>
        <w:t xml:space="preserve">une fois le produit mature, et un taux d’adoption des fonctionnalités IA &gt; 90% pour les utilisateurs formés (signe que l’IA est utile et utilisée régulièrement). Temps moyen d’accomplissement des tâches clés réduit d’au moins</w:t>
      </w:r>
      <w:r>
        <w:t xml:space="preserve"> </w:t>
      </w:r>
      <w:r>
        <w:rPr>
          <w:b/>
          <w:bCs/>
        </w:rPr>
        <w:t xml:space="preserve">30%</w:t>
      </w:r>
      <w:r>
        <w:t xml:space="preserve"> </w:t>
      </w:r>
      <w:r>
        <w:t xml:space="preserve">grâce aux automatisations IA (KPI productivité mesuré avant/après).</w:t>
      </w:r>
      <w:r>
        <w:t xml:space="preserve"> </w:t>
      </w:r>
      <w:r>
        <w:rPr>
          <w:b/>
          <w:bCs/>
        </w:rPr>
        <w:t xml:space="preserve">Aucun</w:t>
      </w:r>
      <w:r>
        <w:t xml:space="preserve"> </w:t>
      </w:r>
      <w:r>
        <w:t xml:space="preserve">ralentissement UI notable même sur de gros volumes de données (mesuré par des User Experience Metrics telles que le Speed Index ou First Interactive en dessous de 3s sur mobile).</w:t>
      </w:r>
    </w:p>
    <w:p>
      <w:pPr>
        <w:pStyle w:val="Compact"/>
        <w:numPr>
          <w:ilvl w:val="0"/>
          <w:numId w:val="1003"/>
        </w:numPr>
      </w:pPr>
      <w:r>
        <w:rPr>
          <w:b/>
          <w:bCs/>
        </w:rPr>
        <w:t xml:space="preserve">Scalabilité &amp; Évolution</w:t>
      </w:r>
      <w:r>
        <w:t xml:space="preserve"> </w:t>
      </w:r>
      <w:r>
        <w:t xml:space="preserve">– Capacité prouvée à monter en charge : tests de charge validant le</w:t>
      </w:r>
      <w:r>
        <w:t xml:space="preserve"> </w:t>
      </w:r>
      <w:r>
        <w:rPr>
          <w:b/>
          <w:bCs/>
        </w:rPr>
        <w:t xml:space="preserve">passage à l’échelle x10</w:t>
      </w:r>
      <w:r>
        <w:t xml:space="preserve"> </w:t>
      </w:r>
      <w:r>
        <w:t xml:space="preserve">en utilisateurs et données sans dégradation majeure (grâce au caching, à la pagination optimisée, et à la possibilité de scaler horizontalement le monolithe et verticalement le service IA).</w:t>
      </w:r>
      <w:r>
        <w:t xml:space="preserve"> </w:t>
      </w:r>
      <w:r>
        <w:rPr>
          <w:b/>
          <w:bCs/>
        </w:rPr>
        <w:t xml:space="preserve">Déploiement de nouvelles fonctionnalités IA en &lt; 2 semaines</w:t>
      </w:r>
      <w:r>
        <w:t xml:space="preserve"> </w:t>
      </w:r>
      <w:r>
        <w:t xml:space="preserve">(preuve de l’agilité de l’architecture modulaire et de la séparations des préoccupations). Ratio de</w:t>
      </w:r>
      <w:r>
        <w:t xml:space="preserve"> </w:t>
      </w:r>
      <w:r>
        <w:rPr>
          <w:b/>
          <w:bCs/>
        </w:rPr>
        <w:t xml:space="preserve">délai de livraison</w:t>
      </w:r>
      <w:r>
        <w:t xml:space="preserve"> </w:t>
      </w:r>
      <w:r>
        <w:t xml:space="preserve">(lead time) et</w:t>
      </w:r>
      <w:r>
        <w:t xml:space="preserve"> </w:t>
      </w:r>
      <w:r>
        <w:rPr>
          <w:b/>
          <w:bCs/>
        </w:rPr>
        <w:t xml:space="preserve">fréquence de déploiement</w:t>
      </w:r>
      <w:r>
        <w:t xml:space="preserve"> </w:t>
      </w:r>
      <w:r>
        <w:t xml:space="preserve">aligné DevOps elite (mises en prod fréquentes, réversibles, sans downtime).</w:t>
      </w:r>
    </w:p>
    <w:bookmarkEnd w:id="45"/>
    <w:bookmarkStart w:id="48" w:name="Xaabb27c923d433272981afea0fc8e412cebb559"/>
    <w:p>
      <w:pPr>
        <w:pStyle w:val="Heading2"/>
      </w:pPr>
      <w:r>
        <w:t xml:space="preserve">Trade-offs Structurants (Décisions de Compromis)</w:t>
      </w:r>
    </w:p>
    <w:p>
      <w:pPr>
        <w:pStyle w:val="Compact"/>
        <w:numPr>
          <w:ilvl w:val="0"/>
          <w:numId w:val="1004"/>
        </w:numPr>
      </w:pPr>
      <w:r>
        <w:rPr>
          <w:b/>
          <w:bCs/>
        </w:rPr>
        <w:t xml:space="preserve">Simplicité vs. Distribué</w:t>
      </w:r>
      <w:r>
        <w:t xml:space="preserve"> </w:t>
      </w:r>
      <w:r>
        <w:t xml:space="preserve">– En restant sur un monolithe modulable plutôt qu’un microservices pur dès le départ, on</w:t>
      </w:r>
      <w:r>
        <w:t xml:space="preserve"> </w:t>
      </w:r>
      <w:r>
        <w:rPr>
          <w:b/>
          <w:bCs/>
        </w:rPr>
        <w:t xml:space="preserve">sacrifie une granularité de déploiement</w:t>
      </w:r>
      <w:r>
        <w:t xml:space="preserve"> </w:t>
      </w:r>
      <w:r>
        <w:t xml:space="preserve">et une scalabilité fine par service à court terme. Ce compromis assumé</w:t>
      </w:r>
      <w:r>
        <w:t xml:space="preserve"> </w:t>
      </w:r>
      <w:r>
        <w:rPr>
          <w:b/>
          <w:bCs/>
        </w:rPr>
        <w:t xml:space="preserve">réduit drastiquement la complexité</w:t>
      </w:r>
      <w:r>
        <w:t xml:space="preserve"> </w:t>
      </w:r>
      <w:r>
        <w:t xml:space="preserve">et les surcoûts d’orchestration distribuée au stade initial</w:t>
      </w:r>
      <w:hyperlink r:id="rId33">
        <w:r>
          <w:rPr>
            <w:rStyle w:val="Hyperlink"/>
          </w:rPr>
          <w:t xml:space="preserve">[13]</w:t>
        </w:r>
      </w:hyperlink>
      <w:r>
        <w:t xml:space="preserve">. Il permet d’itérer plus vite sur le produit sans alourdir la gouvernance –</w:t>
      </w:r>
      <w:r>
        <w:t xml:space="preserve"> </w:t>
      </w:r>
      <w:r>
        <w:rPr>
          <w:b/>
          <w:bCs/>
        </w:rPr>
        <w:t xml:space="preserve">la cohérence prime sur l’indépendance</w:t>
      </w:r>
      <w:r>
        <w:t xml:space="preserve"> </w:t>
      </w:r>
      <w:r>
        <w:t xml:space="preserve">jusqu’à ce que le besoin d’extraire un module en service séparé soit justifié par la valeur (scaling</w:t>
      </w:r>
      <w:r>
        <w:t xml:space="preserve"> </w:t>
      </w:r>
      <w:r>
        <w:rPr>
          <w:i/>
          <w:iCs/>
        </w:rPr>
        <w:t xml:space="preserve">hotspot</w:t>
      </w:r>
      <w:r>
        <w:t xml:space="preserve"> </w:t>
      </w:r>
      <w:r>
        <w:t xml:space="preserve">clair ou exigence d’équipe dédiée).</w:t>
      </w:r>
    </w:p>
    <w:p>
      <w:pPr>
        <w:pStyle w:val="Compact"/>
        <w:numPr>
          <w:ilvl w:val="0"/>
          <w:numId w:val="1004"/>
        </w:numPr>
      </w:pPr>
      <w:r>
        <w:rPr>
          <w:b/>
        </w:rPr>
        <w:t>Polyvalence IA vs. Cohérence Technologique</w:t>
      </w:r>
      <w:r>
        <w:t xml:space="preserve"> – Ce trade-off décrit une option future : si un service Python dédié devient justifié, l’hétérogénéité technologique sera acceptée pour accélérer l’IA sans fragiliser le cœur Kotlin. En V1 actuelle, ce coût n’est pas encore porté dans le runtime.</w:t>
      </w:r>
    </w:p>
    <w:p>
      <w:pPr>
        <w:pStyle w:val="Compact"/>
        <w:numPr>
          <w:ilvl w:val="0"/>
          <w:numId w:val="1004"/>
        </w:numPr>
      </w:pPr>
      <w:r>
        <w:rPr>
          <w:b/>
        </w:rPr>
        <w:t>Flexibilité UI vs. Simplicité API</w:t>
      </w:r>
      <w:r>
        <w:t xml:space="preserve"> – Ce compromis vaut pour un éventuel palier GraphQL en lecture. En V1 actuelle, la simplicité volontaire est REST-first ; la couche GraphQL n’entre en jeu que si la douleur de composition frontend devient mesurée[23][24].</w:t>
      </w:r>
    </w:p>
    <w:p>
      <w:pPr>
        <w:pStyle w:val="Compact"/>
        <w:numPr>
          <w:ilvl w:val="0"/>
          <w:numId w:val="1004"/>
        </w:numPr>
      </w:pPr>
      <w:r>
        <w:rPr>
          <w:b/>
        </w:rPr>
        <w:t>Sécurité Renforcée vs. Friction &amp; Overhead</w:t>
      </w:r>
      <w:r>
        <w:t xml:space="preserve"> – Ce trade-off décrit la cible de durcissement. En V1, nous privilégions un socle sûr et lisible (OIDC/JWT, RBAC, audit append-only, tenant-scoping applicatif) avant d’étendre MFA généralisée, RLS large et autres mécanismes plus coûteux.</w:t>
      </w:r>
    </w:p>
    <w:bookmarkEnd w:id="48"/>
    <w:bookmarkEnd w:id="49"/>
    <w:bookmarkStart w:id="60" w:name="X00c15f2c809642fff469d2b2fbc6ed88727033f"/>
    <w:p>
      <w:pPr>
        <w:pStyle w:val="Heading1"/>
      </w:pPr>
      <w:r>
        <w:t xml:space="preserve">Compléments Stratégiques et Gouvernance Technique (3–6 pages)</w:t>
      </w:r>
    </w:p>
    <w:p>
      <w:pPr>
        <w:pStyle w:val="FirstParagraph"/>
      </w:pPr>
      <w:r>
        <w:rPr>
          <w:i/>
          <w:iCs/>
        </w:rPr>
        <w:t xml:space="preserve">(Les éléments suivants approfondissent la vision, sans rentrer dans des détails d’implémentation bas-niveau, afin de contextualiser les choix stratégiques et d’assurer une gouvernance pérenne de l’architecture.)</w:t>
      </w:r>
    </w:p>
    <w:bookmarkStart w:id="51" w:name="X5d16586d31e3ef94469456bd5902d79c9c3c547"/>
    <w:p>
      <w:pPr>
        <w:pStyle w:val="Heading2"/>
      </w:pPr>
      <w:r>
        <w:t xml:space="preserve">Architecture SaaS IA-Native : Intelligence Intégrée en Profondeur</w:t>
      </w:r>
    </w:p>
    <w:p>
      <w:pPr>
        <w:pStyle w:val="FirstParagraph"/>
      </w:pPr>
      <w:r>
        <w:t>Pour mériter à terme l’étiquette “IA-native”, notre architecture ne se contentera pas d’ajouter de l’IA en surface : elle pourra se structurer en trois couches coordonnées selon le modèle MCP (Model – Context – Protocol). Concrètement :</w:t>
        <w:br/>
        <w:t>- Model – Des LLMs puissants (OpenAI, Anthropic, ou modèles hébergés) apporteront les capacités de génération de langage et de raisonnement. Ce module modèle est pensé comme interchangeable (on pourra changer de fournisseur ou déployer notre propre modèle sans refonte du reste)[20].</w:t>
        <w:br/>
        <w:t>- Context – Le contexte métier et données sera géré séparément. Une couche de retrieval accédera aux données du tenant et fournira au modèle uniquement ce qui est nécessaire pour une tâche donnée, avec confidentialité et garde-fous adaptés[6].</w:t>
        <w:br/>
        <w:t>- Protocol – Un orchestrateur intelligent (LangChain/LangGraph ou équivalent) pourra servir de chef d’orchestre entre Model et Context en centralisant les appels, outils et traces[19][25].</w:t>
      </w:r>
    </w:p>
    <w:p>
      <w:pPr>
        <w:pStyle w:val="BodyText"/>
      </w:pPr>
      <w:r>
        <w:t>Cette architecture IA-native décrit la cible plus long terme, pas le MVP courant. Elle pourra permettre, par vagues ultérieures, des fonctionnalités de copilote financier, d’automatisation comptable ou d’analyse prédictive une fois le backbone métier stabilisé. Par exemple, un assistant fiscal pourra plus tard aller chercher les transactions du client et les références utiles avant de proposer une réponse argumentée. Le tout devra rester evidence-first, explicable et non intrusif.</w:t>
      </w:r>
    </w:p>
    <w:p>
      <w:pPr>
        <w:pStyle w:val="BodyText"/>
      </w:pPr>
      <w:r>
        <w:t>Gouvernance de l’IA : intégrer l’IA profondément requerra une gouvernance adaptée. Un comité interne “AI Review” pourra valider chaque usage, chaque workflow devra être évalué avant généralisation, et les feedback loops utilisateurs devront nourrir l’amélioration continue. L’architecture devra conserver prompts, réponses, contexte et décisions de validation de façon sécurisée afin de permettre l’audit et l’explication a posteriori.</w:t>
      </w:r>
    </w:p>
    <w:bookmarkEnd w:id="51"/>
    <w:bookmarkStart w:id="56" w:name="X78cdc8d4ba8e35e35baae75686e1d486cbaf71b"/>
    <w:p>
      <w:pPr>
        <w:pStyle w:val="Heading2"/>
      </w:pPr>
      <w:r>
        <w:t xml:space="preserve">UX Premium &amp; Plateforme Technique : Alignement sans Couture</w:t>
      </w:r>
    </w:p>
    <w:p>
      <w:pPr>
        <w:pStyle w:val="FirstParagraph"/>
      </w:pPr>
      <w:r>
        <w:t xml:space="preserve">Une UX d’exception ne peut être obtenue sans un</w:t>
      </w:r>
      <w:r>
        <w:t xml:space="preserve"> </w:t>
      </w:r>
      <w:r>
        <w:rPr>
          <w:b/>
          <w:bCs/>
        </w:rPr>
        <w:t xml:space="preserve">soutien technique sans faille</w:t>
      </w:r>
      <w:r>
        <w:t xml:space="preserve">. Notre architecture a été calibrée pour</w:t>
      </w:r>
      <w:r>
        <w:t xml:space="preserve"> </w:t>
      </w:r>
      <w:r>
        <w:rPr>
          <w:b/>
          <w:bCs/>
        </w:rPr>
        <w:t xml:space="preserve">soutenir la vision produit 11/10 UX</w:t>
      </w:r>
      <w:r>
        <w:t xml:space="preserve"> </w:t>
      </w:r>
      <w:r>
        <w:t xml:space="preserve">à chaque niveau :</w:t>
      </w:r>
    </w:p>
    <w:p>
      <w:pPr>
        <w:pStyle w:val="Compact"/>
        <w:numPr>
          <w:ilvl w:val="0"/>
          <w:numId w:val="1005"/>
        </w:numPr>
      </w:pPr>
      <w:r>
        <w:rPr>
          <w:b/>
        </w:rPr>
        <w:t>Design System Unifié &amp; APIs</w:t>
      </w:r>
      <w:r>
        <w:t xml:space="preserve"> – Le frontend (web et mobile) s’appuie sur un design system commun, et l’architecture backend fournit à tous les canaux la même source de vérité. À terme, une couche GraphQL de lecture pourra aider certains écrans data-heavy ; dans la V1 actuelle, la composition reste REST-first et doit rester lisible. L’objectif demeure une continuité forte entre desktop et mobile sans introduire trop tôt une sophistication d’API non encore rentable[26].</w:t>
      </w:r>
    </w:p>
    <w:p>
      <w:pPr>
        <w:pStyle w:val="Compact"/>
        <w:numPr>
          <w:ilvl w:val="0"/>
          <w:numId w:val="1005"/>
        </w:numPr>
      </w:pPr>
      <w:r>
        <w:rPr>
          <w:b/>
        </w:rPr>
        <w:t>Performances &amp; Réactivité</w:t>
      </w:r>
      <w:r>
        <w:t xml:space="preserve"> – Une UX premium nécessite des temps de réponse quasi instantanés. Outre les optimisations techniques (caching, pagination cursor, batching [2]), nous avons fait des choix d’architecture qui raccourcissent les chemins critiques. L’approche screen-first citée plus haut en est un exemple clef : les données utiles doivent arriver avec un minimum d’allers-retours[27]. De futures capacités temps réel, GraphQL ou subscriptions pourront être introduites si elles apportent un gain net prouvé[28].</w:t>
      </w:r>
    </w:p>
    <w:p>
      <w:pPr>
        <w:pStyle w:val="Compact"/>
        <w:numPr>
          <w:ilvl w:val="0"/>
          <w:numId w:val="1005"/>
        </w:numPr>
      </w:pPr>
      <w:r>
        <w:rPr>
          <w:b/>
          <w:bCs/>
        </w:rPr>
        <w:t xml:space="preserve">Fiabilité &amp; Perception de Qualité</w:t>
      </w:r>
      <w:r>
        <w:t xml:space="preserve"> </w:t>
      </w:r>
      <w:r>
        <w:t xml:space="preserve">: L’expérience utilisateur ressentie est indissociable de la fiabilité du système. Ici, l’architecture</w:t>
      </w:r>
      <w:r>
        <w:t xml:space="preserve"> </w:t>
      </w:r>
      <w:r>
        <w:rPr>
          <w:i/>
          <w:iCs/>
        </w:rPr>
        <w:t xml:space="preserve">tech</w:t>
      </w:r>
      <w:r>
        <w:t xml:space="preserve"> </w:t>
      </w:r>
      <w:r>
        <w:t xml:space="preserve">et l’UX se rejoignent dans le principe de</w:t>
      </w:r>
      <w:r>
        <w:t xml:space="preserve"> </w:t>
      </w:r>
      <w:r>
        <w:rPr>
          <w:b/>
          <w:bCs/>
        </w:rPr>
        <w:t xml:space="preserve">“Trust as a feature”</w:t>
      </w:r>
      <w:r>
        <w:t xml:space="preserve"> </w:t>
      </w:r>
      <w:r>
        <w:t xml:space="preserve">: chaque interaction doit</w:t>
      </w:r>
      <w:r>
        <w:t xml:space="preserve"> </w:t>
      </w:r>
      <w:r>
        <w:rPr>
          <w:b/>
          <w:bCs/>
        </w:rPr>
        <w:t xml:space="preserve">“juste fonctionner”</w:t>
      </w:r>
      <w:r>
        <w:t xml:space="preserve">. En pratique, cela signifie que nous avons implémenté des mécanismes de</w:t>
      </w:r>
      <w:r>
        <w:t xml:space="preserve"> </w:t>
      </w:r>
      <w:r>
        <w:rPr>
          <w:b/>
          <w:bCs/>
        </w:rPr>
        <w:t xml:space="preserve">grâce et de secours</w:t>
      </w:r>
      <w:r>
        <w:t xml:space="preserve"> </w:t>
      </w:r>
      <w:r>
        <w:t xml:space="preserve">au niveau technique pour protéger l’utilisateur des aléas : files d’attente avec reprise pour les traitements longs (ex: génération d’un rapport PDF assisté par IA – s’il échoue, il sera retenté automatiquement), écritures idempotentes côté serveur pour éviter les doublons en cas de clics répétés ou de connexions fluctuantes</w:t>
      </w:r>
      <w:hyperlink r:id="rId55">
        <w:r>
          <w:rPr>
            <w:rStyle w:val="Hyperlink"/>
          </w:rPr>
          <w:t xml:space="preserve">[29]</w:t>
        </w:r>
      </w:hyperlink>
      <w:r>
        <w:t xml:space="preserve">, et</w:t>
      </w:r>
      <w:r>
        <w:t xml:space="preserve"> </w:t>
      </w:r>
      <w:r>
        <w:rPr>
          <w:b/>
          <w:bCs/>
        </w:rPr>
        <w:t xml:space="preserve">transactions atomiques</w:t>
      </w:r>
      <w:r>
        <w:t xml:space="preserve"> </w:t>
      </w:r>
      <w:r>
        <w:t xml:space="preserve">pour conserver l’état cohérent (jamais de demi-mise à jour). Ces choix se traduisent en UX par une</w:t>
      </w:r>
      <w:r>
        <w:t xml:space="preserve"> </w:t>
      </w:r>
      <w:r>
        <w:rPr>
          <w:b/>
          <w:bCs/>
        </w:rPr>
        <w:t xml:space="preserve">confiance implicite</w:t>
      </w:r>
      <w:r>
        <w:t xml:space="preserve"> </w:t>
      </w:r>
      <w:r>
        <w:t xml:space="preserve">: l’utilisateur n’a pas à se soucier de savoir si son action a été prise en compte ou si l’IA a fini son travail – le système le garantit ou l’informe de manière transparente. En cas de problème (rare et anticipé), des messages clairs guident l’utilisateur, renforçant l’impression d’une application</w:t>
      </w:r>
      <w:r>
        <w:t xml:space="preserve"> </w:t>
      </w:r>
      <w:r>
        <w:rPr>
          <w:b/>
          <w:bCs/>
        </w:rPr>
        <w:t xml:space="preserve">robuste et bien pensée</w:t>
      </w:r>
      <w:r>
        <w:t xml:space="preserve"> </w:t>
      </w:r>
      <w:r>
        <w:t xml:space="preserve">plutôt que d’un “logiciel fragile”.</w:t>
      </w:r>
    </w:p>
    <w:p>
      <w:pPr>
        <w:pStyle w:val="FirstParagraph"/>
      </w:pPr>
      <w:r>
        <w:t xml:space="preserve">En résumé, l’architecture technique et la vision UX avancent main dans la main. Chaque exigence de l’expérience premium (cohérence, fluidité, confiance) a un pendant architectural :</w:t>
      </w:r>
      <w:r>
        <w:t xml:space="preserve"> </w:t>
      </w:r>
      <w:r>
        <w:rPr>
          <w:b/>
          <w:bCs/>
        </w:rPr>
        <w:t xml:space="preserve">un seul backend modulaire pour tous</w:t>
      </w:r>
      <w:r>
        <w:t xml:space="preserve">, des APIs pensées</w:t>
      </w:r>
      <w:r>
        <w:t xml:space="preserve"> </w:t>
      </w:r>
      <w:r>
        <w:rPr>
          <w:i/>
          <w:iCs/>
        </w:rPr>
        <w:t xml:space="preserve">expérience</w:t>
      </w:r>
      <w:r>
        <w:t xml:space="preserve">, une performance optimisée par design, et une fiabilité soutenue par la sécurité et l’observabilité. C’est cette synergie qui permettra à notre produit de se démarquer nettement et durablement sur le marché.</w:t>
      </w:r>
    </w:p>
    <w:bookmarkEnd w:id="56"/>
    <w:bookmarkStart w:id="59" w:name="X95ee33de1f7d6ff08a4b048aeb25c5670b87b95"/>
    <w:p>
      <w:pPr>
        <w:pStyle w:val="Heading2"/>
      </w:pPr>
      <w:r>
        <w:t xml:space="preserve">Évolution, Scalabilité et Gouvernance dans la Durée</w:t>
      </w:r>
    </w:p>
    <w:p>
      <w:pPr>
        <w:pStyle w:val="FirstParagraph"/>
      </w:pPr>
      <w:r>
        <w:t xml:space="preserve">L’un des rôles d’une vision d’architecture est d’</w:t>
      </w:r>
      <w:r>
        <w:rPr>
          <w:b/>
          <w:bCs/>
        </w:rPr>
        <w:t xml:space="preserve">anticiper le changement</w:t>
      </w:r>
      <w:r>
        <w:t xml:space="preserve">. Nous avons posé des fondations évolutives, et il importe de décrire comment la gouvernance technique garantira que l’architecture reste maîtrisée et pertinente sur le long terme :</w:t>
      </w:r>
    </w:p>
    <w:p>
      <w:pPr>
        <w:pStyle w:val="Compact"/>
        <w:numPr>
          <w:ilvl w:val="0"/>
          <w:numId w:val="1006"/>
        </w:numPr>
      </w:pPr>
      <w:r>
        <w:rPr>
          <w:b/>
          <w:bCs/>
        </w:rPr>
        <w:t xml:space="preserve">Modularité Évolutive &amp; Anti-“Big Ball of Mud”</w:t>
      </w:r>
      <w:r>
        <w:t xml:space="preserve"> </w:t>
      </w:r>
      <w:r>
        <w:t xml:space="preserve">: Pour éviter que le monolithe modulable ne dégénère en monolithe spaghetti au fil des ajouts de features, nous instaurons une</w:t>
      </w:r>
      <w:r>
        <w:t xml:space="preserve"> </w:t>
      </w:r>
      <w:r>
        <w:rPr>
          <w:b/>
          <w:bCs/>
        </w:rPr>
        <w:t xml:space="preserve">gouvernance modulaire stricte</w:t>
      </w:r>
      <w:r>
        <w:t xml:space="preserve">. Concrètement, chaque nouveau composant ou sous-domaine devra respecter les frontières existantes ou définir clairement un</w:t>
      </w:r>
      <w:r>
        <w:t xml:space="preserve"> </w:t>
      </w:r>
      <w:r>
        <w:rPr>
          <w:b/>
          <w:bCs/>
        </w:rPr>
        <w:t xml:space="preserve">nouveau module</w:t>
      </w:r>
      <w:r>
        <w:t xml:space="preserve">. Des revues d’architecture seront effectuées à chaque épique majeure pour valider que les dépendances restent acycliques et que la règle</w:t>
      </w:r>
      <w:r>
        <w:t xml:space="preserve"> </w:t>
      </w:r>
      <w:r>
        <w:rPr>
          <w:i/>
          <w:iCs/>
        </w:rPr>
        <w:t xml:space="preserve">“une fonctionnalité = un module bien séparé”</w:t>
      </w:r>
      <w:r>
        <w:t xml:space="preserve"> </w:t>
      </w:r>
      <w:r>
        <w:t xml:space="preserve">tient toujours. Des outils d’architecture (tests automatisés de dépendances, analyse statique via conventions Spring Modulith ou équivalent) pourront être utilisés pour</w:t>
      </w:r>
      <w:r>
        <w:t xml:space="preserve"> </w:t>
      </w:r>
      <w:r>
        <w:rPr>
          <w:b/>
          <w:bCs/>
        </w:rPr>
        <w:t xml:space="preserve">faire respecter les contrats</w:t>
      </w:r>
      <w:r>
        <w:t xml:space="preserve"> </w:t>
      </w:r>
      <w:r>
        <w:t xml:space="preserve">entre modules</w:t>
      </w:r>
      <w:hyperlink r:id="rId57">
        <w:r>
          <w:rPr>
            <w:rStyle w:val="Hyperlink"/>
          </w:rPr>
          <w:t xml:space="preserve">[30]</w:t>
        </w:r>
      </w:hyperlink>
      <w:hyperlink r:id="rId58">
        <w:r>
          <w:rPr>
            <w:rStyle w:val="Hyperlink"/>
          </w:rPr>
          <w:t xml:space="preserve">[31]</w:t>
        </w:r>
      </w:hyperlink>
      <w:r>
        <w:t xml:space="preserve">. Cette discipline garantira qu’</w:t>
      </w:r>
      <w:r>
        <w:rPr>
          <w:b/>
          <w:bCs/>
        </w:rPr>
        <w:t xml:space="preserve">en grandissant, la base de code reste compréhensible</w:t>
      </w:r>
      <w:r>
        <w:t xml:space="preserve"> </w:t>
      </w:r>
      <w:r>
        <w:t xml:space="preserve">et prête, le jour venu, à une transition progressive vers des microservices</w:t>
      </w:r>
      <w:r>
        <w:t xml:space="preserve"> </w:t>
      </w:r>
      <w:r>
        <w:rPr>
          <w:i/>
          <w:iCs/>
        </w:rPr>
        <w:t xml:space="preserve">si et seulement si</w:t>
      </w:r>
      <w:r>
        <w:t xml:space="preserve"> </w:t>
      </w:r>
      <w:r>
        <w:t xml:space="preserve">cela apporte de la valeur. En somme, on</w:t>
      </w:r>
      <w:r>
        <w:t xml:space="preserve"> </w:t>
      </w:r>
      <w:r>
        <w:rPr>
          <w:b/>
          <w:bCs/>
        </w:rPr>
        <w:t xml:space="preserve">préserve l’agilité du monolithe</w:t>
      </w:r>
      <w:r>
        <w:t xml:space="preserve"> </w:t>
      </w:r>
      <w:r>
        <w:t xml:space="preserve">initial sur la durée, plutôt que de la perdre dans la complexité à mesure que l’équipe et le produit grandissent.</w:t>
      </w:r>
    </w:p>
    <w:p>
      <w:pPr>
        <w:pStyle w:val="Compact"/>
        <w:numPr>
          <w:ilvl w:val="0"/>
          <w:numId w:val="1006"/>
        </w:numPr>
      </w:pPr>
      <w:r>
        <w:rPr>
          <w:b/>
          <w:bCs/>
        </w:rPr>
        <w:t xml:space="preserve">Ouverture aux Nouvelles Technologies (Forward-Compatible)</w:t>
      </w:r>
      <w:r>
        <w:t xml:space="preserve"> </w:t>
      </w:r>
      <w:r>
        <w:t xml:space="preserve">: L’architecture actuelle mise sur des standards éprouvés (Spring Boot, PostgreSQL, OpenTelemetry, etc.) et sur l’open-source flexible côté IA. Cela nous place dans une posture d’ouverture : si un jour un nouveau framework ou outil apporte un avantage certain (par ex. une nouvelle base de données optimisée finance, ou un orchestrateur d’IA plus performant), nous pouvons l’</w:t>
      </w:r>
      <w:r>
        <w:rPr>
          <w:b/>
          <w:bCs/>
        </w:rPr>
        <w:t xml:space="preserve">intégrer sans tout repenser</w:t>
      </w:r>
      <w:r>
        <w:t xml:space="preserve">. Le respect de principes comme MCP pour l’IA ou GraphQL pour l’interface fait que</w:t>
      </w:r>
      <w:r>
        <w:t xml:space="preserve"> </w:t>
      </w:r>
      <w:r>
        <w:rPr>
          <w:b/>
          <w:bCs/>
        </w:rPr>
        <w:t xml:space="preserve">les contrats d’intégration sont standardisés</w:t>
      </w:r>
      <w:r>
        <w:t xml:space="preserve"> </w:t>
      </w:r>
      <w:r>
        <w:t xml:space="preserve">– brancher un nouveau moteur est possible tant qu’il respecte ces contrats. Par exemple, remplacer LangChain par un successeur se faisant jour en 2026 serait possible car l’interaction IA est encapsulée derrière des interfaces standard (notre orchestrateur et nos prompts formatés MCP). De même, si demain les utilisateurs demandent une intégration plus poussée avec Excel ou des outils externes, notre API REST bien structurée et sécurisée pourra l’accepter sans trou de sécurité ni refonte massive.</w:t>
      </w:r>
      <w:r>
        <w:t xml:space="preserve"> </w:t>
      </w:r>
      <w:r>
        <w:rPr>
          <w:b/>
          <w:bCs/>
        </w:rPr>
        <w:t xml:space="preserve">L’évolutivité</w:t>
      </w:r>
      <w:r>
        <w:t xml:space="preserve"> </w:t>
      </w:r>
      <w:r>
        <w:t xml:space="preserve">fait partie de la vision : on bâtit une maison solide sur laquelle on pourra ajouter des étages, plutôt qu’un bunker figé.</w:t>
      </w:r>
    </w:p>
    <w:p>
      <w:pPr>
        <w:pStyle w:val="Compact"/>
        <w:numPr>
          <w:ilvl w:val="0"/>
          <w:numId w:val="1006"/>
        </w:numPr>
      </w:pPr>
      <w:r>
        <w:rPr>
          <w:b/>
          <w:bCs/>
        </w:rPr>
        <w:t xml:space="preserve">Scalabilité Progressive</w:t>
      </w:r>
      <w:r>
        <w:t xml:space="preserve"> </w:t>
      </w:r>
      <w:r>
        <w:t xml:space="preserve">: Bien que monolithique, la plateforme est conçue pour monter en charge graduellement. À court terme, le</w:t>
      </w:r>
      <w:r>
        <w:t xml:space="preserve"> </w:t>
      </w:r>
      <w:r>
        <w:rPr>
          <w:b/>
          <w:bCs/>
        </w:rPr>
        <w:t xml:space="preserve">scaling vertical</w:t>
      </w:r>
      <w:r>
        <w:t xml:space="preserve"> </w:t>
      </w:r>
      <w:r>
        <w:t xml:space="preserve">(plus de ressources CPU/RAM sur l’instance) et le</w:t>
      </w:r>
      <w:r>
        <w:t xml:space="preserve"> </w:t>
      </w:r>
      <w:r>
        <w:rPr>
          <w:b/>
          <w:bCs/>
        </w:rPr>
        <w:t xml:space="preserve">scaling horizontal</w:t>
      </w:r>
      <w:r>
        <w:t xml:space="preserve"> </w:t>
      </w:r>
      <w:r>
        <w:t xml:space="preserve">simple (multiples instances du monolithe derrière un load balancer) suffiront à encaisser la croissance. PostgreSQL peut gérer des volumes importants en lecture/écriture pour nos besoins initiaux, surtout avec l’usage de caches en mémoire et d’optimisations de requêtes. À moyen terme, si certains modules deviennent particulièrement sollicités (ex: module de reporting financier lourd en calculs), nous pourrons</w:t>
      </w:r>
      <w:r>
        <w:t xml:space="preserve"> </w:t>
      </w:r>
      <w:r>
        <w:rPr>
          <w:b/>
          <w:bCs/>
        </w:rPr>
        <w:t xml:space="preserve">détacher ce module en microservice</w:t>
      </w:r>
      <w:r>
        <w:t xml:space="preserve"> </w:t>
      </w:r>
      <w:r>
        <w:t xml:space="preserve">dédié, en exploitant les frontières déjà en place – sans reconsidérer toute l’architecture. La communication resterait REST/GraphQL, simplement pointant vers un service séparé pour ce domaine. Ainsi, le passage à une</w:t>
      </w:r>
      <w:r>
        <w:t xml:space="preserve"> </w:t>
      </w:r>
      <w:r>
        <w:rPr>
          <w:b/>
          <w:bCs/>
        </w:rPr>
        <w:t xml:space="preserve">architecture distribuée par étapes</w:t>
      </w:r>
      <w:r>
        <w:t xml:space="preserve"> </w:t>
      </w:r>
      <w:r>
        <w:t xml:space="preserve">est prévu dans la feuille de route technique, déclenché uniquement par des</w:t>
      </w:r>
      <w:r>
        <w:t xml:space="preserve"> </w:t>
      </w:r>
      <w:r>
        <w:rPr>
          <w:b/>
          <w:bCs/>
        </w:rPr>
        <w:t xml:space="preserve">indicateurs concrets</w:t>
      </w:r>
      <w:r>
        <w:t xml:space="preserve"> </w:t>
      </w:r>
      <w:r>
        <w:t xml:space="preserve">(latence qui augmente malgré les optimisations, coûts d’infrastructure disproportionnés, équipes devenant trop grandes pour un déploiement commun, etc.). Cette approche évite le “tout ou rien” : la scalabilité n’est pas un</w:t>
      </w:r>
      <w:r>
        <w:t xml:space="preserve"> </w:t>
      </w:r>
      <w:r>
        <w:rPr>
          <w:b/>
          <w:bCs/>
        </w:rPr>
        <w:t xml:space="preserve">réflexe technologique prématuré</w:t>
      </w:r>
      <w:r>
        <w:t xml:space="preserve">, c’est un</w:t>
      </w:r>
      <w:r>
        <w:t xml:space="preserve"> </w:t>
      </w:r>
      <w:r>
        <w:rPr>
          <w:b/>
          <w:bCs/>
        </w:rPr>
        <w:t xml:space="preserve">processus contrôlé</w:t>
      </w:r>
      <w:r>
        <w:t xml:space="preserve"> </w:t>
      </w:r>
      <w:r>
        <w:t xml:space="preserve">accompagnant la croissance réelle du produit.</w:t>
      </w:r>
    </w:p>
    <w:p>
      <w:pPr>
        <w:pStyle w:val="Compact"/>
        <w:numPr>
          <w:ilvl w:val="0"/>
          <w:numId w:val="1006"/>
        </w:numPr>
      </w:pPr>
      <w:r>
        <w:rPr>
          <w:b/>
          <w:bCs/>
        </w:rPr>
        <w:t xml:space="preserve">Gestion du Changement et Endurance</w:t>
      </w:r>
      <w:r>
        <w:t xml:space="preserve"> </w:t>
      </w:r>
      <w:r>
        <w:t xml:space="preserve">: Une architecture visionnaire doit aussi rester</w:t>
      </w:r>
      <w:r>
        <w:t xml:space="preserve"> </w:t>
      </w:r>
      <w:r>
        <w:rPr>
          <w:b/>
          <w:bCs/>
        </w:rPr>
        <w:t xml:space="preserve">gérable par l’équipe en place</w:t>
      </w:r>
      <w:r>
        <w:t xml:space="preserve"> </w:t>
      </w:r>
      <w:r>
        <w:t xml:space="preserve">et par celles à venir. Pour cela, nous investissons dans la</w:t>
      </w:r>
      <w:r>
        <w:t xml:space="preserve"> </w:t>
      </w:r>
      <w:r>
        <w:rPr>
          <w:b/>
          <w:bCs/>
        </w:rPr>
        <w:t xml:space="preserve">documentation vivante</w:t>
      </w:r>
      <w:r>
        <w:t xml:space="preserve"> </w:t>
      </w:r>
      <w:r>
        <w:t xml:space="preserve">de l’architecture (décisions ADR, diagrammes à jour, manuel de référence) et dans la</w:t>
      </w:r>
      <w:r>
        <w:t xml:space="preserve"> </w:t>
      </w:r>
      <w:r>
        <w:rPr>
          <w:b/>
          <w:bCs/>
        </w:rPr>
        <w:t xml:space="preserve">montée en compétence continue</w:t>
      </w:r>
      <w:r>
        <w:t xml:space="preserve"> </w:t>
      </w:r>
      <w:r>
        <w:t xml:space="preserve">des développeurs sur nos principes clés (sécurité financière, IA, clean architecture). La gouvernance technique sera assurée par un</w:t>
      </w:r>
      <w:r>
        <w:t xml:space="preserve"> </w:t>
      </w:r>
      <w:r>
        <w:rPr>
          <w:b/>
          <w:bCs/>
        </w:rPr>
        <w:t xml:space="preserve">Architecte Responsable</w:t>
      </w:r>
      <w:r>
        <w:t xml:space="preserve"> </w:t>
      </w:r>
      <w:r>
        <w:t xml:space="preserve">ou un petit comité qui veille aux grands principes non-négociables, tout en laissant la souplesse nécessaire aux équipes agiles pour innover au quotidien. Ce gardiennage bienveillant évitera les dérives tout en maintenant un rythme de delivery élevé. L’architecture est pensée comme un</w:t>
      </w:r>
      <w:r>
        <w:t xml:space="preserve"> </w:t>
      </w:r>
      <w:r>
        <w:rPr>
          <w:b/>
          <w:bCs/>
        </w:rPr>
        <w:t xml:space="preserve">atout business durable</w:t>
      </w:r>
      <w:r>
        <w:t xml:space="preserve"> </w:t>
      </w:r>
      <w:r>
        <w:t xml:space="preserve">– elle doit pouvoir être reprise et comprise par d’autres, évoluer sans dette cachée, et supporter la stratégie de l’entreprise sur 5-10 ans. En choisissant la</w:t>
      </w:r>
      <w:r>
        <w:t xml:space="preserve"> </w:t>
      </w:r>
      <w:r>
        <w:rPr>
          <w:b/>
          <w:bCs/>
        </w:rPr>
        <w:t xml:space="preserve">sobriété technique</w:t>
      </w:r>
      <w:r>
        <w:t xml:space="preserve"> </w:t>
      </w:r>
      <w:r>
        <w:t xml:space="preserve">sur certains points (monolithe modulable) et l’</w:t>
      </w:r>
      <w:r>
        <w:rPr>
          <w:b/>
          <w:bCs/>
        </w:rPr>
        <w:t xml:space="preserve">innovation ciblée</w:t>
      </w:r>
      <w:r>
        <w:t xml:space="preserve"> </w:t>
      </w:r>
      <w:r>
        <w:t xml:space="preserve">sur d’autres (IA orchestrée, RAG, MCP), nous avons misé sur une base solide mais adaptable. C’est cette vision équilibrée qui assurera l’endurance de la plateforme, là où d’autres brûlent de la complexité et s’épuisent rapidement.</w:t>
      </w:r>
    </w:p>
    <w:p>
      <w:pPr>
        <w:pStyle w:val="FirstParagraph"/>
      </w:pPr>
      <w:r>
        <w:t>En conclusion, cette vision d’architecture technique trace une trajectoire claire : construire une plateforme SaaS de confiance, fluide et intelligente, alignée sur une UX premium et une stratégie IA-native. Chaque choix structurel – du monolithe modulaire déjà acté aux briques IA et API UI-first visées à terme – sert un seul Nord : délivrer aux utilisateurs une solution qui inspire autant la sérénité (fiabilité, sécurité, conformité) que l’enthousiasme (innovation, simplicité d’usage, gains de temps). C’est en restant fidèle à ces principes, tout en adaptant le détail en continu, que l’architecture deviendra un levier de différenciation durable et non un simple support technique. Ce document pose les bases d’une architecture gouvernable dans le temps, où chaque composant a sa raison d’être stratégique, et où l’ensemble respire la cohérence. La suite appartient à l’équipe produit/tech de la faire vivre, en gardant cette North Star bien en vue pour naviguer les défis à venir. [13][5]</w:t>
      </w:r>
    </w:p>
    <w:bookmarkEnd w:id="59"/>
    <w:bookmarkEnd w:id="60"/>
    <w:bookmarkEnd w:id="61"/>
    <w:p>
      <w:r>
        <w:pict>
          <v:rect style="width:0;height:1.5pt" o:hralign="center" o:hrstd="t" o:hr="t"/>
        </w:pict>
      </w:r>
    </w:p>
    <w:bookmarkStart w:id="65"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r>
        <w:t xml:space="preserve">Architecture technique de référence.docx</w:t>
      </w:r>
    </w:p>
    <w:p>
      <w:pPr>
        <w:pStyle w:val="BodyText"/>
      </w:pPr>
      <w:hyperlink r:id="rId62">
        <w:r>
          <w:rPr>
            <w:rStyle w:val="Hyperlink"/>
          </w:rPr>
          <w:t xml:space="preserve">file://file_0000000008f472468d4a824d260321b7</w:t>
        </w:r>
      </w:hyperlink>
    </w:p>
    <w:p>
      <w:pPr>
        <w:pStyle w:val="BodyText"/>
      </w:pPr>
      <w:hyperlink r:id="rId24">
        <w:r>
          <w:rPr>
            <w:rStyle w:val="Hyperlink"/>
          </w:rPr>
          <w:t xml:space="preserve">[3]</w:t>
        </w:r>
      </w:hyperlink>
      <w:r>
        <w:t xml:space="preserve"> </w:t>
      </w:r>
      <w:hyperlink r:id="rId27">
        <w:r>
          <w:rPr>
            <w:rStyle w:val="Hyperlink"/>
          </w:rPr>
          <w:t xml:space="preserve">[7]</w:t>
        </w:r>
      </w:hyperlink>
      <w:r>
        <w:t xml:space="preserve"> </w:t>
      </w:r>
      <w:r>
        <w:t xml:space="preserve">Vision UX - Experience utilisateur-19.12.2025.docx</w:t>
      </w:r>
    </w:p>
    <w:p>
      <w:pPr>
        <w:pStyle w:val="BodyText"/>
      </w:pPr>
      <w:hyperlink r:id="rId63">
        <w:r>
          <w:rPr>
            <w:rStyle w:val="Hyperlink"/>
          </w:rPr>
          <w:t xml:space="preserve">file://file_00000000b3f4720a92dcfddf8d0b813f</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50">
        <w:r>
          <w:rPr>
            <w:rStyle w:val="Hyperlink"/>
          </w:rPr>
          <w:t xml:space="preserve">[25]</w:t>
        </w:r>
      </w:hyperlink>
      <w:r>
        <w:t xml:space="preserve"> </w:t>
      </w:r>
      <w:r>
        <w:t xml:space="preserve">Analyse pour une plateforme SaaS IA‑natif orientée finance (MVP).docx</w:t>
      </w:r>
    </w:p>
    <w:p>
      <w:pPr>
        <w:pStyle w:val="BodyText"/>
      </w:pPr>
      <w:hyperlink r:id="rId64">
        <w:r>
          <w:rPr>
            <w:rStyle w:val="Hyperlink"/>
          </w:rPr>
          <w:t xml:space="preserve">file://file_00000000062871f4923adad39d16e74e</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hyperlink" Target="file://file_00000000062871f4923adad39d16e74e" TargetMode="External"/><Relationship Id="rId50" Type="http://schemas.openxmlformats.org/officeDocument/2006/relationships/hyperlink" Target="file://file_00000000062871f4923adad39d16e74e#:~:text=%28format%20des%20requ%C3%AAtes%2C%20r%C3%A9ponses%2C%20erreurs%29,futur%20de%20nouveaux%20outils%20et" TargetMode="External"/><Relationship Id="rId41" Type="http://schemas.openxmlformats.org/officeDocument/2006/relationships/hyperlink" Target="file://file_00000000062871f4923adad39d16e74e#:~:text=En%20conclusion%2C%20l%E2%80%99architecture%20propos%C3%A9e%20est,interactions%20selon%20des%20r%C3%A8gles%20d%C3%A9finies" TargetMode="External"/><Relationship Id="rId40" Type="http://schemas.openxmlformats.org/officeDocument/2006/relationships/hyperlink" Target="file://file_00000000062871f4923adad39d16e74e#:~:text=comme%20MCP%20%28Model,appels%20selon%20un%20protocole%20uniformis%C3%A9" TargetMode="External"/><Relationship Id="rId62" Type="http://schemas.openxmlformats.org/officeDocument/2006/relationships/hyperlink" Target="file://file_0000000008f472468d4a824d260321b7" TargetMode="External"/><Relationship Id="rId57" Type="http://schemas.openxmlformats.org/officeDocument/2006/relationships/hyperlink" Target="file://file_0000000008f472468d4a824d260321b7#:~:text=%C3%A9v%C3%A9nements%20de%20domaine%20pour%20notifier,d%E2%80%99autres%20modules%20si%20n%C3%A9cessaire" TargetMode="External"/><Relationship Id="rId37" Type="http://schemas.openxmlformats.org/officeDocument/2006/relationships/hyperlink" Target="file://file_0000000008f472468d4a824d260321b7#:~:text=API%20GraphQL%20%3A%20Utilis%C3%A9e%20pour,mani%C3%A8re%20%C3%A0%20minimiser%20les%20allers" TargetMode="External"/><Relationship Id="rId36" Type="http://schemas.openxmlformats.org/officeDocument/2006/relationships/hyperlink" Target="file://file_0000000008f472468d4a824d260321b7#:~:text=API%20REST%20%3A%20Utilis%C3%A9e%20pour,qu%E2%80%99un%20deuxi%C3%A8me%20appel%20avec%20les" TargetMode="External"/><Relationship Id="rId55" Type="http://schemas.openxmlformats.org/officeDocument/2006/relationships/hyperlink" Target="file://file_0000000008f472468d4a824d260321b7#:~:text=API%20REST%20%3A%20Utilis%C3%A9e%20pour,si%20la%20facture%20est%20d%C3%A9j%C3%A0" TargetMode="External"/><Relationship Id="rId58" Type="http://schemas.openxmlformats.org/officeDocument/2006/relationships/hyperlink" Target="file://file_0000000008f472468d4a824d260321b7#:~:text=Avec%20Spring%20Modulith%2C%20le%20framework,de%20microservices%20isol%C3%A9s%2C%20ce%20qui" TargetMode="External"/><Relationship Id="rId23" Type="http://schemas.openxmlformats.org/officeDocument/2006/relationships/hyperlink" Target="file://file_0000000008f472468d4a824d260321b7#:~:text=Batching%20et%20r%C3%A9duction%20des%20allers,qui%20ne%20voit%20qu%E2%80%99une%20r%C3%A9ponse" TargetMode="External"/><Relationship Id="rId34" Type="http://schemas.openxmlformats.org/officeDocument/2006/relationships/hyperlink" Target="file://file_0000000008f472468d4a824d260321b7#:~:text=Cette%20division%20REST%2FGraphQL%20s%E2%80%99inscrit%20dans,l%E2%80%99interne%2C%20toutefois%2C%20les%20deux%20types" TargetMode="External"/><Relationship Id="rId35" Type="http://schemas.openxmlformats.org/officeDocument/2006/relationships/hyperlink" Target="file://file_0000000008f472468d4a824d260321b7#:~:text=Cette%20division%20REST%2FGraphQL%20s%E2%80%99inscrit%20dans,services%20de%20lecture%20ou%20des" TargetMode="External"/><Relationship Id="rId31" Type="http://schemas.openxmlformats.org/officeDocument/2006/relationships/hyperlink" Target="file://file_0000000008f472468d4a824d260321b7#:~:text=Cette%20plateforme%20adopte%20un%20monolithe,1" TargetMode="External"/><Relationship Id="rId53" Type="http://schemas.openxmlformats.org/officeDocument/2006/relationships/hyperlink" Target="file://file_0000000008f472468d4a824d260321b7#:~:text=Design%20%E2%80%9Cscreen,API%20garantit%20une%20fluidit%C3%A9%20c%C3%B4t%C3%A9" TargetMode="External"/><Relationship Id="rId22" Type="http://schemas.openxmlformats.org/officeDocument/2006/relationships/hyperlink" Target="file://file_0000000008f472468d4a824d260321b7#:~:text=Design%20%E2%80%9Cscreen,et%20simplifie" TargetMode="External"/><Relationship Id="rId43" Type="http://schemas.openxmlformats.org/officeDocument/2006/relationships/hyperlink" Target="file://file_0000000008f472468d4a824d260321b7#:~:text=En%20activant%20RLS%2C%20on%20d%C3%A9finit,requ%C3%AAte%2C%20l%E2%80%99application%20fait%20un%20SET" TargetMode="External"/><Relationship Id="rId25" Type="http://schemas.openxmlformats.org/officeDocument/2006/relationships/hyperlink" Target="file://file_0000000008f472468d4a824d260321b7#:~:text=En%20somme%2C%20la%20plateforme%20traite,les%20pratiques%20du%20secteur%20financier" TargetMode="External"/><Relationship Id="rId33" Type="http://schemas.openxmlformats.org/officeDocument/2006/relationships/hyperlink" Target="file://file_0000000008f472468d4a824d260321b7#:~:text=En%20synth%C3%A8se%2C%20ce%20monolithe%20modulaire,les%20fronti%C3%A8res%20de%20module%20convenues" TargetMode="External"/><Relationship Id="rId32" Type="http://schemas.openxmlformats.org/officeDocument/2006/relationships/hyperlink" Target="file://file_0000000008f472468d4a824d260321b7#:~:text=L%E2%80%99architecture%20interne%20suit%20les%20principes,la%20maintenabilit%C3%A9%20et%20la%20testabilit%C3%A9" TargetMode="External"/><Relationship Id="rId52" Type="http://schemas.openxmlformats.org/officeDocument/2006/relationships/hyperlink" Target="file://file_0000000008f472468d4a824d260321b7#:~:text=Optimisation%20mobile%20%3A%20Les%20applications,bande%20passante%2C%20crucial%20sur%20mobile" TargetMode="External"/><Relationship Id="rId46" Type="http://schemas.openxmlformats.org/officeDocument/2006/relationships/hyperlink" Target="file://file_0000000008f472468d4a824d260321b7#:~:text=Requ%C3%AAtes%20persist%C3%A9es%20,d%E2%80%99appeler%20une%20requ%C3%AAte%20arbitraire%20non" TargetMode="External"/><Relationship Id="rId42" Type="http://schemas.openxmlformats.org/officeDocument/2006/relationships/hyperlink" Target="file://file_0000000008f472468d4a824d260321b7#:~:text=S%C3%A9curit%C3%A9%20des%20donn%C3%A9es%20,requ%C3%AAte%20mal%20cod%C3%A9e%20ou%20une" TargetMode="External"/><Relationship Id="rId26" Type="http://schemas.openxmlformats.org/officeDocument/2006/relationships/hyperlink" Target="file://file_0000000008f472468d4a824d260321b7#:~:text=S%C3%A9curit%C3%A9%20et%20conformit%C3%A9%20IA%20%3A,pourraient%20%C3%AAtre%20masqu%C3%A9es%2Fanonymis%C3%A9es%20avant%20envoi" TargetMode="External"/><Relationship Id="rId54" Type="http://schemas.openxmlformats.org/officeDocument/2006/relationships/hyperlink" Target="file://file_0000000008f472468d4a824d260321b7#:~:text=Temps%20r%C3%A9el%20si%20n%C3%A9cessaire%20,sur%20le%20canal%20de%20subscription" TargetMode="External"/><Relationship Id="rId28" Type="http://schemas.openxmlformats.org/officeDocument/2006/relationships/hyperlink" Target="file://file_0000000008f472468d4a824d260321b7#:~:text=compl%C3%A8te%20LangChain%20en%20permettant%20une,par%20exemple%2C%20une%20chain%20LangChain" TargetMode="External"/><Relationship Id="rId38" Type="http://schemas.openxmlformats.org/officeDocument/2006/relationships/hyperlink" Target="file://file_0000000008f472468d4a824d260321b7#:~:text=match%20at%20L835%20plus%2C%20cela,sera%20d%C3%A9tect%C3%A9e%20et%20trait%C3%A9e%20rapidement" TargetMode="External"/><Relationship Id="rId29" Type="http://schemas.openxmlformats.org/officeDocument/2006/relationships/hyperlink" Target="file://file_0000000008f472468d4a824d260321b7#:~:text=match%20at%20L870%20Service%20IA,container%20Docker%20pour%20ce%20service" TargetMode="External"/><Relationship Id="rId30" Type="http://schemas.openxmlformats.org/officeDocument/2006/relationships/hyperlink" Target="file://file_0000000008f472468d4a824d260321b7#:~:text=principe%20du%20RAG%20%E2%80%93%20c%E2%80%99est,client%2C%20le%20syst%C3%A8me%20va%20d%E2%80%99abord" TargetMode="External"/><Relationship Id="rId47" Type="http://schemas.openxmlformats.org/officeDocument/2006/relationships/hyperlink" Target="file://file_0000000008f472468d4a824d260321b7#:~:text=texte%20complet%2C%20envoie%20seulement%20un,17%5D.%20Cette%20technique%20est" TargetMode="External"/><Relationship Id="rId63" Type="http://schemas.openxmlformats.org/officeDocument/2006/relationships/hyperlink" Target="file://file_00000000b3f4720a92dcfddf8d0b813f" TargetMode="External"/><Relationship Id="rId24" Type="http://schemas.openxmlformats.org/officeDocument/2006/relationships/hyperlink" Target="file://file_00000000b3f4720a92dcfddf8d0b813f#:~:text=Coh%C3%A9rence%20Multi,confiance%20et%20la%20qualit%C3%A9%20per%C3%A7ue" TargetMode="External"/><Relationship Id="rId27" Type="http://schemas.openxmlformats.org/officeDocument/2006/relationships/hyperlink" Target="file://file_00000000b3f4720a92dcfddf8d0b813f#:~:text=S%C3%A9curit%C3%A9%20et%20Confiance%20,garde%20le%20contr%C3%B4le%20de%20ses" TargetMode="External"/></Relationships>
</file>

<file path=word/_rels/footnotes.xml.rels><?xml version='1.0' encoding='UTF-8' standalone='yes'?>
<Relationships xmlns="http://schemas.openxmlformats.org/package/2006/relationships"><Relationship Id="rId64" Type="http://schemas.openxmlformats.org/officeDocument/2006/relationships/hyperlink" Target="file://file_00000000062871f4923adad39d16e74e" TargetMode="External"/><Relationship Id="rId50" Type="http://schemas.openxmlformats.org/officeDocument/2006/relationships/hyperlink" Target="file://file_00000000062871f4923adad39d16e74e#:~:text=%28format%20des%20requ%C3%AAtes%2C%20r%C3%A9ponses%2C%20erreurs%29,futur%20de%20nouveaux%20outils%20et" TargetMode="External"/><Relationship Id="rId41" Type="http://schemas.openxmlformats.org/officeDocument/2006/relationships/hyperlink" Target="file://file_00000000062871f4923adad39d16e74e#:~:text=En%20conclusion%2C%20l%E2%80%99architecture%20propos%C3%A9e%20est,interactions%20selon%20des%20r%C3%A8gles%20d%C3%A9finies" TargetMode="External"/><Relationship Id="rId40" Type="http://schemas.openxmlformats.org/officeDocument/2006/relationships/hyperlink" Target="file://file_00000000062871f4923adad39d16e74e#:~:text=comme%20MCP%20%28Model,appels%20selon%20un%20protocole%20uniformis%C3%A9" TargetMode="External"/><Relationship Id="rId62" Type="http://schemas.openxmlformats.org/officeDocument/2006/relationships/hyperlink" Target="file://file_0000000008f472468d4a824d260321b7" TargetMode="External"/><Relationship Id="rId57" Type="http://schemas.openxmlformats.org/officeDocument/2006/relationships/hyperlink" Target="file://file_0000000008f472468d4a824d260321b7#:~:text=%C3%A9v%C3%A9nements%20de%20domaine%20pour%20notifier,d%E2%80%99autres%20modules%20si%20n%C3%A9cessaire" TargetMode="External"/><Relationship Id="rId37" Type="http://schemas.openxmlformats.org/officeDocument/2006/relationships/hyperlink" Target="file://file_0000000008f472468d4a824d260321b7#:~:text=API%20GraphQL%20%3A%20Utilis%C3%A9e%20pour,mani%C3%A8re%20%C3%A0%20minimiser%20les%20allers" TargetMode="External"/><Relationship Id="rId36" Type="http://schemas.openxmlformats.org/officeDocument/2006/relationships/hyperlink" Target="file://file_0000000008f472468d4a824d260321b7#:~:text=API%20REST%20%3A%20Utilis%C3%A9e%20pour,qu%E2%80%99un%20deuxi%C3%A8me%20appel%20avec%20les" TargetMode="External"/><Relationship Id="rId55" Type="http://schemas.openxmlformats.org/officeDocument/2006/relationships/hyperlink" Target="file://file_0000000008f472468d4a824d260321b7#:~:text=API%20REST%20%3A%20Utilis%C3%A9e%20pour,si%20la%20facture%20est%20d%C3%A9j%C3%A0" TargetMode="External"/><Relationship Id="rId58" Type="http://schemas.openxmlformats.org/officeDocument/2006/relationships/hyperlink" Target="file://file_0000000008f472468d4a824d260321b7#:~:text=Avec%20Spring%20Modulith%2C%20le%20framework,de%20microservices%20isol%C3%A9s%2C%20ce%20qui" TargetMode="External"/><Relationship Id="rId23" Type="http://schemas.openxmlformats.org/officeDocument/2006/relationships/hyperlink" Target="file://file_0000000008f472468d4a824d260321b7#:~:text=Batching%20et%20r%C3%A9duction%20des%20allers,qui%20ne%20voit%20qu%E2%80%99une%20r%C3%A9ponse" TargetMode="External"/><Relationship Id="rId34" Type="http://schemas.openxmlformats.org/officeDocument/2006/relationships/hyperlink" Target="file://file_0000000008f472468d4a824d260321b7#:~:text=Cette%20division%20REST%2FGraphQL%20s%E2%80%99inscrit%20dans,l%E2%80%99interne%2C%20toutefois%2C%20les%20deux%20types" TargetMode="External"/><Relationship Id="rId35" Type="http://schemas.openxmlformats.org/officeDocument/2006/relationships/hyperlink" Target="file://file_0000000008f472468d4a824d260321b7#:~:text=Cette%20division%20REST%2FGraphQL%20s%E2%80%99inscrit%20dans,services%20de%20lecture%20ou%20des" TargetMode="External"/><Relationship Id="rId31" Type="http://schemas.openxmlformats.org/officeDocument/2006/relationships/hyperlink" Target="file://file_0000000008f472468d4a824d260321b7#:~:text=Cette%20plateforme%20adopte%20un%20monolithe,1" TargetMode="External"/><Relationship Id="rId53" Type="http://schemas.openxmlformats.org/officeDocument/2006/relationships/hyperlink" Target="file://file_0000000008f472468d4a824d260321b7#:~:text=Design%20%E2%80%9Cscreen,API%20garantit%20une%20fluidit%C3%A9%20c%C3%B4t%C3%A9" TargetMode="External"/><Relationship Id="rId22" Type="http://schemas.openxmlformats.org/officeDocument/2006/relationships/hyperlink" Target="file://file_0000000008f472468d4a824d260321b7#:~:text=Design%20%E2%80%9Cscreen,et%20simplifie" TargetMode="External"/><Relationship Id="rId43" Type="http://schemas.openxmlformats.org/officeDocument/2006/relationships/hyperlink" Target="file://file_0000000008f472468d4a824d260321b7#:~:text=En%20activant%20RLS%2C%20on%20d%C3%A9finit,requ%C3%AAte%2C%20l%E2%80%99application%20fait%20un%20SET" TargetMode="External"/><Relationship Id="rId25" Type="http://schemas.openxmlformats.org/officeDocument/2006/relationships/hyperlink" Target="file://file_0000000008f472468d4a824d260321b7#:~:text=En%20somme%2C%20la%20plateforme%20traite,les%20pratiques%20du%20secteur%20financier" TargetMode="External"/><Relationship Id="rId33" Type="http://schemas.openxmlformats.org/officeDocument/2006/relationships/hyperlink" Target="file://file_0000000008f472468d4a824d260321b7#:~:text=En%20synth%C3%A8se%2C%20ce%20monolithe%20modulaire,les%20fronti%C3%A8res%20de%20module%20convenues" TargetMode="External"/><Relationship Id="rId32" Type="http://schemas.openxmlformats.org/officeDocument/2006/relationships/hyperlink" Target="file://file_0000000008f472468d4a824d260321b7#:~:text=L%E2%80%99architecture%20interne%20suit%20les%20principes,la%20maintenabilit%C3%A9%20et%20la%20testabilit%C3%A9" TargetMode="External"/><Relationship Id="rId52" Type="http://schemas.openxmlformats.org/officeDocument/2006/relationships/hyperlink" Target="file://file_0000000008f472468d4a824d260321b7#:~:text=Optimisation%20mobile%20%3A%20Les%20applications,bande%20passante%2C%20crucial%20sur%20mobile" TargetMode="External"/><Relationship Id="rId46" Type="http://schemas.openxmlformats.org/officeDocument/2006/relationships/hyperlink" Target="file://file_0000000008f472468d4a824d260321b7#:~:text=Requ%C3%AAtes%20persist%C3%A9es%20,d%E2%80%99appeler%20une%20requ%C3%AAte%20arbitraire%20non" TargetMode="External"/><Relationship Id="rId42" Type="http://schemas.openxmlformats.org/officeDocument/2006/relationships/hyperlink" Target="file://file_0000000008f472468d4a824d260321b7#:~:text=S%C3%A9curit%C3%A9%20des%20donn%C3%A9es%20,requ%C3%AAte%20mal%20cod%C3%A9e%20ou%20une" TargetMode="External"/><Relationship Id="rId26" Type="http://schemas.openxmlformats.org/officeDocument/2006/relationships/hyperlink" Target="file://file_0000000008f472468d4a824d260321b7#:~:text=S%C3%A9curit%C3%A9%20et%20conformit%C3%A9%20IA%20%3A,pourraient%20%C3%AAtre%20masqu%C3%A9es%2Fanonymis%C3%A9es%20avant%20envoi" TargetMode="External"/><Relationship Id="rId54" Type="http://schemas.openxmlformats.org/officeDocument/2006/relationships/hyperlink" Target="file://file_0000000008f472468d4a824d260321b7#:~:text=Temps%20r%C3%A9el%20si%20n%C3%A9cessaire%20,sur%20le%20canal%20de%20subscription" TargetMode="External"/><Relationship Id="rId28" Type="http://schemas.openxmlformats.org/officeDocument/2006/relationships/hyperlink" Target="file://file_0000000008f472468d4a824d260321b7#:~:text=compl%C3%A8te%20LangChain%20en%20permettant%20une,par%20exemple%2C%20une%20chain%20LangChain" TargetMode="External"/><Relationship Id="rId38" Type="http://schemas.openxmlformats.org/officeDocument/2006/relationships/hyperlink" Target="file://file_0000000008f472468d4a824d260321b7#:~:text=match%20at%20L835%20plus%2C%20cela,sera%20d%C3%A9tect%C3%A9e%20et%20trait%C3%A9e%20rapidement" TargetMode="External"/><Relationship Id="rId29" Type="http://schemas.openxmlformats.org/officeDocument/2006/relationships/hyperlink" Target="file://file_0000000008f472468d4a824d260321b7#:~:text=match%20at%20L870%20Service%20IA,container%20Docker%20pour%20ce%20service" TargetMode="External"/><Relationship Id="rId30" Type="http://schemas.openxmlformats.org/officeDocument/2006/relationships/hyperlink" Target="file://file_0000000008f472468d4a824d260321b7#:~:text=principe%20du%20RAG%20%E2%80%93%20c%E2%80%99est,client%2C%20le%20syst%C3%A8me%20va%20d%E2%80%99abord" TargetMode="External"/><Relationship Id="rId47" Type="http://schemas.openxmlformats.org/officeDocument/2006/relationships/hyperlink" Target="file://file_0000000008f472468d4a824d260321b7#:~:text=texte%20complet%2C%20envoie%20seulement%20un,17%5D.%20Cette%20technique%20est" TargetMode="External"/><Relationship Id="rId63" Type="http://schemas.openxmlformats.org/officeDocument/2006/relationships/hyperlink" Target="file://file_00000000b3f4720a92dcfddf8d0b813f" TargetMode="External"/><Relationship Id="rId24" Type="http://schemas.openxmlformats.org/officeDocument/2006/relationships/hyperlink" Target="file://file_00000000b3f4720a92dcfddf8d0b813f#:~:text=Coh%C3%A9rence%20Multi,confiance%20et%20la%20qualit%C3%A9%20per%C3%A7ue" TargetMode="External"/><Relationship Id="rId27" Type="http://schemas.openxmlformats.org/officeDocument/2006/relationships/hyperlink" Target="file://file_00000000b3f4720a92dcfddf8d0b813f#:~:text=S%C3%A9curit%C3%A9%20et%20Confiance%20,garde%20le%20contr%C3%B4le%20de%20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2026-01-29T20:43:28Z</dcterms:created>
  <dcterms:modified xsi:type="dcterms:W3CDTF">2026-01-29T20:43:28Z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