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2.3 — Architecture Cadrage V1</w:t>
      </w:r>
    </w:p>
    <w:p>
      <w:pPr>
        <w:pStyle w:val="DocSubtitle"/>
      </w:pPr>
      <w:r>
        <w:t>SaaS suisse de clôture comptable · Architecture exécutable de la V1</w:t>
      </w:r>
    </w:p>
    <w:tbl>
      <w:tblPr>
        <w:tblW w:type="auto" w:w="0"/>
        <w:jc w:val="left"/>
        <w:tblLayout w:type="fixed"/>
        <w:tblLook w:firstColumn="1" w:firstRow="1" w:lastColumn="0" w:lastRow="0" w:noHBand="0" w:noVBand="1" w:val="04A0"/>
      </w:tblPr>
      <w:tblGrid>
        <w:gridCol w:w="4734"/>
        <w:gridCol w:w="4734"/>
      </w:tblGrid>
      <w:tr>
        <w:tc>
          <w:tcPr>
            <w:tcW w:type="dxa" w:w="1928"/>
            <w:tcMar>
              <w:top w:w="90" w:type="dxa"/>
              <w:start w:w="90" w:type="dxa"/>
              <w:bottom w:w="90" w:type="dxa"/>
              <w:end w:w="90" w:type="dxa"/>
            </w:tcMar>
            <w:vAlign w:val="center"/>
            <w:shd w:fill="D9E2F3"/>
          </w:tcPr>
          <w:p>
            <w:pPr/>
            <w:r>
              <w:rPr>
                <w:b/>
                <w:color w:val="1F4E79"/>
              </w:rPr>
              <w:t>Statut</w:t>
            </w:r>
          </w:p>
        </w:tc>
        <w:tc>
          <w:tcPr>
            <w:tcW w:type="dxa" w:w="7257"/>
            <w:tcMar>
              <w:top w:w="90" w:type="dxa"/>
              <w:start w:w="90" w:type="dxa"/>
              <w:bottom w:w="90" w:type="dxa"/>
              <w:end w:w="90" w:type="dxa"/>
            </w:tcMar>
            <w:vAlign w:val="center"/>
          </w:tcPr>
          <w:p>
            <w:pPr/>
            <w:r>
              <w:t>Source de vérité de l’architecture exécutable de la V1 actuelle.</w:t>
            </w:r>
          </w:p>
        </w:tc>
      </w:tr>
      <w:tr>
        <w:tc>
          <w:tcPr>
            <w:tcW w:type="dxa" w:w="1928"/>
            <w:tcMar>
              <w:top w:w="90" w:type="dxa"/>
              <w:start w:w="90" w:type="dxa"/>
              <w:bottom w:w="90" w:type="dxa"/>
              <w:end w:w="90" w:type="dxa"/>
            </w:tcMar>
            <w:vAlign w:val="center"/>
            <w:shd w:fill="D9E2F3"/>
          </w:tcPr>
          <w:p>
            <w:pPr/>
            <w:r>
              <w:rPr>
                <w:b/>
                <w:color w:val="1F4E79"/>
              </w:rPr>
              <w:t>Rôle</w:t>
            </w:r>
          </w:p>
        </w:tc>
        <w:tc>
          <w:tcPr>
            <w:tcW w:type="dxa" w:w="7257"/>
            <w:tcMar>
              <w:top w:w="90" w:type="dxa"/>
              <w:start w:w="90" w:type="dxa"/>
              <w:bottom w:w="90" w:type="dxa"/>
              <w:end w:w="90" w:type="dxa"/>
            </w:tcMar>
            <w:vAlign w:val="center"/>
          </w:tcPr>
          <w:p>
            <w:pPr/>
            <w:r>
              <w:t>Aligner le repo, les ADRs, les specs, Codex et les documents de vision sans réécrire la North Star.</w:t>
            </w:r>
          </w:p>
        </w:tc>
      </w:tr>
      <w:tr>
        <w:tc>
          <w:tcPr>
            <w:tcW w:type="dxa" w:w="1928"/>
            <w:tcMar>
              <w:top w:w="90" w:type="dxa"/>
              <w:start w:w="90" w:type="dxa"/>
              <w:bottom w:w="90" w:type="dxa"/>
              <w:end w:w="90" w:type="dxa"/>
            </w:tcMar>
            <w:vAlign w:val="center"/>
            <w:shd w:fill="D9E2F3"/>
          </w:tcPr>
          <w:p>
            <w:pPr/>
            <w:r>
              <w:rPr>
                <w:b/>
                <w:color w:val="1F4E79"/>
              </w:rPr>
              <w:t>Primauté</w:t>
            </w:r>
          </w:p>
        </w:tc>
        <w:tc>
          <w:tcPr>
            <w:tcW w:type="dxa" w:w="7257"/>
            <w:tcMar>
              <w:top w:w="90" w:type="dxa"/>
              <w:start w:w="90" w:type="dxa"/>
              <w:bottom w:w="90" w:type="dxa"/>
              <w:end w:w="90" w:type="dxa"/>
            </w:tcMar>
            <w:vAlign w:val="center"/>
          </w:tcPr>
          <w:p>
            <w:pPr/>
            <w:r>
              <w:t>En cas de conflit, les ADRs et ce cadrage priment sur les visions/playbooks pour l’exécution V1.</w:t>
            </w:r>
          </w:p>
        </w:tc>
      </w:tr>
      <w:tr>
        <w:tc>
          <w:tcPr>
            <w:tcW w:type="dxa" w:w="1928"/>
            <w:tcMar>
              <w:top w:w="90" w:type="dxa"/>
              <w:start w:w="90" w:type="dxa"/>
              <w:bottom w:w="90" w:type="dxa"/>
              <w:end w:w="90" w:type="dxa"/>
            </w:tcMar>
            <w:vAlign w:val="center"/>
            <w:shd w:fill="D9E2F3"/>
          </w:tcPr>
          <w:p>
            <w:pPr/>
            <w:r>
              <w:rPr>
                <w:b/>
                <w:color w:val="1F4E79"/>
              </w:rPr>
              <w:t>Périmètre</w:t>
            </w:r>
          </w:p>
        </w:tc>
        <w:tc>
          <w:tcPr>
            <w:tcW w:type="dxa" w:w="7257"/>
            <w:tcMar>
              <w:top w:w="90" w:type="dxa"/>
              <w:start w:w="90" w:type="dxa"/>
              <w:bottom w:w="90" w:type="dxa"/>
              <w:end w:w="90" w:type="dxa"/>
            </w:tcMar>
            <w:vAlign w:val="center"/>
          </w:tcPr>
          <w:p>
            <w:pPr/>
            <w:r>
              <w:t>Backend, plateforme, sécurité, données, observabilité, posture IA et règles de delivery.</w:t>
            </w:r>
          </w:p>
        </w:tc>
      </w:tr>
      <w:tr>
        <w:tc>
          <w:tcPr>
            <w:tcW w:type="dxa" w:w="1928"/>
            <w:tcMar>
              <w:top w:w="90" w:type="dxa"/>
              <w:start w:w="90" w:type="dxa"/>
              <w:bottom w:w="90" w:type="dxa"/>
              <w:end w:w="90" w:type="dxa"/>
            </w:tcMar>
            <w:vAlign w:val="center"/>
            <w:shd w:fill="D9E2F3"/>
          </w:tcPr>
          <w:p>
            <w:pPr/>
            <w:r>
              <w:rPr>
                <w:b/>
                <w:color w:val="1F4E79"/>
              </w:rPr>
              <w:t>Date</w:t>
            </w:r>
          </w:p>
        </w:tc>
        <w:tc>
          <w:tcPr>
            <w:tcW w:type="dxa" w:w="7257"/>
            <w:tcMar>
              <w:top w:w="90" w:type="dxa"/>
              <w:start w:w="90" w:type="dxa"/>
              <w:bottom w:w="90" w:type="dxa"/>
              <w:end w:w="90" w:type="dxa"/>
            </w:tcMar>
            <w:vAlign w:val="center"/>
          </w:tcPr>
          <w:p>
            <w:pPr/>
            <w:r>
              <w:t>Mars 2026</w:t>
            </w:r>
          </w:p>
        </w:tc>
      </w:tr>
    </w:tbl>
    <w:p>
      <w:pPr>
        <w:pStyle w:val="SmallMuted"/>
      </w:pPr>
    </w:p>
    <w:p>
      <w:pPr>
        <w:pStyle w:val="Lead"/>
      </w:pPr>
      <w:r>
        <w:t>Ce document ne remplace pas la vision long terme. Il établit ce qui est vrai maintenant, ce qui est explicitement hors scope de la V1 courante, et la manière correcte d’exécuter les prochaines specs sans dériver vers une architecture trop ambitieuse trop tôt.</w:t>
      </w:r>
    </w:p>
    <w:tbl>
      <w:tblPr>
        <w:tblW w:type="auto" w:w="0"/>
        <w:jc w:val="left"/>
        <w:tblLayout w:type="fixed"/>
        <w:tblLook w:firstColumn="1" w:firstRow="1" w:lastColumn="0" w:lastRow="0" w:noHBand="0" w:noVBand="1" w:val="04A0"/>
      </w:tblPr>
      <w:tblGrid>
        <w:gridCol w:w="9468"/>
      </w:tblGrid>
      <w:tr>
        <w:tc>
          <w:tcPr>
            <w:tcW w:type="dxa" w:w="9184"/>
            <w:tcMar>
              <w:top w:w="110" w:type="dxa"/>
              <w:start w:w="110" w:type="dxa"/>
              <w:bottom w:w="110" w:type="dxa"/>
              <w:end w:w="110" w:type="dxa"/>
            </w:tcMar>
            <w:shd w:fill="EEF3FA"/>
          </w:tcPr>
          <w:p>
            <w:pPr/>
            <w:r>
              <w:rPr>
                <w:b/>
                <w:color w:val="1F4E79"/>
              </w:rPr>
              <w:t xml:space="preserve">Résumé exécutif — </w:t>
            </w:r>
            <w:r>
              <w:t>la V1 actuelle est un monolithe modulaire Kotlin/Spring Boot, REST-first, PostgreSQL/Cloud SQL, Cloud Run, audit append-only, multi-tenant applicatif d’abord, RLS plus tard, sans Docker local requis. Le produit est AI-ready, mais pas encore AI-led.</w:t>
            </w:r>
          </w:p>
        </w:tc>
      </w:tr>
    </w:tbl>
    <w:p>
      <w:r>
        <w:br w:type="page"/>
      </w:r>
    </w:p>
    <w:p>
      <w:pPr>
        <w:pStyle w:val="SectionHeading"/>
      </w:pPr>
      <w:r>
        <w:t>1. Rôle du document et hiérarchie des sources</w:t>
      </w:r>
    </w:p>
    <w:p>
      <w:pPr/>
      <w:r>
        <w:t>La documentation du produit doit distinguer quatre niveaux, chacun avec un rôle différent. Cette séparation évite de réécrire la vision au gré des arbitrages courts, tout en empêchant les documents de vision de pousser l’exécution dans une mauvaise direction.</w:t>
      </w:r>
    </w:p>
    <w:tbl>
      <w:tblPr>
        <w:tblW w:type="auto" w:w="0"/>
        <w:jc w:val="left"/>
        <w:tblLayout w:type="fixed"/>
        <w:tblLook w:firstColumn="1" w:firstRow="1" w:lastColumn="0" w:lastRow="0" w:noHBand="0" w:noVBand="1" w:val="04A0"/>
      </w:tblPr>
      <w:tblGrid>
        <w:gridCol w:w="3156"/>
        <w:gridCol w:w="3156"/>
        <w:gridCol w:w="3156"/>
      </w:tblGrid>
      <w:tr>
        <w:trPr>
          <w:tblHeader w:val="true"/>
        </w:trPr>
        <w:tc>
          <w:tcPr>
            <w:tcW w:type="dxa" w:w="1871"/>
            <w:shd w:fill="D9E2F3"/>
            <w:tcMar>
              <w:top w:w="80" w:type="dxa"/>
              <w:start w:w="80" w:type="dxa"/>
              <w:bottom w:w="80" w:type="dxa"/>
              <w:end w:w="80" w:type="dxa"/>
            </w:tcMar>
          </w:tcPr>
          <w:p>
            <w:pPr/>
            <w:r>
              <w:rPr>
                <w:b/>
                <w:color w:val="1F4E79"/>
              </w:rPr>
              <w:t>Niveau</w:t>
            </w:r>
          </w:p>
        </w:tc>
        <w:tc>
          <w:tcPr>
            <w:tcW w:type="dxa" w:w="2835"/>
            <w:shd w:fill="D9E2F3"/>
            <w:tcMar>
              <w:top w:w="80" w:type="dxa"/>
              <w:start w:w="80" w:type="dxa"/>
              <w:bottom w:w="80" w:type="dxa"/>
              <w:end w:w="80" w:type="dxa"/>
            </w:tcMar>
          </w:tcPr>
          <w:p>
            <w:pPr/>
            <w:r>
              <w:rPr>
                <w:b/>
                <w:color w:val="1F4E79"/>
              </w:rPr>
              <w:t>Rôle</w:t>
            </w:r>
          </w:p>
        </w:tc>
        <w:tc>
          <w:tcPr>
            <w:tcW w:type="dxa" w:w="4479"/>
            <w:shd w:fill="D9E2F3"/>
            <w:tcMar>
              <w:top w:w="80" w:type="dxa"/>
              <w:start w:w="80" w:type="dxa"/>
              <w:bottom w:w="80" w:type="dxa"/>
              <w:end w:w="80" w:type="dxa"/>
            </w:tcMar>
          </w:tcPr>
          <w:p>
            <w:pPr/>
            <w:r>
              <w:rPr>
                <w:b/>
                <w:color w:val="1F4E79"/>
              </w:rPr>
              <w:t>Comment l’utiliser</w:t>
            </w:r>
          </w:p>
        </w:tc>
      </w:tr>
      <w:tr>
        <w:tc>
          <w:tcPr>
            <w:tcW w:type="dxa" w:w="1871"/>
            <w:tcMar>
              <w:top w:w="75" w:type="dxa"/>
              <w:start w:w="75" w:type="dxa"/>
              <w:bottom w:w="75" w:type="dxa"/>
              <w:end w:w="75" w:type="dxa"/>
            </w:tcMar>
            <w:vAlign w:val="center"/>
          </w:tcPr>
          <w:p>
            <w:pPr/>
            <w:r>
              <w:t>Vision</w:t>
            </w:r>
          </w:p>
        </w:tc>
        <w:tc>
          <w:tcPr>
            <w:tcW w:type="dxa" w:w="2835"/>
            <w:tcMar>
              <w:top w:w="75" w:type="dxa"/>
              <w:start w:w="75" w:type="dxa"/>
              <w:bottom w:w="75" w:type="dxa"/>
              <w:end w:w="75" w:type="dxa"/>
            </w:tcMar>
            <w:vAlign w:val="center"/>
          </w:tcPr>
          <w:p>
            <w:pPr/>
            <w:r>
              <w:t>Décrire la cible long terme.</w:t>
            </w:r>
          </w:p>
        </w:tc>
        <w:tc>
          <w:tcPr>
            <w:tcW w:type="dxa" w:w="4479"/>
            <w:tcMar>
              <w:top w:w="75" w:type="dxa"/>
              <w:start w:w="75" w:type="dxa"/>
              <w:bottom w:w="75" w:type="dxa"/>
              <w:end w:w="75" w:type="dxa"/>
            </w:tcMar>
            <w:vAlign w:val="center"/>
          </w:tcPr>
          <w:p>
            <w:pPr/>
            <w:r>
              <w:t>À conserver comme North Star. À corriger seulement si le texte affirme comme vrai aujourd’hui quelque chose qui ne l’est plus.</w:t>
            </w:r>
          </w:p>
        </w:tc>
      </w:tr>
      <w:tr>
        <w:tc>
          <w:tcPr>
            <w:tcW w:type="dxa" w:w="1871"/>
            <w:tcMar>
              <w:top w:w="75" w:type="dxa"/>
              <w:start w:w="75" w:type="dxa"/>
              <w:bottom w:w="75" w:type="dxa"/>
              <w:end w:w="75" w:type="dxa"/>
            </w:tcMar>
            <w:vAlign w:val="center"/>
          </w:tcPr>
          <w:p>
            <w:pPr/>
            <w:r>
              <w:t>Playbook</w:t>
            </w:r>
          </w:p>
        </w:tc>
        <w:tc>
          <w:tcPr>
            <w:tcW w:type="dxa" w:w="2835"/>
            <w:tcMar>
              <w:top w:w="75" w:type="dxa"/>
              <w:start w:w="75" w:type="dxa"/>
              <w:bottom w:w="75" w:type="dxa"/>
              <w:end w:w="75" w:type="dxa"/>
            </w:tcMar>
            <w:vAlign w:val="center"/>
          </w:tcPr>
          <w:p>
            <w:pPr/>
            <w:r>
              <w:t>Formaliser des patterns, bibliothèques et mécanismes.</w:t>
            </w:r>
          </w:p>
        </w:tc>
        <w:tc>
          <w:tcPr>
            <w:tcW w:type="dxa" w:w="4479"/>
            <w:tcMar>
              <w:top w:w="75" w:type="dxa"/>
              <w:start w:w="75" w:type="dxa"/>
              <w:bottom w:w="75" w:type="dxa"/>
              <w:end w:w="75" w:type="dxa"/>
            </w:tcMar>
            <w:vAlign w:val="center"/>
          </w:tcPr>
          <w:p>
            <w:pPr/>
            <w:r>
              <w:t>À garder comme boîte à outils. À annoter si certains patterns sont différés.</w:t>
            </w:r>
          </w:p>
        </w:tc>
      </w:tr>
      <w:tr>
        <w:tc>
          <w:tcPr>
            <w:tcW w:type="dxa" w:w="1871"/>
            <w:tcMar>
              <w:top w:w="75" w:type="dxa"/>
              <w:start w:w="75" w:type="dxa"/>
              <w:bottom w:w="75" w:type="dxa"/>
              <w:end w:w="75" w:type="dxa"/>
            </w:tcMar>
            <w:vAlign w:val="center"/>
          </w:tcPr>
          <w:p>
            <w:pPr/>
            <w:r>
              <w:t>ADR</w:t>
            </w:r>
          </w:p>
        </w:tc>
        <w:tc>
          <w:tcPr>
            <w:tcW w:type="dxa" w:w="2835"/>
            <w:tcMar>
              <w:top w:w="75" w:type="dxa"/>
              <w:start w:w="75" w:type="dxa"/>
              <w:bottom w:w="75" w:type="dxa"/>
              <w:end w:w="75" w:type="dxa"/>
            </w:tcMar>
            <w:vAlign w:val="center"/>
          </w:tcPr>
          <w:p>
            <w:pPr/>
            <w:r>
              <w:t>Figer les décisions structurantes et non négociables.</w:t>
            </w:r>
          </w:p>
        </w:tc>
        <w:tc>
          <w:tcPr>
            <w:tcW w:type="dxa" w:w="4479"/>
            <w:tcMar>
              <w:top w:w="75" w:type="dxa"/>
              <w:start w:w="75" w:type="dxa"/>
              <w:bottom w:w="75" w:type="dxa"/>
              <w:end w:w="75" w:type="dxa"/>
            </w:tcMar>
            <w:vAlign w:val="center"/>
          </w:tcPr>
          <w:p>
            <w:pPr/>
            <w:r>
              <w:t>C’est la couche de décision ferme. Toute divergence d’exécution doit être tranchée ici.</w:t>
            </w:r>
          </w:p>
        </w:tc>
      </w:tr>
      <w:tr>
        <w:tc>
          <w:tcPr>
            <w:tcW w:type="dxa" w:w="1871"/>
            <w:tcMar>
              <w:top w:w="75" w:type="dxa"/>
              <w:start w:w="75" w:type="dxa"/>
              <w:bottom w:w="75" w:type="dxa"/>
              <w:end w:w="75" w:type="dxa"/>
            </w:tcMar>
            <w:vAlign w:val="center"/>
          </w:tcPr>
          <w:p>
            <w:pPr/>
            <w:r>
              <w:t>Cadrage V1</w:t>
            </w:r>
          </w:p>
        </w:tc>
        <w:tc>
          <w:tcPr>
            <w:tcW w:type="dxa" w:w="2835"/>
            <w:tcMar>
              <w:top w:w="75" w:type="dxa"/>
              <w:start w:w="75" w:type="dxa"/>
              <w:bottom w:w="75" w:type="dxa"/>
              <w:end w:w="75" w:type="dxa"/>
            </w:tcMar>
            <w:vAlign w:val="center"/>
          </w:tcPr>
          <w:p>
            <w:pPr/>
            <w:r>
              <w:t>Dire ce qui est vrai maintenant.</w:t>
            </w:r>
          </w:p>
        </w:tc>
        <w:tc>
          <w:tcPr>
            <w:tcW w:type="dxa" w:w="4479"/>
            <w:tcMar>
              <w:top w:w="75" w:type="dxa"/>
              <w:start w:w="75" w:type="dxa"/>
              <w:bottom w:w="75" w:type="dxa"/>
              <w:end w:w="75" w:type="dxa"/>
            </w:tcMar>
            <w:vAlign w:val="center"/>
          </w:tcPr>
          <w:p>
            <w:pPr/>
            <w:r>
              <w:t>Source de vérité opérationnelle de la V1. C’est ce document.</w:t>
            </w:r>
          </w:p>
        </w:tc>
      </w:tr>
    </w:tbl>
    <w:p>
      <w:pPr>
        <w:pStyle w:val="SectionHeading"/>
      </w:pPr>
      <w:r>
        <w:t>2. Décisions exécutablement vraies maintenant</w:t>
      </w:r>
    </w:p>
    <w:p>
      <w:pPr>
        <w:pStyle w:val="Lead"/>
      </w:pPr>
      <w:r>
        <w:t>Les décisions ci-dessous ne décrivent pas la cible ultime. Elles décrivent la réalité de la V1 courante telle qu’elle doit être comprise par l’équipe, par Codex et par les prochains documents.</w:t>
      </w:r>
    </w:p>
    <w:p>
      <w:pPr>
        <w:pStyle w:val="BulletTight"/>
      </w:pPr>
      <w:r>
        <w:rPr>
          <w:b/>
        </w:rPr>
        <w:t xml:space="preserve">• </w:t>
      </w:r>
      <w:r>
        <w:t>Le backend vit dans un monolithe modulaire Kotlin / Spring Boot ; `backend/` est la seule source de vérité backend.</w:t>
      </w:r>
    </w:p>
    <w:p>
      <w:pPr>
        <w:pStyle w:val="BulletTight"/>
      </w:pPr>
      <w:r>
        <w:rPr>
          <w:b/>
        </w:rPr>
        <w:t xml:space="preserve">• </w:t>
      </w:r>
      <w:r>
        <w:t>L’API publique actuelle est REST-first. GraphQL n’est pas un composant actif de la V1 courante.</w:t>
      </w:r>
    </w:p>
    <w:p>
      <w:pPr>
        <w:pStyle w:val="BulletTight"/>
      </w:pPr>
      <w:r>
        <w:rPr>
          <w:b/>
        </w:rPr>
        <w:t xml:space="preserve">• </w:t>
      </w:r>
      <w:r>
        <w:t>La base principale est PostgreSQL ; la cible managée est Cloud SQL for PostgreSQL sur Google Cloud.</w:t>
      </w:r>
    </w:p>
    <w:p>
      <w:pPr>
        <w:pStyle w:val="BulletTight"/>
      </w:pPr>
      <w:r>
        <w:rPr>
          <w:b/>
        </w:rPr>
        <w:t xml:space="preserve">• </w:t>
      </w:r>
      <w:r>
        <w:t>Le déploiement cible est Cloud Run ; le développement local ne requiert ni Docker, ni Docker Compose, ni Testcontainers.</w:t>
      </w:r>
    </w:p>
    <w:p>
      <w:pPr>
        <w:pStyle w:val="BulletTight"/>
      </w:pPr>
      <w:r>
        <w:rPr>
          <w:b/>
        </w:rPr>
        <w:t xml:space="preserve">• </w:t>
      </w:r>
      <w:r>
        <w:t>La multi-tenancy suit une stratégie application-scoping first ; la RLS relève d’un hardening progressif ultérieur.</w:t>
      </w:r>
    </w:p>
    <w:p>
      <w:pPr>
        <w:pStyle w:val="BulletTight"/>
      </w:pPr>
      <w:r>
        <w:rPr>
          <w:b/>
        </w:rPr>
        <w:t xml:space="preserve">• </w:t>
      </w:r>
      <w:r>
        <w:t>Le contrôle d’accès métier se fonde sur `app_user`, `tenant_membership` et les rôles persistés, jamais sur les claims JWT seuls.</w:t>
      </w:r>
    </w:p>
    <w:p>
      <w:pPr>
        <w:pStyle w:val="BulletTight"/>
      </w:pPr>
      <w:r>
        <w:rPr>
          <w:b/>
        </w:rPr>
        <w:t xml:space="preserve">• </w:t>
      </w:r>
      <w:r>
        <w:t>L’audit est append-only, porté par `audit_event`, déclenché sur les mutations significatives et non sur les lectures.</w:t>
      </w:r>
    </w:p>
    <w:p>
      <w:pPr>
        <w:pStyle w:val="BulletTight"/>
      </w:pPr>
      <w:r>
        <w:rPr>
          <w:b/>
        </w:rPr>
        <w:t xml:space="preserve">• </w:t>
      </w:r>
      <w:r>
        <w:t>L’IA est préparée par contrats, gouvernance et principes evidence-first, mais ne structure pas encore le runtime cœur de la V1.</w:t>
      </w:r>
    </w:p>
    <w:p>
      <w:pPr>
        <w:pStyle w:val="SubsectionHeading"/>
      </w:pPr>
      <w:r>
        <w:t>2.1 Runtime, plateforme et outillage</w:t>
      </w:r>
    </w:p>
    <w:p>
      <w:pPr/>
      <w:r>
        <w:t>La V1 s’exécute sur Google Cloud, avec Cloud Run comme cible de déploiement applicative et Cloud SQL for PostgreSQL comme base managée. Le développement local doit rester simple : pas de Docker local requis, pas de dépendance à Testcontainers pour la suite nominale, et une validation PostgreSQL réelle uniquement quand une base explicite est fournie via les variables d’environnement prévues.</w:t>
      </w:r>
    </w:p>
    <w:p>
      <w:pPr/>
      <w:r>
        <w:t>En pratique, cela implique : Flyway comme source de vérité du schéma, un rail de tests rapide qui tourne sans base réelle, et un rail `dbIntegrationTest` qui valide le comportement sur PostgreSQL explicite, y compris via Cloud SQL Auth Proxy lorsque l’équipe veut reproduire la cible managée sans Docker.</w:t>
      </w:r>
    </w:p>
    <w:p>
      <w:pPr>
        <w:pStyle w:val="SubsectionHeading"/>
      </w:pPr>
      <w:r>
        <w:t>2.2 Stratégie d’API</w:t>
      </w:r>
    </w:p>
    <w:p>
      <w:pPr/>
      <w:r>
        <w:t>Le choix V1 est REST-first. Il a été retenu parce que la phase actuelle est dominée par des workflows métier déterministes : création de dossiers, import CSV, mapping manuel, contrôles, archivage. Ces flux sont plus faciles à rendre lisibles, testables, auditables et sécurisables via REST que via une couche GraphQL introduite trop tôt.</w:t>
      </w:r>
    </w:p>
    <w:p>
      <w:pPr/>
      <w:r>
        <w:t>GraphQL n’est pas rejeté. Il est simplement repoussé. Il devient pertinent le jour où le frontend aura un vrai coût de composition des lectures — par exemple un cockpit qui doit agréger closing, dernier import, état du mapping, contrôles et plus tard explications IA — sans toutefois devenir la norme pour les commandes métier.</w:t>
      </w:r>
    </w:p>
    <w:p>
      <w:pPr>
        <w:pStyle w:val="SubsectionHeading"/>
      </w:pPr>
      <w:r>
        <w:t>2.3 Données, persistance et migrations</w:t>
      </w:r>
    </w:p>
    <w:p>
      <w:pPr/>
      <w:r>
        <w:t>PostgreSQL est la source de vérité transactionnelle. Toutes les tables métier tenant-scopées portent `tenant_id`. Les migrations Flyway sont immuables : une fois posées, elles ne sont plus retouchées ; tout durcissement passe par une nouvelle migration `Vn__...`. Cette règle est désormais non négociable.</w:t>
      </w:r>
    </w:p>
    <w:p>
      <w:pPr/>
      <w:r>
        <w:t>Le modèle actuel a déjà établi : `tenant`, `app_user`, `tenant_membership`, `closing_folder`, `audit_event`, puis les tables d’import de balance et de mapping manuel. Le schéma supporte un cœur transactionnel traçable, tenant-scopé et cohérent avec un futur durcissement RLS, sans imposer cette complexité trop tôt.</w:t>
      </w:r>
    </w:p>
    <w:p>
      <w:pPr>
        <w:pStyle w:val="SubsectionHeading"/>
      </w:pPr>
      <w:r>
        <w:t>2.4 Sécurité, tenancy et audit</w:t>
      </w:r>
    </w:p>
    <w:p>
      <w:pPr/>
      <w:r>
        <w:t>Le socle de sécurité V1 repose sur un JWT/OIDC resource server, un RBAC minimal opérationnel et une vérité métier persistée : l’accès n’est jamais accordé sur la base du token seul. `X-Tenant-Id` est le header canonique de tenant actif ; ses règles sont désormais explicites et cohérentes par endpoint.</w:t>
      </w:r>
    </w:p>
    <w:p>
      <w:pPr/>
      <w:r>
        <w:t>L’audit append-only est déjà en place. Les lectures et les refus n’écrivent pas dans `audit_event`. Les mutations métier significatives, elles, produisent exactement un audit structuré. Le niveau de durcissement actuel suffit pour la V1 courante ; il ne préjuge pas encore de l’introduction d’ABAC généralisé, de MFA obligatoire partout ou d’une RLS plus large.</w:t>
      </w:r>
    </w:p>
    <w:p>
      <w:pPr>
        <w:pStyle w:val="SubsectionHeading"/>
      </w:pPr>
      <w:r>
        <w:t>2.5 Posture IA de la V1</w:t>
      </w:r>
    </w:p>
    <w:p>
      <w:pPr/>
      <w:r>
        <w:t>La V1 actuelle n’est pas un runtime AI-led. Elle est AI-ready. Cela signifie : contrats, audit, contexte, traçabilité, preuve et validation humaine sont préparés pour accueillir des usages IA de façon crédible, mais l’IA n’est pas encore au centre des workflows déjà livrés.</w:t>
      </w:r>
    </w:p>
    <w:p>
      <w:pPr/>
      <w:r>
        <w:t>Autrement dit, le produit n’est pas encore IA-native au sens strict du runtime ; en revanche, l’architecture évite toute refonte majeure le jour où des suggestions de mapping, des explications d’anomalies ou d’autres usages evidence-first seront introduits.</w:t>
      </w:r>
    </w:p>
    <w:p>
      <w:pPr>
        <w:pStyle w:val="SectionHeading"/>
      </w:pPr>
      <w:r>
        <w:t>3. Ce qui est explicitement hors scope de la V1 courante</w:t>
      </w:r>
    </w:p>
    <w:p>
      <w:pPr>
        <w:pStyle w:val="BulletTight"/>
      </w:pPr>
      <w:r>
        <w:rPr>
          <w:b/>
        </w:rPr>
        <w:t xml:space="preserve">• </w:t>
      </w:r>
      <w:r>
        <w:t>GraphQL actif dans le runtime V1 courant.</w:t>
      </w:r>
    </w:p>
    <w:p>
      <w:pPr>
        <w:pStyle w:val="BulletTight"/>
      </w:pPr>
      <w:r>
        <w:rPr>
          <w:b/>
        </w:rPr>
        <w:t xml:space="preserve">• </w:t>
      </w:r>
      <w:r>
        <w:t>Microservice IA dédié comme hypothèse obligatoire du présent.</w:t>
      </w:r>
    </w:p>
    <w:p>
      <w:pPr>
        <w:pStyle w:val="BulletTight"/>
      </w:pPr>
      <w:r>
        <w:rPr>
          <w:b/>
        </w:rPr>
        <w:t xml:space="preserve">• </w:t>
      </w:r>
      <w:r>
        <w:t>Docker local requis pour développer ou valider le backend nominal.</w:t>
      </w:r>
    </w:p>
    <w:p>
      <w:pPr>
        <w:pStyle w:val="BulletTight"/>
      </w:pPr>
      <w:r>
        <w:rPr>
          <w:b/>
        </w:rPr>
        <w:t xml:space="preserve">• </w:t>
      </w:r>
      <w:r>
        <w:t>RLS généralisée sur toutes les tables comme exigence immédiate.</w:t>
      </w:r>
    </w:p>
    <w:p>
      <w:pPr>
        <w:pStyle w:val="BulletTight"/>
      </w:pPr>
      <w:r>
        <w:rPr>
          <w:b/>
        </w:rPr>
        <w:t xml:space="preserve">• </w:t>
      </w:r>
      <w:r>
        <w:t>ABAC centralisé, MFA obligatoire partout et sécurité de cible long terme appliqués dès maintenant.</w:t>
      </w:r>
    </w:p>
    <w:p>
      <w:pPr>
        <w:pStyle w:val="BulletTight"/>
      </w:pPr>
      <w:r>
        <w:rPr>
          <w:b/>
        </w:rPr>
        <w:t xml:space="preserve">• </w:t>
      </w:r>
      <w:r>
        <w:t>Distribution prématurée en multiples services pour des raisons purement esthétiques.</w:t>
      </w:r>
    </w:p>
    <w:p>
      <w:pPr>
        <w:pStyle w:val="SectionHeading"/>
      </w:pPr>
      <w:r>
        <w:t>4. V1 exécutable vs cible plus long terme</w:t>
      </w:r>
    </w:p>
    <w:tbl>
      <w:tblPr>
        <w:tblW w:type="auto" w:w="0"/>
        <w:jc w:val="left"/>
        <w:tblLayout w:type="fixed"/>
        <w:tblLook w:firstColumn="1" w:firstRow="1" w:lastColumn="0" w:lastRow="0" w:noHBand="0" w:noVBand="1" w:val="04A0"/>
      </w:tblPr>
      <w:tblGrid>
        <w:gridCol w:w="3156"/>
        <w:gridCol w:w="3156"/>
        <w:gridCol w:w="3156"/>
      </w:tblGrid>
      <w:tr>
        <w:trPr>
          <w:tblHeader w:val="true"/>
        </w:trPr>
        <w:tc>
          <w:tcPr>
            <w:tcW w:type="dxa" w:w="2041"/>
            <w:shd w:fill="D9E2F3"/>
            <w:tcMar>
              <w:top w:w="80" w:type="dxa"/>
              <w:start w:w="80" w:type="dxa"/>
              <w:bottom w:w="80" w:type="dxa"/>
              <w:end w:w="80" w:type="dxa"/>
            </w:tcMar>
          </w:tcPr>
          <w:p>
            <w:pPr/>
            <w:r>
              <w:rPr>
                <w:b/>
                <w:color w:val="1F4E79"/>
              </w:rPr>
              <w:t>Dimension</w:t>
            </w:r>
          </w:p>
        </w:tc>
        <w:tc>
          <w:tcPr>
            <w:tcW w:type="dxa" w:w="3175"/>
            <w:shd w:fill="D9E2F3"/>
            <w:tcMar>
              <w:top w:w="80" w:type="dxa"/>
              <w:start w:w="80" w:type="dxa"/>
              <w:bottom w:w="80" w:type="dxa"/>
              <w:end w:w="80" w:type="dxa"/>
            </w:tcMar>
          </w:tcPr>
          <w:p>
            <w:pPr/>
            <w:r>
              <w:rPr>
                <w:b/>
                <w:color w:val="1F4E79"/>
              </w:rPr>
              <w:t>V1 actuelle</w:t>
            </w:r>
          </w:p>
        </w:tc>
        <w:tc>
          <w:tcPr>
            <w:tcW w:type="dxa" w:w="3969"/>
            <w:shd w:fill="D9E2F3"/>
            <w:tcMar>
              <w:top w:w="80" w:type="dxa"/>
              <w:start w:w="80" w:type="dxa"/>
              <w:bottom w:w="80" w:type="dxa"/>
              <w:end w:w="80" w:type="dxa"/>
            </w:tcMar>
          </w:tcPr>
          <w:p>
            <w:pPr/>
            <w:r>
              <w:rPr>
                <w:b/>
                <w:color w:val="1F4E79"/>
              </w:rPr>
              <w:t>Évolution possible plus tard</w:t>
            </w:r>
          </w:p>
        </w:tc>
      </w:tr>
      <w:tr>
        <w:tc>
          <w:tcPr>
            <w:tcW w:type="dxa" w:w="2041"/>
            <w:tcMar>
              <w:top w:w="75" w:type="dxa"/>
              <w:start w:w="75" w:type="dxa"/>
              <w:bottom w:w="75" w:type="dxa"/>
              <w:end w:w="75" w:type="dxa"/>
            </w:tcMar>
            <w:vAlign w:val="center"/>
          </w:tcPr>
          <w:p>
            <w:pPr/>
            <w:r>
              <w:t>Runtime</w:t>
            </w:r>
          </w:p>
        </w:tc>
        <w:tc>
          <w:tcPr>
            <w:tcW w:type="dxa" w:w="3175"/>
            <w:tcMar>
              <w:top w:w="75" w:type="dxa"/>
              <w:start w:w="75" w:type="dxa"/>
              <w:bottom w:w="75" w:type="dxa"/>
              <w:end w:w="75" w:type="dxa"/>
            </w:tcMar>
            <w:vAlign w:val="center"/>
          </w:tcPr>
          <w:p>
            <w:pPr/>
            <w:r>
              <w:t>Monolithe modulaire Kotlin / Spring Boot.</w:t>
            </w:r>
          </w:p>
        </w:tc>
        <w:tc>
          <w:tcPr>
            <w:tcW w:type="dxa" w:w="3969"/>
            <w:tcMar>
              <w:top w:w="75" w:type="dxa"/>
              <w:start w:w="75" w:type="dxa"/>
              <w:bottom w:w="75" w:type="dxa"/>
              <w:end w:w="75" w:type="dxa"/>
            </w:tcMar>
            <w:vAlign w:val="center"/>
          </w:tcPr>
          <w:p>
            <w:pPr/>
            <w:r>
              <w:t>Extraction de capacités si la complexité réelle le justifie.</w:t>
            </w:r>
          </w:p>
        </w:tc>
      </w:tr>
      <w:tr>
        <w:tc>
          <w:tcPr>
            <w:tcW w:type="dxa" w:w="2041"/>
            <w:tcMar>
              <w:top w:w="75" w:type="dxa"/>
              <w:start w:w="75" w:type="dxa"/>
              <w:bottom w:w="75" w:type="dxa"/>
              <w:end w:w="75" w:type="dxa"/>
            </w:tcMar>
            <w:vAlign w:val="center"/>
          </w:tcPr>
          <w:p>
            <w:pPr/>
            <w:r>
              <w:t>API</w:t>
            </w:r>
          </w:p>
        </w:tc>
        <w:tc>
          <w:tcPr>
            <w:tcW w:type="dxa" w:w="3175"/>
            <w:tcMar>
              <w:top w:w="75" w:type="dxa"/>
              <w:start w:w="75" w:type="dxa"/>
              <w:bottom w:w="75" w:type="dxa"/>
              <w:end w:w="75" w:type="dxa"/>
            </w:tcMar>
            <w:vAlign w:val="center"/>
          </w:tcPr>
          <w:p>
            <w:pPr/>
            <w:r>
              <w:t>REST-first.</w:t>
            </w:r>
          </w:p>
        </w:tc>
        <w:tc>
          <w:tcPr>
            <w:tcW w:type="dxa" w:w="3969"/>
            <w:tcMar>
              <w:top w:w="75" w:type="dxa"/>
              <w:start w:w="75" w:type="dxa"/>
              <w:bottom w:w="75" w:type="dxa"/>
              <w:end w:w="75" w:type="dxa"/>
            </w:tcMar>
            <w:vAlign w:val="center"/>
          </w:tcPr>
          <w:p>
            <w:pPr/>
            <w:r>
              <w:t>GraphQL lecture si le coût de composition front devient dominant.</w:t>
            </w:r>
          </w:p>
        </w:tc>
      </w:tr>
      <w:tr>
        <w:tc>
          <w:tcPr>
            <w:tcW w:type="dxa" w:w="2041"/>
            <w:tcMar>
              <w:top w:w="75" w:type="dxa"/>
              <w:start w:w="75" w:type="dxa"/>
              <w:bottom w:w="75" w:type="dxa"/>
              <w:end w:w="75" w:type="dxa"/>
            </w:tcMar>
            <w:vAlign w:val="center"/>
          </w:tcPr>
          <w:p>
            <w:pPr/>
            <w:r>
              <w:t>Base</w:t>
            </w:r>
          </w:p>
        </w:tc>
        <w:tc>
          <w:tcPr>
            <w:tcW w:type="dxa" w:w="3175"/>
            <w:tcMar>
              <w:top w:w="75" w:type="dxa"/>
              <w:start w:w="75" w:type="dxa"/>
              <w:bottom w:w="75" w:type="dxa"/>
              <w:end w:w="75" w:type="dxa"/>
            </w:tcMar>
            <w:vAlign w:val="center"/>
          </w:tcPr>
          <w:p>
            <w:pPr/>
            <w:r>
              <w:t>PostgreSQL / Cloud SQL.</w:t>
            </w:r>
          </w:p>
        </w:tc>
        <w:tc>
          <w:tcPr>
            <w:tcW w:type="dxa" w:w="3969"/>
            <w:tcMar>
              <w:top w:w="75" w:type="dxa"/>
              <w:start w:w="75" w:type="dxa"/>
              <w:bottom w:w="75" w:type="dxa"/>
              <w:end w:w="75" w:type="dxa"/>
            </w:tcMar>
            <w:vAlign w:val="center"/>
          </w:tcPr>
          <w:p>
            <w:pPr/>
            <w:r>
              <w:t>Éventuelles briques spécialisées plus tard, sans remettre en cause le cœur transactionnel.</w:t>
            </w:r>
          </w:p>
        </w:tc>
      </w:tr>
      <w:tr>
        <w:tc>
          <w:tcPr>
            <w:tcW w:type="dxa" w:w="2041"/>
            <w:tcMar>
              <w:top w:w="75" w:type="dxa"/>
              <w:start w:w="75" w:type="dxa"/>
              <w:bottom w:w="75" w:type="dxa"/>
              <w:end w:w="75" w:type="dxa"/>
            </w:tcMar>
            <w:vAlign w:val="center"/>
          </w:tcPr>
          <w:p>
            <w:pPr/>
            <w:r>
              <w:t>Tenancy</w:t>
            </w:r>
          </w:p>
        </w:tc>
        <w:tc>
          <w:tcPr>
            <w:tcW w:type="dxa" w:w="3175"/>
            <w:tcMar>
              <w:top w:w="75" w:type="dxa"/>
              <w:start w:w="75" w:type="dxa"/>
              <w:bottom w:w="75" w:type="dxa"/>
              <w:end w:w="75" w:type="dxa"/>
            </w:tcMar>
            <w:vAlign w:val="center"/>
          </w:tcPr>
          <w:p>
            <w:pPr/>
            <w:r>
              <w:t>Application scoping first.</w:t>
            </w:r>
          </w:p>
        </w:tc>
        <w:tc>
          <w:tcPr>
            <w:tcW w:type="dxa" w:w="3969"/>
            <w:tcMar>
              <w:top w:w="75" w:type="dxa"/>
              <w:start w:w="75" w:type="dxa"/>
              <w:bottom w:w="75" w:type="dxa"/>
              <w:end w:w="75" w:type="dxa"/>
            </w:tcMar>
            <w:vAlign w:val="center"/>
          </w:tcPr>
          <w:p>
            <w:pPr/>
            <w:r>
              <w:t>RLS progressive quand les surfaces sont stables et les invariants bien couverts.</w:t>
            </w:r>
          </w:p>
        </w:tc>
      </w:tr>
      <w:tr>
        <w:tc>
          <w:tcPr>
            <w:tcW w:type="dxa" w:w="2041"/>
            <w:tcMar>
              <w:top w:w="75" w:type="dxa"/>
              <w:start w:w="75" w:type="dxa"/>
              <w:bottom w:w="75" w:type="dxa"/>
              <w:end w:w="75" w:type="dxa"/>
            </w:tcMar>
            <w:vAlign w:val="center"/>
          </w:tcPr>
          <w:p>
            <w:pPr/>
            <w:r>
              <w:t>Sécurité</w:t>
            </w:r>
          </w:p>
        </w:tc>
        <w:tc>
          <w:tcPr>
            <w:tcW w:type="dxa" w:w="3175"/>
            <w:tcMar>
              <w:top w:w="75" w:type="dxa"/>
              <w:start w:w="75" w:type="dxa"/>
              <w:bottom w:w="75" w:type="dxa"/>
              <w:end w:w="75" w:type="dxa"/>
            </w:tcMar>
            <w:vAlign w:val="center"/>
          </w:tcPr>
          <w:p>
            <w:pPr/>
            <w:r>
              <w:t>JWT/OIDC + RBAC minimal + audit append-only.</w:t>
            </w:r>
          </w:p>
        </w:tc>
        <w:tc>
          <w:tcPr>
            <w:tcW w:type="dxa" w:w="3969"/>
            <w:tcMar>
              <w:top w:w="75" w:type="dxa"/>
              <w:start w:w="75" w:type="dxa"/>
              <w:bottom w:w="75" w:type="dxa"/>
              <w:end w:w="75" w:type="dxa"/>
            </w:tcMar>
            <w:vAlign w:val="center"/>
          </w:tcPr>
          <w:p>
            <w:pPr/>
            <w:r>
              <w:t>MFA élargi, ABAC ciblé, durcissement conformité selon les besoins.</w:t>
            </w:r>
          </w:p>
        </w:tc>
      </w:tr>
      <w:tr>
        <w:tc>
          <w:tcPr>
            <w:tcW w:type="dxa" w:w="2041"/>
            <w:tcMar>
              <w:top w:w="75" w:type="dxa"/>
              <w:start w:w="75" w:type="dxa"/>
              <w:bottom w:w="75" w:type="dxa"/>
              <w:end w:w="75" w:type="dxa"/>
            </w:tcMar>
            <w:vAlign w:val="center"/>
          </w:tcPr>
          <w:p>
            <w:pPr/>
            <w:r>
              <w:t>IA</w:t>
            </w:r>
          </w:p>
        </w:tc>
        <w:tc>
          <w:tcPr>
            <w:tcW w:type="dxa" w:w="3175"/>
            <w:tcMar>
              <w:top w:w="75" w:type="dxa"/>
              <w:start w:w="75" w:type="dxa"/>
              <w:bottom w:w="75" w:type="dxa"/>
              <w:end w:w="75" w:type="dxa"/>
            </w:tcMar>
            <w:vAlign w:val="center"/>
          </w:tcPr>
          <w:p>
            <w:pPr/>
            <w:r>
              <w:t>AI-ready, non structurante dans le runtime.</w:t>
            </w:r>
          </w:p>
        </w:tc>
        <w:tc>
          <w:tcPr>
            <w:tcW w:type="dxa" w:w="3969"/>
            <w:tcMar>
              <w:top w:w="75" w:type="dxa"/>
              <w:start w:w="75" w:type="dxa"/>
              <w:bottom w:w="75" w:type="dxa"/>
              <w:end w:w="75" w:type="dxa"/>
            </w:tcMar>
            <w:vAlign w:val="center"/>
          </w:tcPr>
          <w:p>
            <w:pPr/>
            <w:r>
              <w:t>Capacités IA evidence-first, human-in-the-loop, voire service dédié si les triggers sont réunis.</w:t>
            </w:r>
          </w:p>
        </w:tc>
      </w:tr>
    </w:tbl>
    <w:p>
      <w:pPr>
        <w:pStyle w:val="SectionHeading"/>
      </w:pPr>
      <w:r>
        <w:t>5. Séquence produit réellement en cours</w:t>
      </w:r>
    </w:p>
    <w:p>
      <w:pPr/>
      <w:r>
        <w:t>L’ordre effectif retenu dans le repo est déterministe et volontaire. Il sert à construire un cœur métier fiable avant d’ajouter des couches plus sophistiquées. À ce stade, les specs suivantes sont closes :</w:t>
      </w:r>
    </w:p>
    <w:p>
      <w:pPr>
        <w:pStyle w:val="BulletTight"/>
      </w:pPr>
      <w:r>
        <w:rPr>
          <w:b/>
        </w:rPr>
        <w:t xml:space="preserve">• </w:t>
      </w:r>
      <w:r>
        <w:t>Spec 002 — identité, tenancy, audit et closing core.</w:t>
      </w:r>
    </w:p>
    <w:p>
      <w:pPr>
        <w:pStyle w:val="BulletTight"/>
      </w:pPr>
      <w:r>
        <w:rPr>
          <w:b/>
        </w:rPr>
        <w:t xml:space="preserve">• </w:t>
      </w:r>
      <w:r>
        <w:t>Spec 003 — import de balance versionné.</w:t>
      </w:r>
    </w:p>
    <w:p>
      <w:pPr>
        <w:pStyle w:val="BulletTight"/>
      </w:pPr>
      <w:r>
        <w:rPr>
          <w:b/>
        </w:rPr>
        <w:t xml:space="preserve">• </w:t>
      </w:r>
      <w:r>
        <w:t>Spec 005 — mapping manuel sur la dernière balance importée.</w:t>
      </w:r>
    </w:p>
    <w:p>
      <w:pPr/>
      <w:r>
        <w:t>La prochaine étape logique n’est pas une surcouche IA ni un enrichissement de présentation. C’est une capacité de contrôles déterministes permettant de dire si un closing est prêt à avancer. Cet ordre — closing → import → mapping → controls — est délibéré.</w:t>
      </w:r>
    </w:p>
    <w:p>
      <w:pPr>
        <w:pStyle w:val="SectionHeading"/>
      </w:pPr>
      <w:r>
        <w:t>6. Triggers explicites pour les évolutions futures</w:t>
      </w:r>
    </w:p>
    <w:p>
      <w:pPr>
        <w:pStyle w:val="SubsectionHeading"/>
      </w:pPr>
      <w:r>
        <w:t>6.1 Quand GraphQL deviendra rentable</w:t>
      </w:r>
    </w:p>
    <w:p>
      <w:pPr>
        <w:pStyle w:val="BulletTight"/>
      </w:pPr>
      <w:r>
        <w:rPr>
          <w:b/>
        </w:rPr>
        <w:t xml:space="preserve">• </w:t>
      </w:r>
      <w:r>
        <w:t>Quand le frontend devra composer en une seule vue plusieurs lectures hétérogènes devenues coûteuses à assembler en REST.</w:t>
      </w:r>
    </w:p>
    <w:p>
      <w:pPr>
        <w:pStyle w:val="BulletTight"/>
      </w:pPr>
      <w:r>
        <w:rPr>
          <w:b/>
        </w:rPr>
        <w:t xml:space="preserve">• </w:t>
      </w:r>
      <w:r>
        <w:t>Quand la douleur de composition sera réelle et mesurée, et non supposée.</w:t>
      </w:r>
    </w:p>
    <w:p>
      <w:pPr>
        <w:pStyle w:val="BulletTight"/>
      </w:pPr>
      <w:r>
        <w:rPr>
          <w:b/>
        </w:rPr>
        <w:t xml:space="preserve">• </w:t>
      </w:r>
      <w:r>
        <w:t>Quand les uploads resteront de toute façon en REST ; GraphQL n’a pas à devenir le canal des flux fichier.</w:t>
      </w:r>
    </w:p>
    <w:p>
      <w:pPr>
        <w:pStyle w:val="SubsectionHeading"/>
      </w:pPr>
      <w:r>
        <w:t>6.2 Quand un service IA dédié deviendra justifié</w:t>
      </w:r>
    </w:p>
    <w:p>
      <w:pPr>
        <w:pStyle w:val="BulletTight"/>
      </w:pPr>
      <w:r>
        <w:rPr>
          <w:b/>
        </w:rPr>
        <w:t xml:space="preserve">• </w:t>
      </w:r>
      <w:r>
        <w:t>OCR / document AI avancé ou traitement documentaire lourd.</w:t>
      </w:r>
    </w:p>
    <w:p>
      <w:pPr>
        <w:pStyle w:val="BulletTight"/>
      </w:pPr>
      <w:r>
        <w:rPr>
          <w:b/>
        </w:rPr>
        <w:t xml:space="preserve">• </w:t>
      </w:r>
      <w:r>
        <w:t>Besoins GPU, modèles spécifiques ou bibliothèques Python spécialisées.</w:t>
      </w:r>
    </w:p>
    <w:p>
      <w:pPr>
        <w:pStyle w:val="BulletTight"/>
      </w:pPr>
      <w:r>
        <w:rPr>
          <w:b/>
        </w:rPr>
        <w:t xml:space="preserve">• </w:t>
      </w:r>
      <w:r>
        <w:t>Charges asynchrones longues qui justifient une séparation opérationnelle nette.</w:t>
      </w:r>
    </w:p>
    <w:p>
      <w:pPr>
        <w:pStyle w:val="BulletTight"/>
      </w:pPr>
      <w:r>
        <w:rPr>
          <w:b/>
        </w:rPr>
        <w:t xml:space="preserve">• </w:t>
      </w:r>
      <w:r>
        <w:t>Nécessité claire de scaler ou d’isoler le runtime IA indépendamment du cœur métier.</w:t>
      </w:r>
    </w:p>
    <w:p>
      <w:pPr>
        <w:pStyle w:val="SubsectionHeading"/>
      </w:pPr>
      <w:r>
        <w:t>6.3 Quand la RLS deviendra prioritaire</w:t>
      </w:r>
    </w:p>
    <w:p>
      <w:pPr>
        <w:pStyle w:val="BulletTight"/>
      </w:pPr>
      <w:r>
        <w:rPr>
          <w:b/>
        </w:rPr>
        <w:t xml:space="preserve">• </w:t>
      </w:r>
      <w:r>
        <w:t>Quand la couverture fonctionnelle tenant-scopée sera stable sur les modules critiques.</w:t>
      </w:r>
    </w:p>
    <w:p>
      <w:pPr>
        <w:pStyle w:val="BulletTight"/>
      </w:pPr>
      <w:r>
        <w:rPr>
          <w:b/>
        </w:rPr>
        <w:t xml:space="preserve">• </w:t>
      </w:r>
      <w:r>
        <w:t>Quand les repositories auront tous une stratégie tenant claire et auditée.</w:t>
      </w:r>
    </w:p>
    <w:p>
      <w:pPr>
        <w:pStyle w:val="BulletTight"/>
      </w:pPr>
      <w:r>
        <w:rPr>
          <w:b/>
        </w:rPr>
        <w:t xml:space="preserve">• </w:t>
      </w:r>
      <w:r>
        <w:t>Quand l’équipe sera prête à gérer la complexité des policies sans ralentir le delivery nominal.</w:t>
      </w:r>
    </w:p>
    <w:p>
      <w:pPr>
        <w:pStyle w:val="SectionHeading"/>
      </w:pPr>
      <w:r>
        <w:t>7. Règles de delivery et de lecture pour Codex</w:t>
      </w:r>
    </w:p>
    <w:p>
      <w:pPr>
        <w:pStyle w:val="BulletTight"/>
      </w:pPr>
      <w:r>
        <w:rPr>
          <w:b/>
        </w:rPr>
        <w:t xml:space="preserve">• </w:t>
      </w:r>
      <w:r>
        <w:t>Aucun module ne traverse les frontières par repository direct s’il existe une NamedInterface adaptée.</w:t>
      </w:r>
    </w:p>
    <w:p>
      <w:pPr>
        <w:pStyle w:val="BulletTight"/>
      </w:pPr>
      <w:r>
        <w:rPr>
          <w:b/>
        </w:rPr>
        <w:t xml:space="preserve">• </w:t>
      </w:r>
      <w:r>
        <w:t>Toute nouvelle capacité doit s’accrocher à un module existant ou ouvrir un nouveau module avec frontière explicite.</w:t>
      </w:r>
    </w:p>
    <w:p>
      <w:pPr>
        <w:pStyle w:val="BulletTight"/>
      </w:pPr>
      <w:r>
        <w:rPr>
          <w:b/>
        </w:rPr>
        <w:t xml:space="preserve">• </w:t>
      </w:r>
      <w:r>
        <w:t>Toute écriture métier significative doit être considérée du point de vue audit, tenancy et DB réelle.</w:t>
      </w:r>
    </w:p>
    <w:p>
      <w:pPr>
        <w:pStyle w:val="BulletTight"/>
      </w:pPr>
      <w:r>
        <w:rPr>
          <w:b/>
        </w:rPr>
        <w:t xml:space="preserve">• </w:t>
      </w:r>
      <w:r>
        <w:t>Aucune migration Flyway existante n’est modifiée ; tout changement de schéma passe par une nouvelle version.</w:t>
      </w:r>
    </w:p>
    <w:p>
      <w:pPr>
        <w:pStyle w:val="BulletTight"/>
      </w:pPr>
      <w:r>
        <w:rPr>
          <w:b/>
        </w:rPr>
        <w:t xml:space="preserve">• </w:t>
      </w:r>
      <w:r>
        <w:t>La suite nominale reste `./gradlew test`; la validation réelle PostgreSQL se fait via `dbIntegrationTest` avec une base explicite.</w:t>
      </w:r>
    </w:p>
    <w:p>
      <w:pPr>
        <w:pStyle w:val="BulletTight"/>
      </w:pPr>
      <w:r>
        <w:rPr>
          <w:b/>
        </w:rPr>
        <w:t xml:space="preserve">• </w:t>
      </w:r>
      <w:r>
        <w:t>Le développement local ne doit pas exiger Docker. Si une validation DB réelle est nécessaire, elle doit viser PostgreSQL explicite.</w:t>
      </w:r>
    </w:p>
    <w:p>
      <w:pPr>
        <w:pStyle w:val="SectionHeading"/>
      </w:pPr>
      <w:r>
        <w:t>8. Impacts documentaires immédiats</w:t>
      </w:r>
    </w:p>
    <w:p>
      <w:pPr/>
      <w:r>
        <w:t>Ce cadrage n’impose pas de réécrire la vision long terme. En revanche, il impose de corriger ou d’annoter tout document qui présente comme vrai aujourd’hui une décision explicitement reportée.</w:t>
      </w:r>
    </w:p>
    <w:p>
      <w:pPr>
        <w:pStyle w:val="BulletTight"/>
      </w:pPr>
      <w:r>
        <w:rPr>
          <w:b/>
        </w:rPr>
        <w:t xml:space="preserve">• </w:t>
      </w:r>
      <w:r>
        <w:rPr>
          <w:b/>
          <w:color w:val="1F4E79"/>
        </w:rPr>
        <w:t xml:space="preserve">2.1 Architecture Vision — </w:t>
      </w:r>
      <w:r>
        <w:rPr>
          <w:b/>
        </w:rPr>
        <w:t xml:space="preserve">Garder + annoter. </w:t>
      </w:r>
      <w:r>
        <w:t>Préserver la North Star, mais préciser que GraphQL et le service IA dédié relèvent d’options futures, pas de composants actifs de la V1.</w:t>
      </w:r>
    </w:p>
    <w:p>
      <w:pPr>
        <w:pStyle w:val="BulletTight"/>
      </w:pPr>
      <w:r>
        <w:rPr>
          <w:b/>
        </w:rPr>
        <w:t xml:space="preserve">• </w:t>
      </w:r>
      <w:r>
        <w:rPr>
          <w:b/>
          <w:color w:val="1F4E79"/>
        </w:rPr>
        <w:t xml:space="preserve">2.2 Architecture Playbook — </w:t>
      </w:r>
      <w:r>
        <w:rPr>
          <w:b/>
        </w:rPr>
        <w:t xml:space="preserve">Mettre à jour. </w:t>
      </w:r>
      <w:r>
        <w:t>Aligner REST-first, Cloud Run, Cloud SQL, no-Docker local et RLS progressive avec la réalité d’exécution du repo.</w:t>
      </w:r>
    </w:p>
    <w:p>
      <w:pPr>
        <w:pStyle w:val="BulletTight"/>
      </w:pPr>
      <w:r>
        <w:rPr>
          <w:b/>
        </w:rPr>
        <w:t xml:space="preserve">• </w:t>
      </w:r>
      <w:r>
        <w:rPr>
          <w:b/>
          <w:color w:val="1F4E79"/>
        </w:rPr>
        <w:t xml:space="preserve">3.1 / 3.2 IA — </w:t>
      </w:r>
      <w:r>
        <w:rPr>
          <w:b/>
        </w:rPr>
        <w:t xml:space="preserve">Repositionner. </w:t>
      </w:r>
      <w:r>
        <w:t>Conserver la vision IA long terme, mais expliciter que la V1 actuelle est AI-ready et non AI-led.</w:t>
      </w:r>
    </w:p>
    <w:p>
      <w:pPr>
        <w:pStyle w:val="BulletTight"/>
      </w:pPr>
      <w:r>
        <w:rPr>
          <w:b/>
        </w:rPr>
        <w:t xml:space="preserve">• </w:t>
      </w:r>
      <w:r>
        <w:rPr>
          <w:b/>
          <w:color w:val="1F4E79"/>
        </w:rPr>
        <w:t xml:space="preserve">Cahier des Charges V1 Complete — </w:t>
      </w:r>
      <w:r>
        <w:rPr>
          <w:b/>
        </w:rPr>
        <w:t xml:space="preserve">Scinder ou renommer. </w:t>
      </w:r>
      <w:r>
        <w:t>Le document surestime la V1 effectivement livrée ; il doit distinguer cible produit et vagues de delivery.</w:t>
      </w:r>
    </w:p>
    <w:p>
      <w:pPr>
        <w:pStyle w:val="BulletTight"/>
      </w:pPr>
      <w:r>
        <w:rPr>
          <w:b/>
        </w:rPr>
        <w:t xml:space="preserve">• </w:t>
      </w:r>
      <w:r>
        <w:rPr>
          <w:b/>
          <w:color w:val="1F4E79"/>
        </w:rPr>
        <w:t xml:space="preserve">Plan de développement V1 — </w:t>
      </w:r>
      <w:r>
        <w:rPr>
          <w:b/>
        </w:rPr>
        <w:t xml:space="preserve">Mettre à jour. </w:t>
      </w:r>
      <w:r>
        <w:t>Le garder vivant avec les specs réellement closes, l’ordre effectif et les décisions techniques actées.</w:t>
      </w:r>
    </w:p>
    <w:p>
      <w:pPr>
        <w:pStyle w:val="SectionHeading"/>
      </w:pPr>
      <w:r>
        <w:t>9. Règle de primauté documentaire</w:t>
      </w:r>
    </w:p>
    <w:p>
      <w:pPr>
        <w:pStyle w:val="Lead"/>
      </w:pPr>
      <w:r>
        <w:t>Pour toute exécution V1, l’ordre de référence recommandé est le suivant : ADRs → 2.3 Architecture Cadrage V1 → specs actives ou done utiles → playbooks → visions. Les visions conservent leur rôle d’orientation, mais ne doivent plus être lues comme des engagements de delivery au présent.</w:t>
      </w:r>
    </w:p>
    <w:sectPr w:rsidR="00FC693F" w:rsidRPr="0006063C" w:rsidSect="00034616">
      <w:headerReference w:type="default" r:id="rId9"/>
      <w:footerReference w:type="default" r:id="rId10"/>
      <w:pgSz w:w="11906" w:h="16838"/>
      <w:pgMar w:top="1134" w:right="1219" w:bottom="1077" w:left="1219"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center"/>
    </w:pPr>
    <w:r>
      <w:t>Source de vérité de l’architecture exécutable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Pr>
    <w:r>
      <w:t>Ritomer — 2.3 Architecture Cadrage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120"/>
    </w:pPr>
    <w:rPr>
      <w:rFonts w:ascii="Aptos Display" w:hAnsi="Aptos Display"/>
      <w:b/>
      <w:color w:val="1F4E79"/>
      <w:sz w:val="52"/>
    </w:rPr>
  </w:style>
  <w:style w:type="paragraph" w:customStyle="1" w:styleId="DocSubtitle">
    <w:name w:val="Doc Subtitle"/>
    <w:basedOn w:val="Normal"/>
    <w:pPr>
      <w:spacing w:after="240"/>
    </w:pPr>
    <w:rPr>
      <w:rFonts w:ascii="Aptos" w:hAnsi="Aptos"/>
      <w:color w:val="666666"/>
      <w:sz w:val="26"/>
    </w:rPr>
  </w:style>
  <w:style w:type="paragraph" w:customStyle="1" w:styleId="SectionHeading">
    <w:name w:val="Section Heading"/>
    <w:basedOn w:val="Normal"/>
    <w:pPr>
      <w:keepNext/>
      <w:spacing w:before="320" w:after="120"/>
    </w:pPr>
    <w:rPr>
      <w:rFonts w:ascii="Aptos Display" w:hAnsi="Aptos Display"/>
      <w:b/>
      <w:color w:val="1F4E79"/>
      <w:sz w:val="31"/>
    </w:rPr>
  </w:style>
  <w:style w:type="paragraph" w:customStyle="1" w:styleId="SubsectionHeading">
    <w:name w:val="Subsection Heading"/>
    <w:basedOn w:val="Normal"/>
    <w:pPr>
      <w:keepNext/>
      <w:spacing w:before="200" w:after="60"/>
    </w:pPr>
    <w:rPr>
      <w:rFonts w:ascii="Aptos" w:hAnsi="Aptos"/>
      <w:b/>
      <w:color w:val="365F91"/>
      <w:sz w:val="23"/>
    </w:rPr>
  </w:style>
  <w:style w:type="paragraph" w:customStyle="1" w:styleId="Lead">
    <w:name w:val="Lead"/>
    <w:basedOn w:val="Normal"/>
    <w:pPr>
      <w:spacing w:line="283" w:lineRule="auto" w:after="160"/>
    </w:pPr>
    <w:rPr>
      <w:rFonts w:ascii="Aptos" w:hAnsi="Aptos"/>
      <w:sz w:val="22"/>
    </w:rPr>
  </w:style>
  <w:style w:type="paragraph" w:customStyle="1" w:styleId="SmallMuted">
    <w:name w:val="Small Muted"/>
    <w:basedOn w:val="Normal"/>
    <w:pPr>
      <w:spacing w:after="80"/>
    </w:pPr>
    <w:rPr>
      <w:rFonts w:ascii="Aptos" w:hAnsi="Aptos"/>
      <w:color w:val="666666"/>
      <w:sz w:val="18"/>
    </w:rPr>
  </w:style>
  <w:style w:type="paragraph" w:customStyle="1" w:styleId="BulletTight">
    <w:name w:val="Bullet Tight"/>
    <w:basedOn w:val="Normal"/>
    <w:pPr>
      <w:spacing w:after="40"/>
      <w:ind w:left="255" w:hanging="142"/>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