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753e50f585b9d18d3d017c25228b132b7fa3432"/>
    <w:p>
      <w:pPr>
        <w:pStyle w:val="Heading1"/>
      </w:pPr>
      <w:r>
        <w:t xml:space="preserve">Vision IA-native pour la plateforme fiduciaire B2B</w:t>
      </w:r>
    </w:p>
    <w:bookmarkStart w:id="25" w:name="Xd56bb6b60ac3118b1c8b07c7b63a2e1da79e4f4"/>
    <w:p>
      <w:pPr>
        <w:pStyle w:val="Heading2"/>
      </w:pPr>
      <w:r>
        <w:t xml:space="preserve">1. North Star IA-native – Promesse stratégique</w:t>
      </w:r>
    </w:p>
    <w:p>
      <w:pPr>
        <w:pStyle w:val="FirstParagraph"/>
      </w:pPr>
      <w:r>
        <w:t xml:space="preserve">La plateforme fiduciaire</w:t>
      </w:r>
      <w:r>
        <w:t xml:space="preserve"> </w:t>
      </w:r>
      <w:r>
        <w:rPr>
          <w:b/>
          <w:bCs/>
        </w:rPr>
        <w:t xml:space="preserve">IA-native</w:t>
      </w:r>
      <w:r>
        <w:t xml:space="preserve"> </w:t>
      </w:r>
      <w:r>
        <w:t xml:space="preserve">vise à transformer en profondeur le travail des professionnels financiers en alliant intelligence artificielle et expérience premium. Son</w:t>
      </w:r>
      <w:r>
        <w:t xml:space="preserve"> </w:t>
      </w:r>
      <w:r>
        <w:rPr>
          <w:b/>
          <w:bCs/>
        </w:rPr>
        <w:t xml:space="preserve">North Star</w:t>
      </w:r>
      <w:r>
        <w:t xml:space="preserve"> </w:t>
      </w:r>
      <w:r>
        <w:t xml:space="preserve">est d’offrir un</w:t>
      </w:r>
      <w:r>
        <w:t xml:space="preserve"> </w:t>
      </w:r>
      <w:r>
        <w:rPr>
          <w:b/>
          <w:bCs/>
        </w:rPr>
        <w:t xml:space="preserve">« copilote » intelligent</w:t>
      </w:r>
      <w:r>
        <w:t xml:space="preserve"> </w:t>
      </w:r>
      <w:r>
        <w:t xml:space="preserve">qui automatise les tâches fastidieuses tout en renforçant la confiance et la qualité du service. Concrètement, cela signifie assister les experts-comptables dans leurs analyses et décisions quotidiennes grâce à une IA orchestrée de manière fiable, tout en préservant l’excellence de l’UX haut de gamme. Le résultat attendu est une solution</w:t>
      </w:r>
      <w:r>
        <w:t xml:space="preserve"> </w:t>
      </w:r>
      <w:r>
        <w:rPr>
          <w:b/>
          <w:bCs/>
        </w:rPr>
        <w:t xml:space="preserve">élégante, fluide et bâtie sur la confiance</w:t>
      </w:r>
      <w:r>
        <w:t xml:space="preserve"> </w:t>
      </w:r>
      <w:r>
        <w:t xml:space="preserve">– un SaaS différenciant qui améliore radicalement l’efficacité sans jamais sacrifier la</w:t>
      </w:r>
      <w:r>
        <w:t xml:space="preserve"> </w:t>
      </w:r>
      <w:r>
        <w:rPr>
          <w:b/>
          <w:bCs/>
        </w:rPr>
        <w:t xml:space="preserve">fiabilité ni la sécurité attendues dans le domaine fiduciaire</w:t>
      </w:r>
      <w:hyperlink r:id="rId21">
        <w:r>
          <w:rPr>
            <w:rStyle w:val="Hyperlink"/>
          </w:rPr>
          <w:t xml:space="preserve">[1]</w:t>
        </w:r>
      </w:hyperlink>
      <w:hyperlink r:id="rId22">
        <w:r>
          <w:rPr>
            <w:rStyle w:val="Hyperlink"/>
          </w:rPr>
          <w:t xml:space="preserve">[2]</w:t>
        </w:r>
      </w:hyperlink>
      <w:r>
        <w:t xml:space="preserve">. L’IA n’est pas un simple add-on : elle est intégrée au cœur du produit de façon</w:t>
      </w:r>
      <w:r>
        <w:t xml:space="preserve"> </w:t>
      </w:r>
      <w:r>
        <w:rPr>
          <w:b/>
          <w:bCs/>
        </w:rPr>
        <w:t xml:space="preserve">contrôlée et transparente</w:t>
      </w:r>
      <w:r>
        <w:t xml:space="preserve">, pour apporter des fonctionnalités modernes (analyse automatique de documents, réponses en langage naturel, détection d’anomalies…)</w:t>
      </w:r>
      <w:r>
        <w:t xml:space="preserve"> </w:t>
      </w:r>
      <w:r>
        <w:rPr>
          <w:b/>
          <w:bCs/>
        </w:rPr>
        <w:t xml:space="preserve">sans compromette</w:t>
      </w:r>
      <w:r>
        <w:t xml:space="preserve"> </w:t>
      </w:r>
      <w:r>
        <w:t xml:space="preserve">la robustesse métier ni les exigences de conformité</w:t>
      </w:r>
      <w:hyperlink r:id="rId23">
        <w:r>
          <w:rPr>
            <w:rStyle w:val="Hyperlink"/>
          </w:rPr>
          <w:t xml:space="preserve">[3]</w:t>
        </w:r>
      </w:hyperlink>
      <w:hyperlink r:id="rId24">
        <w:r>
          <w:rPr>
            <w:rStyle w:val="Hyperlink"/>
          </w:rPr>
          <w:t xml:space="preserve">[4]</w:t>
        </w:r>
      </w:hyperlink>
      <w:r>
        <w:t xml:space="preserve">. Cette vision IA-native place donc l’automatisation intelligente au service de l’expertise humaine, avec pour promesse globale</w:t>
      </w:r>
      <w:r>
        <w:t xml:space="preserve"> </w:t>
      </w:r>
      <w:r>
        <w:rPr>
          <w:b/>
          <w:bCs/>
        </w:rPr>
        <w:t xml:space="preserve">une expérience 11/10</w:t>
      </w:r>
      <w:r>
        <w:t xml:space="preserve"> </w:t>
      </w:r>
      <w:r>
        <w:t xml:space="preserve">où chaque utilisateur bénéficie d’un gain de temps substantiel, de nouvelles insights exploitables et d’une interaction homme-machine naturelle – le tout au sein d’un environnement hautement sécurisé et maîtrisé.</w:t>
      </w:r>
    </w:p>
    <w:bookmarkEnd w:id="25"/>
    <w:bookmarkStart w:id="29" w:name="X572a68eb795f4e424e057985ad9e013ac7b62fe"/>
    <w:p>
      <w:pPr>
        <w:pStyle w:val="Heading2"/>
      </w:pPr>
      <w:r>
        <w:t xml:space="preserve">2. Jobs-to-be-done IA – Cas d’usage clés apportant de la valeur</w:t>
      </w:r>
    </w:p>
    <w:p>
      <w:pPr>
        <w:pStyle w:val="FirstParagraph"/>
      </w:pPr>
      <w:r>
        <w:t xml:space="preserve">L’IA de la plateforme se concentre sur</w:t>
      </w:r>
      <w:r>
        <w:t xml:space="preserve"> </w:t>
      </w:r>
      <w:r>
        <w:rPr>
          <w:b/>
          <w:bCs/>
        </w:rPr>
        <w:t xml:space="preserve">3 à 5 cas d’usage stratégiques</w:t>
      </w:r>
      <w:r>
        <w:t xml:space="preserve"> </w:t>
      </w:r>
      <w:r>
        <w:t xml:space="preserve">où elle apporte une</w:t>
      </w:r>
      <w:r>
        <w:t xml:space="preserve"> </w:t>
      </w:r>
      <w:r>
        <w:rPr>
          <w:b/>
          <w:bCs/>
        </w:rPr>
        <w:t xml:space="preserve">valeur ajoutée déterminante</w:t>
      </w:r>
      <w:r>
        <w:t xml:space="preserve"> :</w:t>
      </w:r>
    </w:p>
    <w:p>
      <w:pPr>
        <w:pStyle w:val="Compact"/>
        <w:numPr>
          <w:ilvl w:val="0"/>
          <w:numId w:val="1001"/>
        </w:numPr>
      </w:pPr>
      <w:r>
        <w:rPr>
          <w:b/>
          <w:bCs/>
        </w:rPr>
        <w:t xml:space="preserve">Comprendre instantanément la situation d’un client :</w:t>
      </w:r>
      <w:r>
        <w:t xml:space="preserve"> </w:t>
      </w:r>
      <w:r>
        <w:t xml:space="preserve">l’IA résume et analyse en quelques instants les données financières d’un client (bilan, transactions, emails…), permettant au fiduciaire de</w:t>
      </w:r>
      <w:r>
        <w:t xml:space="preserve"> </w:t>
      </w:r>
      <w:r>
        <w:rPr>
          <w:b/>
          <w:bCs/>
        </w:rPr>
        <w:t xml:space="preserve">cerner la situation comptable et fiscale rapidement</w:t>
      </w:r>
      <w:r>
        <w:t xml:space="preserve">. Par exemple, le copilote peut extraire les faits marquants et indicateurs clés d’un dossier client pour briefer l’utilisateur</w:t>
      </w:r>
      <w:hyperlink r:id="rId26">
        <w:r>
          <w:rPr>
            <w:rStyle w:val="Hyperlink"/>
          </w:rPr>
          <w:t xml:space="preserve">[5]</w:t>
        </w:r>
      </w:hyperlink>
      <w:r>
        <w:t xml:space="preserve">, évitant de longues lectures manuelles. Ce</w:t>
      </w:r>
      <w:r>
        <w:t xml:space="preserve"> </w:t>
      </w:r>
      <w:r>
        <w:rPr>
          <w:b/>
          <w:bCs/>
        </w:rPr>
        <w:t xml:space="preserve">diagnostic accéléré</w:t>
      </w:r>
      <w:r>
        <w:t xml:space="preserve"> </w:t>
      </w:r>
      <w:r>
        <w:t xml:space="preserve">aide à mieux conseiller le client dès les premières minutes.</w:t>
      </w:r>
    </w:p>
    <w:p>
      <w:pPr>
        <w:pStyle w:val="Compact"/>
        <w:numPr>
          <w:ilvl w:val="0"/>
          <w:numId w:val="1001"/>
        </w:numPr>
      </w:pPr>
      <w:r>
        <w:rPr>
          <w:b/>
          <w:bCs/>
        </w:rPr>
        <w:t xml:space="preserve">Préparer un livrable ou rapport complexe :</w:t>
      </w:r>
      <w:r>
        <w:t xml:space="preserve"> </w:t>
      </w:r>
      <w:r>
        <w:t xml:space="preserve">l’IA assiste dans la</w:t>
      </w:r>
      <w:r>
        <w:t xml:space="preserve"> </w:t>
      </w:r>
      <w:r>
        <w:rPr>
          <w:b/>
          <w:bCs/>
        </w:rPr>
        <w:t xml:space="preserve">génération de documents</w:t>
      </w:r>
      <w:r>
        <w:t xml:space="preserve"> </w:t>
      </w:r>
      <w:r>
        <w:t xml:space="preserve">(comptes-rendus, projets de bilan, lettres de mission) en pré-remplissant les sections à partir des données disponibles. Sur base des informations comptables, elle peut proposer une</w:t>
      </w:r>
      <w:r>
        <w:t xml:space="preserve"> </w:t>
      </w:r>
      <w:r>
        <w:rPr>
          <w:b/>
          <w:bCs/>
        </w:rPr>
        <w:t xml:space="preserve">ébauche de rapport financier</w:t>
      </w:r>
      <w:r>
        <w:t xml:space="preserve"> </w:t>
      </w:r>
      <w:r>
        <w:t xml:space="preserve">ou de déclaration, avec chiffres et textes argumentés, que l’expert n’a plus qu’à vérifier et affiner. On combine ici extraction de données, calculs et génération en langage naturel pour</w:t>
      </w:r>
      <w:r>
        <w:t xml:space="preserve"> </w:t>
      </w:r>
      <w:r>
        <w:rPr>
          <w:b/>
          <w:bCs/>
        </w:rPr>
        <w:t xml:space="preserve">accélérer la production de livrables</w:t>
      </w:r>
      <w:r>
        <w:t xml:space="preserve"> </w:t>
      </w:r>
      <w:r>
        <w:t xml:space="preserve">tout en garantissant leur conformité aux données sources</w:t>
      </w:r>
      <w:hyperlink r:id="rId27">
        <w:r>
          <w:rPr>
            <w:rStyle w:val="Hyperlink"/>
          </w:rPr>
          <w:t xml:space="preserve">[6]</w:t>
        </w:r>
      </w:hyperlink>
      <w:r>
        <w:t xml:space="preserve">.</w:t>
      </w:r>
    </w:p>
    <w:p>
      <w:pPr>
        <w:pStyle w:val="Compact"/>
        <w:numPr>
          <w:ilvl w:val="0"/>
          <w:numId w:val="1001"/>
        </w:numPr>
      </w:pPr>
      <w:r>
        <w:rPr>
          <w:b/>
          <w:bCs/>
        </w:rPr>
        <w:t xml:space="preserve">Naviguer dans le système par requêtes naturelles :</w:t>
      </w:r>
      <w:r>
        <w:t xml:space="preserve"> </w:t>
      </w:r>
      <w:r>
        <w:t xml:space="preserve">grâce à un assistant conversationnel, l’utilisateur interagit avec la plateforme en langage courant pour</w:t>
      </w:r>
      <w:r>
        <w:t xml:space="preserve"> </w:t>
      </w:r>
      <w:r>
        <w:rPr>
          <w:b/>
          <w:bCs/>
        </w:rPr>
        <w:t xml:space="preserve">retrouver des informations ou des documents</w:t>
      </w:r>
      <w:r>
        <w:t xml:space="preserve">. Plutôt que de chercher manuellement dans les menus, il peut poser des questions du type</w:t>
      </w:r>
      <w:r>
        <w:t xml:space="preserve"> </w:t>
      </w:r>
      <w:r>
        <w:rPr>
          <w:i/>
          <w:iCs/>
        </w:rPr>
        <w:t xml:space="preserve">« Montre-moi les factures impayées de mars »</w:t>
      </w:r>
      <w:r>
        <w:t xml:space="preserve"> </w:t>
      </w:r>
      <w:r>
        <w:t xml:space="preserve">ou</w:t>
      </w:r>
      <w:r>
        <w:t xml:space="preserve"> </w:t>
      </w:r>
      <w:r>
        <w:rPr>
          <w:i/>
          <w:iCs/>
        </w:rPr>
        <w:t xml:space="preserve">« Quel est le solde du grand livre client X ? »</w:t>
      </w:r>
      <w:r>
        <w:t xml:space="preserve">. L’IA comprend la demande, interroge la base de données ou la documentation pertinente, et fournit une réponse précise</w:t>
      </w:r>
      <w:r>
        <w:t xml:space="preserve"> </w:t>
      </w:r>
      <w:r>
        <w:rPr>
          <w:b/>
          <w:bCs/>
        </w:rPr>
        <w:t xml:space="preserve">avec les références appropriées</w:t>
      </w:r>
      <w:r>
        <w:t xml:space="preserve"> </w:t>
      </w:r>
      <w:r>
        <w:t xml:space="preserve">(ex: lien vers le document source)</w:t>
      </w:r>
      <w:hyperlink r:id="rId27">
        <w:r>
          <w:rPr>
            <w:rStyle w:val="Hyperlink"/>
          </w:rPr>
          <w:t xml:space="preserve">[6]</w:t>
        </w:r>
      </w:hyperlink>
      <w:r>
        <w:t xml:space="preserve">. Cela fluidifie la navigation et l’accès au savoir interne, faisant gagner un temps précieux au quotidien.</w:t>
      </w:r>
    </w:p>
    <w:p>
      <w:pPr>
        <w:pStyle w:val="Compact"/>
        <w:numPr>
          <w:ilvl w:val="0"/>
          <w:numId w:val="1001"/>
        </w:numPr>
      </w:pPr>
      <w:r>
        <w:rPr>
          <w:b/>
          <w:bCs/>
        </w:rPr>
        <w:t xml:space="preserve">Détecter des écarts et anomalies automatiquement :</w:t>
      </w:r>
      <w:r>
        <w:t xml:space="preserve"> </w:t>
      </w:r>
      <w:r>
        <w:t xml:space="preserve">le système IA-native surveille les données pour</w:t>
      </w:r>
      <w:r>
        <w:t xml:space="preserve"> </w:t>
      </w:r>
      <w:r>
        <w:rPr>
          <w:b/>
          <w:bCs/>
        </w:rPr>
        <w:t xml:space="preserve">identifier les incohérences, erreurs ou fraudes potentielles</w:t>
      </w:r>
      <w:r>
        <w:t xml:space="preserve">. Par exemple, il signale des écarts entre factures et paiements, des écritures comptables déséquilibrées, ou des dépassements de seuil anormaux. En s’appuyant sur des mécanismes de contrôle avancés, l’IA détecte en temps réel les anomalies dans les transactions financières pour aider à</w:t>
      </w:r>
      <w:r>
        <w:t xml:space="preserve"> </w:t>
      </w:r>
      <w:r>
        <w:rPr>
          <w:b/>
          <w:bCs/>
        </w:rPr>
        <w:t xml:space="preserve">prévenir les erreurs et risques fiscaux</w:t>
      </w:r>
      <w:hyperlink r:id="rId28">
        <w:r>
          <w:rPr>
            <w:rStyle w:val="Hyperlink"/>
          </w:rPr>
          <w:t xml:space="preserve">[7]</w:t>
        </w:r>
      </w:hyperlink>
      <w:r>
        <w:t xml:space="preserve">. Chaque alerte est accompagnée d’une explication (ex:</w:t>
      </w:r>
      <w:r>
        <w:t xml:space="preserve"> </w:t>
      </w:r>
      <w:r>
        <w:rPr>
          <w:i/>
          <w:iCs/>
        </w:rPr>
        <w:t xml:space="preserve">« tel montant hors norme détecté dans le compte X »</w:t>
      </w:r>
      <w:r>
        <w:t xml:space="preserve">) afin que l’expert puisse examiner et corriger proactivement.</w:t>
      </w:r>
    </w:p>
    <w:p>
      <w:pPr>
        <w:pStyle w:val="FirstParagraph"/>
      </w:pPr>
      <w:r>
        <w:rPr>
          <w:i/>
          <w:iCs/>
        </w:rPr>
        <w:t xml:space="preserve">(D’autres cas d’usage pourraient être ajoutés à mesure que la plateforme évolue, mais ces</w:t>
      </w:r>
      <w:r>
        <w:t xml:space="preserve"> </w:t>
      </w:r>
      <w:r>
        <w:rPr>
          <w:i/>
          <w:iCs/>
        </w:rPr>
        <w:t xml:space="preserve">Jobs-to-be-done</w:t>
      </w:r>
      <w:r>
        <w:t xml:space="preserve"> </w:t>
      </w:r>
      <w:r>
        <w:rPr>
          <w:i/>
          <w:iCs/>
        </w:rPr>
        <w:t xml:space="preserve">forment le noyau initial où l’IA démontre un impact tangible.)</w:t>
      </w:r>
    </w:p>
    <w:bookmarkEnd w:id="29"/>
    <w:bookmarkStart w:id="34" w:name="X0e2a780ef029a1182938b87b5196179485d6869"/>
    <w:p>
      <w:pPr>
        <w:pStyle w:val="Heading2"/>
      </w:pPr>
      <w:r>
        <w:t xml:space="preserve">3. Périmètre vs. non-périmètre de l’IA – Ce que l’IA peut ou ne peut pas faire</w:t>
      </w:r>
    </w:p>
    <w:p>
      <w:pPr>
        <w:pStyle w:val="FirstParagraph"/>
      </w:pPr>
      <w:r>
        <w:t xml:space="preserve">Pour instaurer une</w:t>
      </w:r>
      <w:r>
        <w:t xml:space="preserve"> </w:t>
      </w:r>
      <w:r>
        <w:rPr>
          <w:b/>
          <w:bCs/>
        </w:rPr>
        <w:t xml:space="preserve">confiance absolue</w:t>
      </w:r>
      <w:r>
        <w:t xml:space="preserve">, il est crucial de</w:t>
      </w:r>
      <w:r>
        <w:t xml:space="preserve"> </w:t>
      </w:r>
      <w:r>
        <w:rPr>
          <w:b/>
          <w:bCs/>
        </w:rPr>
        <w:t xml:space="preserve">délimiter clairement le périmètre d’action de l’IA</w:t>
      </w:r>
      <w:r>
        <w:t xml:space="preserve"> </w:t>
      </w:r>
      <w:r>
        <w:t xml:space="preserve">dans la plateforme :</w:t>
      </w:r>
    </w:p>
    <w:p>
      <w:pPr>
        <w:numPr>
          <w:ilvl w:val="0"/>
          <w:numId w:val="1002"/>
        </w:numPr>
      </w:pPr>
      <w:r>
        <w:rPr>
          <w:b/>
          <w:bCs/>
        </w:rPr>
        <w:t xml:space="preserve">✅ Rôles autorisés (périmètre IA) :</w:t>
      </w:r>
      <w:r>
        <w:t xml:space="preserve"> </w:t>
      </w:r>
      <w:r>
        <w:t xml:space="preserve">L’IA est habilitée à</w:t>
      </w:r>
      <w:r>
        <w:t xml:space="preserve"> </w:t>
      </w:r>
      <w:r>
        <w:rPr>
          <w:b/>
          <w:bCs/>
        </w:rPr>
        <w:t xml:space="preserve">fournir des analyses, recommandations et pré-remplissages</w:t>
      </w:r>
      <w:r>
        <w:t xml:space="preserve">, toujours</w:t>
      </w:r>
      <w:r>
        <w:t xml:space="preserve"> </w:t>
      </w:r>
      <w:r>
        <w:rPr>
          <w:b/>
          <w:bCs/>
        </w:rPr>
        <w:t xml:space="preserve">à partir des données approuvées du client</w:t>
      </w:r>
      <w:r>
        <w:t xml:space="preserve">. Elle peut rechercher dans la base de connaissances du tenant (données du client concerné) les éléments pertinents et les utiliser pour formuler une réponse ou un calcul</w:t>
      </w:r>
      <w:hyperlink r:id="rId30">
        <w:r>
          <w:rPr>
            <w:rStyle w:val="Hyperlink"/>
          </w:rPr>
          <w:t xml:space="preserve">[8]</w:t>
        </w:r>
      </w:hyperlink>
      <w:r>
        <w:t xml:space="preserve">. Elle peut ainsi rédiger des brouillons de textes, proposer des catégorisations comptables, ou initier des tâches automatisées (ex: préparer une écriture d’ajustement) tant que cela reste dans le cadre des</w:t>
      </w:r>
      <w:r>
        <w:t xml:space="preserve"> </w:t>
      </w:r>
      <w:r>
        <w:rPr>
          <w:b/>
          <w:bCs/>
        </w:rPr>
        <w:t xml:space="preserve">données disponibles et des règles métier établies</w:t>
      </w:r>
      <w:r>
        <w:t xml:space="preserve">.</w:t>
      </w:r>
    </w:p>
    <w:p>
      <w:pPr>
        <w:numPr>
          <w:ilvl w:val="0"/>
          <w:numId w:val="1002"/>
        </w:numPr>
      </w:pPr>
      <w:r>
        <w:rPr>
          <w:b/>
          <w:bCs/>
        </w:rPr>
        <w:t xml:space="preserve">❌ Hors-périmètre (interdits à l’IA) :</w:t>
      </w:r>
      <w:r>
        <w:t xml:space="preserve"> </w:t>
      </w:r>
      <w:r>
        <w:t xml:space="preserve">L’IA</w:t>
      </w:r>
      <w:r>
        <w:t xml:space="preserve"> </w:t>
      </w:r>
      <w:r>
        <w:rPr>
          <w:b/>
          <w:bCs/>
        </w:rPr>
        <w:t xml:space="preserve">n’a pas le droit de réaliser d’actions engageantes sans contrôle humain</w:t>
      </w:r>
      <w:r>
        <w:t xml:space="preserve">. Elle ne peut</w:t>
      </w:r>
      <w:r>
        <w:t xml:space="preserve"> </w:t>
      </w:r>
      <w:r>
        <w:rPr>
          <w:b/>
          <w:bCs/>
        </w:rPr>
        <w:t xml:space="preserve">valider ni appliquer automatiquement</w:t>
      </w:r>
      <w:r>
        <w:t xml:space="preserve"> </w:t>
      </w:r>
      <w:r>
        <w:t xml:space="preserve">une décision ayant un impact légal ou financier (clôture de comptes, envoi d’un document au régulateur, approbation d’un paiement…) sans qu’un utilisateur prenne la décision finale. De plus, l’IA ne sort jamais de son périmètre de données autorisé :</w:t>
      </w:r>
      <w:r>
        <w:t xml:space="preserve"> </w:t>
      </w:r>
      <w:r>
        <w:rPr>
          <w:b/>
          <w:bCs/>
        </w:rPr>
        <w:t xml:space="preserve">elle n’accède qu’aux informations du client courant</w:t>
      </w:r>
      <w:r>
        <w:t xml:space="preserve"> </w:t>
      </w:r>
      <w:r>
        <w:t xml:space="preserve">et</w:t>
      </w:r>
      <w:r>
        <w:t xml:space="preserve"> </w:t>
      </w:r>
      <w:r>
        <w:rPr>
          <w:b/>
          <w:bCs/>
        </w:rPr>
        <w:t xml:space="preserve">aucune donnée d’un autre client ou source externe non approuvée n’est consultée</w:t>
      </w:r>
      <w:hyperlink r:id="rId31">
        <w:r>
          <w:rPr>
            <w:rStyle w:val="Hyperlink"/>
          </w:rPr>
          <w:t xml:space="preserve">[9]</w:t>
        </w:r>
      </w:hyperlink>
      <w:r>
        <w:t xml:space="preserve">. Sont également interdits,</w:t>
      </w:r>
      <w:r>
        <w:t xml:space="preserve"> </w:t>
      </w:r>
      <w:r>
        <w:rPr>
          <w:i/>
          <w:iCs/>
        </w:rPr>
        <w:t xml:space="preserve">par design</w:t>
      </w:r>
      <w:r>
        <w:t xml:space="preserve">, les comportements qui violeraient la conformité ou l’éthique : par exemple,</w:t>
      </w:r>
      <w:r>
        <w:t xml:space="preserve"> </w:t>
      </w:r>
      <w:r>
        <w:rPr>
          <w:b/>
          <w:bCs/>
        </w:rPr>
        <w:t xml:space="preserve">divulguer des données personnelles sensibles dans un rapport généré</w:t>
      </w:r>
      <w:r>
        <w:t xml:space="preserve"> </w:t>
      </w:r>
      <w:r>
        <w:t xml:space="preserve">ou ignorer une règle comptable impérative est strictement proscrit</w:t>
      </w:r>
      <w:hyperlink r:id="rId32">
        <w:r>
          <w:rPr>
            <w:rStyle w:val="Hyperlink"/>
          </w:rPr>
          <w:t xml:space="preserve">[10]</w:t>
        </w:r>
      </w:hyperlink>
      <w:r>
        <w:t xml:space="preserve">. L’IA est bridée pour empêcher tout dérapage de ce type, et respecte les garde-fous de sécurité (toute tentative d’accès non autorisé à un système tiers ou d’utilisation d’un outil non approuvé est bloquée d’office).</w:t>
      </w:r>
    </w:p>
    <w:p>
      <w:pPr>
        <w:numPr>
          <w:ilvl w:val="0"/>
          <w:numId w:val="1002"/>
        </w:numPr>
      </w:pPr>
      <w:r>
        <w:rPr>
          <w:b/>
          <w:bCs/>
        </w:rPr>
        <w:t xml:space="preserve">🤝 Validation humaine requise :</w:t>
      </w:r>
      <w:r>
        <w:t xml:space="preserve"> </w:t>
      </w:r>
      <w:r>
        <w:t xml:space="preserve">Certaines actions de l’IA nécessitent</w:t>
      </w:r>
      <w:r>
        <w:t xml:space="preserve"> </w:t>
      </w:r>
      <w:r>
        <w:rPr>
          <w:b/>
          <w:bCs/>
        </w:rPr>
        <w:t xml:space="preserve">obligatoirement une validation par un expert humain</w:t>
      </w:r>
      <w:r>
        <w:t xml:space="preserve"> </w:t>
      </w:r>
      <w:r>
        <w:t xml:space="preserve">avant exécution finale. Par exemple, si l’IA propose une écriture comptable pour corriger un écart, ou génère un projet de bilan,</w:t>
      </w:r>
      <w:r>
        <w:t xml:space="preserve"> </w:t>
      </w:r>
      <w:r>
        <w:rPr>
          <w:b/>
          <w:bCs/>
        </w:rPr>
        <w:t xml:space="preserve">un professionnel doit la revoir et l’approuver</w:t>
      </w:r>
      <w:r>
        <w:t xml:space="preserve"> </w:t>
      </w:r>
      <w:r>
        <w:t xml:space="preserve">avant qu’elle n’impacte le système officiel. L’interface est conçue pour faciliter ces boucles de relecture : l’IA soumet un résultat accompagné des preuves et d’un statut (</w:t>
      </w:r>
      <w:r>
        <w:rPr>
          <w:i/>
          <w:iCs/>
        </w:rPr>
        <w:t xml:space="preserve">« en attente de validation »</w:t>
      </w:r>
      <w:r>
        <w:t xml:space="preserve">), et l’utilisateur peut soit l’accepter, le modifier ou le rejeter</w:t>
      </w:r>
      <w:hyperlink r:id="rId33">
        <w:r>
          <w:rPr>
            <w:rStyle w:val="Hyperlink"/>
          </w:rPr>
          <w:t xml:space="preserve">[11]</w:t>
        </w:r>
      </w:hyperlink>
      <w:r>
        <w:t xml:space="preserve">. De même, toute communication sortante rédigée par l’IA (vers un client, une administration) doit être validée. Ce principe de</w:t>
      </w:r>
      <w:r>
        <w:t xml:space="preserve"> </w:t>
      </w:r>
      <w:r>
        <w:rPr>
          <w:i/>
          <w:iCs/>
        </w:rPr>
        <w:t xml:space="preserve">human-in-the-loop</w:t>
      </w:r>
      <w:r>
        <w:t xml:space="preserve"> </w:t>
      </w:r>
      <w:r>
        <w:t xml:space="preserve">garantit que</w:t>
      </w:r>
      <w:r>
        <w:t xml:space="preserve"> </w:t>
      </w:r>
      <w:r>
        <w:rPr>
          <w:b/>
          <w:bCs/>
        </w:rPr>
        <w:t xml:space="preserve">l’IA agit toujours sous supervision</w:t>
      </w:r>
      <w:r>
        <w:t xml:space="preserve">, notamment dans un domaine aussi sensible que la finance d’entreprise. Aucune décision irréversible n’est laissée à l’IA seule, assurant ainsi que</w:t>
      </w:r>
      <w:r>
        <w:t xml:space="preserve"> </w:t>
      </w:r>
      <w:r>
        <w:rPr>
          <w:b/>
          <w:bCs/>
        </w:rPr>
        <w:t xml:space="preserve">le contrôle et la responsabilité finale restent entre les mains de l’humain</w:t>
      </w:r>
      <w:r>
        <w:t xml:space="preserve">.</w:t>
      </w:r>
    </w:p>
    <w:p>
      <w:pPr>
        <w:pStyle w:val="FirstParagraph"/>
      </w:pPr>
      <w:r>
        <w:rPr>
          <w:i/>
          <w:iCs/>
        </w:rPr>
        <w:t xml:space="preserve">(En synthèse, l’IA est un</w:t>
      </w:r>
      <w:r>
        <w:t xml:space="preserve"> </w:t>
      </w:r>
      <w:r>
        <w:rPr>
          <w:i/>
          <w:iCs/>
        </w:rPr>
        <w:t xml:space="preserve">assistant proactif</w:t>
      </w:r>
      <w:r>
        <w:t xml:space="preserve"> </w:t>
      </w:r>
      <w:r>
        <w:rPr>
          <w:i/>
          <w:iCs/>
        </w:rPr>
        <w:t xml:space="preserve">mais</w:t>
      </w:r>
      <w:r>
        <w:t xml:space="preserve"> </w:t>
      </w:r>
      <w:r>
        <w:rPr>
          <w:i/>
          <w:iCs/>
        </w:rPr>
        <w:t xml:space="preserve">jamais un acteur autonome incontrôlé : elle opère dans un cadre précis, ne franchit pas les limites fixées et sollicite l’humain dès que nécessaire pour les enjeux critiques.)</w:t>
      </w:r>
    </w:p>
    <w:bookmarkEnd w:id="34"/>
    <w:bookmarkStart w:id="41" w:name="Xde374ecd56dd0568dde0ea7791dba6406bde043"/>
    <w:p>
      <w:pPr>
        <w:pStyle w:val="Heading2"/>
      </w:pPr>
      <w:r>
        <w:t xml:space="preserve">4. Principes IA non-négociables – Règles structurantes</w:t>
      </w:r>
    </w:p>
    <w:p>
      <w:pPr>
        <w:pStyle w:val="FirstParagraph"/>
      </w:pPr>
      <w:r>
        <w:t xml:space="preserve">L’implémentation IA-native obéit à une série de</w:t>
      </w:r>
      <w:r>
        <w:t xml:space="preserve"> </w:t>
      </w:r>
      <w:r>
        <w:rPr>
          <w:b/>
          <w:bCs/>
        </w:rPr>
        <w:t xml:space="preserve">principes directeurs intransigeants</w:t>
      </w:r>
      <w:r>
        <w:t xml:space="preserve"> </w:t>
      </w:r>
      <w:r>
        <w:t xml:space="preserve">qui garantissent alignement avec nos valeurs (premium UX, sécurité, fiabilité) et succès à long terme :</w:t>
      </w:r>
    </w:p>
    <w:p>
      <w:pPr>
        <w:numPr>
          <w:ilvl w:val="0"/>
          <w:numId w:val="1003"/>
        </w:numPr>
      </w:pPr>
      <w:r>
        <w:rPr>
          <w:b/>
          <w:bCs/>
        </w:rPr>
        <w:t xml:space="preserve">Evidence-first (preuve à l’appui)</w:t>
      </w:r>
      <w:r>
        <w:t xml:space="preserve"> </w:t>
      </w:r>
      <w:r>
        <w:t xml:space="preserve">–</w:t>
      </w:r>
      <w:r>
        <w:t xml:space="preserve"> </w:t>
      </w:r>
      <w:r>
        <w:rPr>
          <w:i/>
          <w:iCs/>
        </w:rPr>
        <w:t xml:space="preserve">Chaque réponse de l’IA doit être appuyée sur des faits vérifiables</w:t>
      </w:r>
      <w:r>
        <w:t xml:space="preserve">. Le copilote présente des</w:t>
      </w:r>
      <w:r>
        <w:t xml:space="preserve"> </w:t>
      </w:r>
      <w:r>
        <w:rPr>
          <w:b/>
          <w:bCs/>
        </w:rPr>
        <w:t xml:space="preserve">preuves</w:t>
      </w:r>
      <w:r>
        <w:t xml:space="preserve"> </w:t>
      </w:r>
      <w:r>
        <w:t xml:space="preserve">ou sources à l’appui de ses recommandations (références documentaires, données chiffrées) afin de</w:t>
      </w:r>
      <w:r>
        <w:t xml:space="preserve"> </w:t>
      </w:r>
      <w:r>
        <w:rPr>
          <w:b/>
          <w:bCs/>
        </w:rPr>
        <w:t xml:space="preserve">justifier chaque proposition</w:t>
      </w:r>
      <w:r>
        <w:t xml:space="preserve">. Par exemple, une réponse à une question métier inclura les éléments de calcul ou les extraits de document qui la fondent, plutôt qu’une assertion gratuite. Ce principe de transparence factuelle est crucial pour gagner la confiance de l’utilisateur. Des mécanismes d’alerte sont même prévus si l’IA produit une affirmation sans citer de source alors qu’elle le devrait</w:t>
      </w:r>
      <w:hyperlink r:id="rId35">
        <w:r>
          <w:rPr>
            <w:rStyle w:val="Hyperlink"/>
          </w:rPr>
          <w:t xml:space="preserve">[12]</w:t>
        </w:r>
      </w:hyperlink>
      <w:r>
        <w:t xml:space="preserve">. En somme, rien n’est avancé par l’IA sans</w:t>
      </w:r>
      <w:r>
        <w:t xml:space="preserve"> </w:t>
      </w:r>
      <w:r>
        <w:rPr>
          <w:b/>
          <w:bCs/>
        </w:rPr>
        <w:t xml:space="preserve">evidence</w:t>
      </w:r>
      <w:r>
        <w:t xml:space="preserve"> </w:t>
      </w:r>
      <w:r>
        <w:t xml:space="preserve">à montrer, ancrant le produit dans une logique de vérité et de justification systématique.</w:t>
      </w:r>
    </w:p>
    <w:p>
      <w:pPr>
        <w:numPr>
          <w:ilvl w:val="0"/>
          <w:numId w:val="1003"/>
        </w:numPr>
      </w:pPr>
      <w:r>
        <w:rPr>
          <w:b/>
          <w:bCs/>
        </w:rPr>
        <w:t xml:space="preserve">Explicabilité &amp; Traçabilité</w:t>
      </w:r>
      <w:r>
        <w:t xml:space="preserve"> </w:t>
      </w:r>
      <w:r>
        <w:t xml:space="preserve">–</w:t>
      </w:r>
      <w:r>
        <w:t xml:space="preserve"> </w:t>
      </w:r>
      <w:r>
        <w:rPr>
          <w:i/>
          <w:iCs/>
        </w:rPr>
        <w:t xml:space="preserve">L’IA ne doit jamais être une « boîte noire » impénétrable</w:t>
      </w:r>
      <w:r>
        <w:t xml:space="preserve">. Chaque décision ou suggestion de l’agent doit pouvoir être</w:t>
      </w:r>
      <w:r>
        <w:t xml:space="preserve"> </w:t>
      </w:r>
      <w:r>
        <w:rPr>
          <w:b/>
          <w:bCs/>
        </w:rPr>
        <w:t xml:space="preserve">expliquée et retracée</w:t>
      </w:r>
      <w:r>
        <w:t xml:space="preserve"> </w:t>
      </w:r>
      <w:r>
        <w:t xml:space="preserve">a posteriori. Cela se traduit par une</w:t>
      </w:r>
      <w:r>
        <w:t xml:space="preserve"> </w:t>
      </w:r>
      <w:r>
        <w:rPr>
          <w:b/>
          <w:bCs/>
        </w:rPr>
        <w:t xml:space="preserve">observabilité renforcée</w:t>
      </w:r>
      <w:r>
        <w:t xml:space="preserve"> : journalisation de chaque requête IA, des données fournies en contexte et des résultats produits</w:t>
      </w:r>
      <w:hyperlink r:id="rId36">
        <w:r>
          <w:rPr>
            <w:rStyle w:val="Hyperlink"/>
          </w:rPr>
          <w:t xml:space="preserve">[13]</w:t>
        </w:r>
      </w:hyperlink>
      <w:r>
        <w:t xml:space="preserve">. L’équipe peut ainsi auditer le parcours de l’IA, comprendre pourquoi telle recommandation a été faite (quels paramètres, quelles données d’entrée) et diagnostiquer d’éventuels erreurs. Cette traçabilité sert aussi la conformité : on maintient un</w:t>
      </w:r>
      <w:r>
        <w:t xml:space="preserve"> </w:t>
      </w:r>
      <w:r>
        <w:rPr>
          <w:b/>
          <w:bCs/>
        </w:rPr>
        <w:t xml:space="preserve">historique complet</w:t>
      </w:r>
      <w:r>
        <w:t xml:space="preserve"> </w:t>
      </w:r>
      <w:r>
        <w:t xml:space="preserve">des actions de l’IA, consultable en cas d’audit ou de revue de conformité</w:t>
      </w:r>
      <w:hyperlink r:id="rId37">
        <w:r>
          <w:rPr>
            <w:rStyle w:val="Hyperlink"/>
          </w:rPr>
          <w:t xml:space="preserve">[14]</w:t>
        </w:r>
      </w:hyperlink>
      <w:r>
        <w:t xml:space="preserve">. Du côté de l’UX, explicabilité signifie que l’utilisateur peut, si besoin, demander</w:t>
      </w:r>
      <w:r>
        <w:t xml:space="preserve"> </w:t>
      </w:r>
      <w:r>
        <w:rPr>
          <w:b/>
          <w:bCs/>
        </w:rPr>
        <w:t xml:space="preserve">« pourquoi »</w:t>
      </w:r>
      <w:r>
        <w:t xml:space="preserve"> </w:t>
      </w:r>
      <w:r>
        <w:t xml:space="preserve">– et obtenir des éléments compréhensibles (ex:</w:t>
      </w:r>
      <w:r>
        <w:t xml:space="preserve"> </w:t>
      </w:r>
      <w:r>
        <w:rPr>
          <w:i/>
          <w:iCs/>
        </w:rPr>
        <w:t xml:space="preserve">« cette alerte est déclenchée car le montant X diffère de 20% de l’historique habituel »</w:t>
      </w:r>
      <w:r>
        <w:t xml:space="preserve">).</w:t>
      </w:r>
      <w:r>
        <w:t xml:space="preserve"> </w:t>
      </w:r>
      <w:r>
        <w:rPr>
          <w:b/>
          <w:bCs/>
        </w:rPr>
        <w:t xml:space="preserve">Rien n’est magique</w:t>
      </w:r>
      <w:r>
        <w:t xml:space="preserve">, tout est justifiable et assumé.</w:t>
      </w:r>
    </w:p>
    <w:p>
      <w:pPr>
        <w:numPr>
          <w:ilvl w:val="0"/>
          <w:numId w:val="1003"/>
        </w:numPr>
      </w:pPr>
      <w:r>
        <w:rPr>
          <w:b/>
          <w:bCs/>
        </w:rPr>
        <w:t xml:space="preserve">Agnosticité technologique (modèle &amp; outil)</w:t>
      </w:r>
      <w:r>
        <w:t xml:space="preserve"> </w:t>
      </w:r>
      <w:r>
        <w:t xml:space="preserve">–</w:t>
      </w:r>
      <w:r>
        <w:t xml:space="preserve"> </w:t>
      </w:r>
      <w:r>
        <w:rPr>
          <w:i/>
          <w:iCs/>
        </w:rPr>
        <w:t xml:space="preserve">Notre architecture IA se veut modulaire et indépendante des fournisseurs</w:t>
      </w:r>
      <w:r>
        <w:t xml:space="preserve">. Le système est conçu pour</w:t>
      </w:r>
      <w:r>
        <w:t xml:space="preserve"> </w:t>
      </w:r>
      <w:r>
        <w:rPr>
          <w:b/>
          <w:bCs/>
        </w:rPr>
        <w:t xml:space="preserve">pouvoir changer de modèle de ML ou intégrer de nouveaux outils</w:t>
      </w:r>
      <w:r>
        <w:t xml:space="preserve"> </w:t>
      </w:r>
      <w:r>
        <w:t xml:space="preserve">sans remise en cause de l’ensemble. Par exemple, l’orchestrateur suit le protocole standard</w:t>
      </w:r>
      <w:r>
        <w:t xml:space="preserve"> </w:t>
      </w:r>
      <w:r>
        <w:rPr>
          <w:b/>
          <w:bCs/>
        </w:rPr>
        <w:t xml:space="preserve">MCP (Model-Context-Protocol)</w:t>
      </w:r>
      <w:r>
        <w:t xml:space="preserve"> </w:t>
      </w:r>
      <w:r>
        <w:t xml:space="preserve">proposé par Anthropic, qui sépare le modèle, le contexte et les actions de manière neutre</w:t>
      </w:r>
      <w:hyperlink r:id="rId38">
        <w:r>
          <w:rPr>
            <w:rStyle w:val="Hyperlink"/>
          </w:rPr>
          <w:t xml:space="preserve">[15]</w:t>
        </w:r>
      </w:hyperlink>
      <w:r>
        <w:t xml:space="preserve">. Cette approche évite tout</w:t>
      </w:r>
      <w:r>
        <w:t xml:space="preserve"> </w:t>
      </w:r>
      <w:r>
        <w:rPr>
          <w:b/>
          <w:bCs/>
        </w:rPr>
        <w:t xml:space="preserve">verrouillage propriétaire</w:t>
      </w:r>
      <w:r>
        <w:t xml:space="preserve"> : on peut brancher aujourd’hui un LLM externe via API, et demain le remplacer par un modèle open-source interne sans impacter le reste du produit. De même, chaque outil appelé par l’IA (accès base de données, calculs métier…) expose une interface normalisée, ce qui garantit l’interopérabilité future.</w:t>
      </w:r>
      <w:r>
        <w:t xml:space="preserve"> </w:t>
      </w:r>
      <w:r>
        <w:rPr>
          <w:b/>
          <w:bCs/>
        </w:rPr>
        <w:t xml:space="preserve">En clair, l’IA-native est bâtie sur des standards ouverts et une architecture flexible</w:t>
      </w:r>
      <w:r>
        <w:t xml:space="preserve">, pour évoluer avec les avancées du domaine et les contraintes (réglementaires ou clients) sans frictions.</w:t>
      </w:r>
    </w:p>
    <w:p>
      <w:pPr>
        <w:numPr>
          <w:ilvl w:val="0"/>
          <w:numId w:val="1003"/>
        </w:numPr>
      </w:pPr>
      <w:r>
        <w:rPr>
          <w:b/>
          <w:bCs/>
        </w:rPr>
        <w:t xml:space="preserve">Discipline de coût</w:t>
      </w:r>
      <w:r>
        <w:t xml:space="preserve"> </w:t>
      </w:r>
      <w:r>
        <w:t xml:space="preserve">–</w:t>
      </w:r>
      <w:r>
        <w:t xml:space="preserve"> </w:t>
      </w:r>
      <w:r>
        <w:rPr>
          <w:i/>
          <w:iCs/>
        </w:rPr>
        <w:t xml:space="preserve">L’intelligence artificielle déployée doit rester soutenable économiquement</w:t>
      </w:r>
      <w:r>
        <w:t xml:space="preserve">. Nous nous engageons à</w:t>
      </w:r>
      <w:r>
        <w:t xml:space="preserve"> </w:t>
      </w:r>
      <w:r>
        <w:rPr>
          <w:b/>
          <w:bCs/>
        </w:rPr>
        <w:t xml:space="preserve">optimiser en permanence le coût par tâche IA</w:t>
      </w:r>
      <w:r>
        <w:t xml:space="preserve">, que ce soit en termes de consommation d’API payante, de ressources serveurs ou de temps machine. Chaque usage de l’IA est monitoré avec des métriques de coût et de performance pour s’assurer d’un</w:t>
      </w:r>
      <w:r>
        <w:t xml:space="preserve"> </w:t>
      </w:r>
      <w:r>
        <w:rPr>
          <w:b/>
          <w:bCs/>
        </w:rPr>
        <w:t xml:space="preserve">ROI positif</w:t>
      </w:r>
      <w:hyperlink r:id="rId39">
        <w:r>
          <w:rPr>
            <w:rStyle w:val="Hyperlink"/>
          </w:rPr>
          <w:t xml:space="preserve">[16]</w:t>
        </w:r>
      </w:hyperlink>
      <w:r>
        <w:t xml:space="preserve">. Par exemple, on privilégie un modèle moins onéreux dès lors qu’il suffit pour une tâche donnée, ou on limite le volume de données envoyées en contexte pour réduire les tokens facturés. Des stratégies de cache ou de réutilisation des résultats sont mises en place pour éviter les appels redondants. Cet esprit de frugalité encadre le développement : pas d’IA « gadget » sans valeur ajoutée mesurable.</w:t>
      </w:r>
      <w:r>
        <w:t xml:space="preserve"> </w:t>
      </w:r>
      <w:r>
        <w:rPr>
          <w:b/>
          <w:bCs/>
        </w:rPr>
        <w:t xml:space="preserve">Chaque fonctionnalité IA doit justifier son coût par un gain effectif</w:t>
      </w:r>
      <w:r>
        <w:t xml:space="preserve"> </w:t>
      </w:r>
      <w:r>
        <w:t xml:space="preserve">(temps, qualité) et nous pilotons attentivement ces indicateurs pour maintenir la viabilité financière du produit.</w:t>
      </w:r>
    </w:p>
    <w:p>
      <w:pPr>
        <w:numPr>
          <w:ilvl w:val="0"/>
          <w:numId w:val="1003"/>
        </w:numPr>
      </w:pPr>
      <w:r>
        <w:rPr>
          <w:b/>
          <w:bCs/>
        </w:rPr>
        <w:t xml:space="preserve">Human-in-the-loop &amp; Contrôle humain</w:t>
      </w:r>
      <w:r>
        <w:t xml:space="preserve"> </w:t>
      </w:r>
      <w:r>
        <w:t xml:space="preserve">–</w:t>
      </w:r>
      <w:r>
        <w:t xml:space="preserve"> </w:t>
      </w:r>
      <w:r>
        <w:rPr>
          <w:i/>
          <w:iCs/>
        </w:rPr>
        <w:t xml:space="preserve">L’IA agit en support, pas en remplacement, et l’humain garde la main</w:t>
      </w:r>
      <w:r>
        <w:t xml:space="preserve">. À toutes les étapes critiques,</w:t>
      </w:r>
      <w:r>
        <w:t xml:space="preserve"> </w:t>
      </w:r>
      <w:r>
        <w:rPr>
          <w:b/>
          <w:bCs/>
        </w:rPr>
        <w:t xml:space="preserve">une intervention humaine est soit intégrée, soit possible à tout moment</w:t>
      </w:r>
      <w:r>
        <w:t xml:space="preserve">. Concrètement, cela veut dire que l’utilisateur final a toujours la capacité de vérifier, ajuster ou annuler une action suggérée par l’IA (workflow</w:t>
      </w:r>
      <w:r>
        <w:t xml:space="preserve"> </w:t>
      </w:r>
      <w:r>
        <w:rPr>
          <w:b/>
          <w:bCs/>
        </w:rPr>
        <w:t xml:space="preserve">conçu pour la collaboration</w:t>
      </w:r>
      <w:r>
        <w:t xml:space="preserve"> </w:t>
      </w:r>
      <w:r>
        <w:t xml:space="preserve">humain-IA)</w:t>
      </w:r>
      <w:hyperlink r:id="rId33">
        <w:r>
          <w:rPr>
            <w:rStyle w:val="Hyperlink"/>
          </w:rPr>
          <w:t xml:space="preserve">[11]</w:t>
        </w:r>
      </w:hyperlink>
      <w:r>
        <w:t xml:space="preserve">. Aucune décision stratégique ou fortement engageante n’est prise par l’algorithme seul. On intègre aussi des validations humaines dans le cycle de vie du système lui-même : par exemple les nouvelles règles métier induites par l’IA ou les apprentissages sont revus par des experts avant déploiement en production. Ce principe garantit que</w:t>
      </w:r>
      <w:r>
        <w:t xml:space="preserve"> </w:t>
      </w:r>
      <w:r>
        <w:rPr>
          <w:b/>
          <w:bCs/>
        </w:rPr>
        <w:t xml:space="preserve">l’IA amplifie le travail humain sans jamais le déposséder</w:t>
      </w:r>
      <w:r>
        <w:t xml:space="preserve">, et que la responsabilité finale reste toujours du côté humain – ce qui est non négociable dans notre secteur fiduciaire.</w:t>
      </w:r>
    </w:p>
    <w:p>
      <w:pPr>
        <w:numPr>
          <w:ilvl w:val="0"/>
          <w:numId w:val="1003"/>
        </w:numPr>
      </w:pPr>
      <w:r>
        <w:rPr>
          <w:b/>
          <w:bCs/>
        </w:rPr>
        <w:t xml:space="preserve">Privacy by Design (et sécurité intégrée)</w:t>
      </w:r>
      <w:r>
        <w:t xml:space="preserve"> </w:t>
      </w:r>
      <w:r>
        <w:t xml:space="preserve">–</w:t>
      </w:r>
      <w:r>
        <w:t xml:space="preserve"> </w:t>
      </w:r>
      <w:r>
        <w:rPr>
          <w:i/>
          <w:iCs/>
        </w:rPr>
        <w:t xml:space="preserve">La confidentialité des données clients est un postulat de base, non sacrifiable.</w:t>
      </w:r>
      <w:r>
        <w:t xml:space="preserve"> </w:t>
      </w:r>
      <w:r>
        <w:t xml:space="preserve">L’architecture IA-native implémente des garde-fous dès la conception pour</w:t>
      </w:r>
      <w:r>
        <w:t xml:space="preserve"> </w:t>
      </w:r>
      <w:r>
        <w:rPr>
          <w:b/>
          <w:bCs/>
        </w:rPr>
        <w:t xml:space="preserve">protéger les données sensibles</w:t>
      </w:r>
      <w:r>
        <w:t xml:space="preserve">. Par exemple, toute requête vers un modèle externe est expurgée des informations personnelles identifiantes ou chiffrée/anonymisée si nécessaire</w:t>
      </w:r>
      <w:hyperlink r:id="rId23">
        <w:r>
          <w:rPr>
            <w:rStyle w:val="Hyperlink"/>
          </w:rPr>
          <w:t xml:space="preserve">[3]</w:t>
        </w:r>
      </w:hyperlink>
      <w:r>
        <w:t xml:space="preserve">. De plus, l’IA ne travaille qu’avec les données du client courant en respectant l’isolation multi-tenant :</w:t>
      </w:r>
      <w:r>
        <w:t xml:space="preserve"> </w:t>
      </w:r>
      <w:r>
        <w:rPr>
          <w:b/>
          <w:bCs/>
        </w:rPr>
        <w:t xml:space="preserve">jamais elle ne mélange ou n’expose des données d’un client à un autre</w:t>
      </w:r>
      <w:hyperlink r:id="rId31">
        <w:r>
          <w:rPr>
            <w:rStyle w:val="Hyperlink"/>
          </w:rPr>
          <w:t xml:space="preserve">[9]</w:t>
        </w:r>
      </w:hyperlink>
      <w:r>
        <w:t xml:space="preserve">. Les principes classiques de</w:t>
      </w:r>
      <w:r>
        <w:t xml:space="preserve"> </w:t>
      </w:r>
      <w:r>
        <w:rPr>
          <w:i/>
          <w:iCs/>
        </w:rPr>
        <w:t xml:space="preserve">privacy by design</w:t>
      </w:r>
      <w:r>
        <w:t xml:space="preserve"> </w:t>
      </w:r>
      <w:r>
        <w:t xml:space="preserve">sont respectés dans l’UX également : le produit est transparent sur l’utilisation de l’IA et des données (le user sera informé quand une fonctionnalité IA utilise ses données, avec possibilité de consentement explicite), et l’utilisateur garde le contrôle sur ses données en pouvant par exemple exclure certains documents du champ de l’IA. La</w:t>
      </w:r>
      <w:r>
        <w:t xml:space="preserve"> </w:t>
      </w:r>
      <w:r>
        <w:rPr>
          <w:b/>
          <w:bCs/>
        </w:rPr>
        <w:t xml:space="preserve">sécurité</w:t>
      </w:r>
      <w:r>
        <w:t xml:space="preserve"> </w:t>
      </w:r>
      <w:r>
        <w:t xml:space="preserve">est renforcée à chaque étape : canaux chiffrés, authentification forte, journalisation des accès IA pour audit, etc. Ce principe se traduit par une</w:t>
      </w:r>
      <w:r>
        <w:t xml:space="preserve"> </w:t>
      </w:r>
      <w:r>
        <w:rPr>
          <w:b/>
          <w:bCs/>
        </w:rPr>
        <w:t xml:space="preserve">confiance utilisateur accrue</w:t>
      </w:r>
      <w:r>
        <w:t xml:space="preserve"> : la plateforme promet que l’intelligence artificielle, si puissante soit-elle, n’ira</w:t>
      </w:r>
      <w:r>
        <w:t xml:space="preserve"> </w:t>
      </w:r>
      <w:r>
        <w:rPr>
          <w:b/>
          <w:bCs/>
        </w:rPr>
        <w:t xml:space="preserve">jamais à l’encontre de la confidentialité et de la sécurité</w:t>
      </w:r>
      <w:r>
        <w:t xml:space="preserve"> </w:t>
      </w:r>
      <w:r>
        <w:t xml:space="preserve">qui font le socle de notre crédibilité</w:t>
      </w:r>
      <w:hyperlink r:id="rId40">
        <w:r>
          <w:rPr>
            <w:rStyle w:val="Hyperlink"/>
          </w:rPr>
          <w:t xml:space="preserve">[17]</w:t>
        </w:r>
      </w:hyperlink>
      <w:r>
        <w:t xml:space="preserve">.</w:t>
      </w:r>
    </w:p>
    <w:p>
      <w:pPr>
        <w:pStyle w:val="FirstParagraph"/>
      </w:pPr>
      <w:r>
        <w:rPr>
          <w:i/>
          <w:iCs/>
        </w:rPr>
        <w:t xml:space="preserve">(Chacun de ces principes est un garde-fou incontournable. Ils orientent toutes nos décisions produit/tech pour garantir que l’IA native soit synonyme de valeur et de fiabilité, en totale cohérence avec notre vision premium.)</w:t>
      </w:r>
    </w:p>
    <w:bookmarkEnd w:id="41"/>
    <w:bookmarkStart w:id="42" w:name="Xb5633053d6196dd26a114c6f06741696131d730"/>
    <w:p>
      <w:pPr>
        <w:pStyle w:val="Heading2"/>
      </w:pPr>
      <w:r>
        <w:t xml:space="preserve">5. Signatures IA – Mouvements différenciateurs du produit</w:t>
      </w:r>
    </w:p>
    <w:p>
      <w:pPr>
        <w:pStyle w:val="FirstParagraph"/>
      </w:pPr>
      <w:r>
        <w:t xml:space="preserve">Trois</w:t>
      </w:r>
      <w:r>
        <w:t xml:space="preserve"> </w:t>
      </w:r>
      <w:r>
        <w:rPr>
          <w:b/>
          <w:bCs/>
        </w:rPr>
        <w:t xml:space="preserve">caractéristiques singulières</w:t>
      </w:r>
      <w:r>
        <w:t xml:space="preserve"> </w:t>
      </w:r>
      <w:r>
        <w:t xml:space="preserve">incarnent la personnalité IA-native de la plateforme et la distinguent nettement des solutions concurrentes :</w:t>
      </w:r>
    </w:p>
    <w:p>
      <w:pPr>
        <w:numPr>
          <w:ilvl w:val="0"/>
          <w:numId w:val="1004"/>
        </w:numPr>
      </w:pPr>
      <w:r>
        <w:rPr>
          <w:b/>
          <w:bCs/>
        </w:rPr>
        <w:t xml:space="preserve">Co-pilote augmenté par les preuves (« AI with evidence »)</w:t>
      </w:r>
      <w:r>
        <w:t xml:space="preserve"> </w:t>
      </w:r>
      <w:r>
        <w:t xml:space="preserve">– Notre assistant IA se comporte comme un</w:t>
      </w:r>
      <w:r>
        <w:t xml:space="preserve"> </w:t>
      </w:r>
      <w:r>
        <w:rPr>
          <w:b/>
          <w:bCs/>
        </w:rPr>
        <w:t xml:space="preserve">véritable copilote doté de justificatifs</w:t>
      </w:r>
      <w:r>
        <w:t xml:space="preserve">. À la différence d’autres systèmes plus opaques, chaque réponse ou action proposée par notre IA s’accompagne d’</w:t>
      </w:r>
      <w:r>
        <w:rPr>
          <w:b/>
          <w:bCs/>
        </w:rPr>
        <w:t xml:space="preserve">éléments probants</w:t>
      </w:r>
      <w:r>
        <w:t xml:space="preserve"> : références de documents sources, calculs intermédiaires, liens vers les pièces justificatives, etc. Par exemple, si le copilote suggère un ajustement d’inventaire, il indiquera en annexe les lignes de stocks ou factures qui ont motivé cette suggestion. Cette</w:t>
      </w:r>
      <w:r>
        <w:t xml:space="preserve"> </w:t>
      </w:r>
      <w:r>
        <w:rPr>
          <w:b/>
          <w:bCs/>
        </w:rPr>
        <w:t xml:space="preserve">stratégie du copilote « avec preuves »</w:t>
      </w:r>
      <w:r>
        <w:t xml:space="preserve"> </w:t>
      </w:r>
      <w:r>
        <w:t xml:space="preserve">offre une transparence rassurante et accélère la validation par l’utilisateur (qui n’a pas à chercher lui-même pourquoi l’IA propose cela – les éléments sont fournis sur un plateau). C’est un move différenciant majeur : l’IA n’est pas juste « brillante », elle</w:t>
      </w:r>
      <w:r>
        <w:t xml:space="preserve"> </w:t>
      </w:r>
      <w:r>
        <w:rPr>
          <w:b/>
          <w:bCs/>
        </w:rPr>
        <w:t xml:space="preserve">apporte la preuve de ce qu’elle avance</w:t>
      </w:r>
      <w:r>
        <w:t xml:space="preserve">, ce qui la rend immédiatement plus crédible et utile au professionnel</w:t>
      </w:r>
      <w:hyperlink r:id="rId35">
        <w:r>
          <w:rPr>
            <w:rStyle w:val="Hyperlink"/>
          </w:rPr>
          <w:t xml:space="preserve">[12]</w:t>
        </w:r>
      </w:hyperlink>
      <w:r>
        <w:t xml:space="preserve">.</w:t>
      </w:r>
    </w:p>
    <w:p>
      <w:pPr>
        <w:numPr>
          <w:ilvl w:val="0"/>
          <w:numId w:val="1004"/>
        </w:numPr>
      </w:pPr>
      <w:r>
        <w:rPr>
          <w:b/>
          <w:bCs/>
        </w:rPr>
        <w:t xml:space="preserve">IA qui agit uniquement sous validation humaine</w:t>
      </w:r>
      <w:r>
        <w:t xml:space="preserve"> </w:t>
      </w:r>
      <w:r>
        <w:t xml:space="preserve">– Plutôt qu’une IA qui opère dans l’ombre ou prend des décisions unilatérales, nous avons délibérément conçu une IA</w:t>
      </w:r>
      <w:r>
        <w:t xml:space="preserve"> </w:t>
      </w:r>
      <w:r>
        <w:rPr>
          <w:b/>
          <w:bCs/>
        </w:rPr>
        <w:t xml:space="preserve">coopérative</w:t>
      </w:r>
      <w:r>
        <w:t xml:space="preserve">, toujours</w:t>
      </w:r>
      <w:r>
        <w:t xml:space="preserve"> </w:t>
      </w:r>
      <w:r>
        <w:rPr>
          <w:b/>
          <w:bCs/>
        </w:rPr>
        <w:t xml:space="preserve">supervisée par l’utilisateur final</w:t>
      </w:r>
      <w:r>
        <w:t xml:space="preserve">. Concrètement, cela se traduit par un fonctionnement de</w:t>
      </w:r>
      <w:r>
        <w:t xml:space="preserve"> </w:t>
      </w:r>
      <w:r>
        <w:rPr>
          <w:b/>
          <w:bCs/>
        </w:rPr>
        <w:t xml:space="preserve">« copilote actif sous contrôle »</w:t>
      </w:r>
      <w:r>
        <w:t xml:space="preserve"> : l’IA peut enclencher des actions (pré-remplir un formulaire, lancer une requête de recherche, préparer une écriture comptable), mais</w:t>
      </w:r>
      <w:r>
        <w:t xml:space="preserve"> </w:t>
      </w:r>
      <w:r>
        <w:rPr>
          <w:b/>
          <w:bCs/>
        </w:rPr>
        <w:t xml:space="preserve">ne finalise rien d’important sans l’aval explicite de l’utilisateur</w:t>
      </w:r>
      <w:hyperlink r:id="rId24">
        <w:r>
          <w:rPr>
            <w:rStyle w:val="Hyperlink"/>
          </w:rPr>
          <w:t xml:space="preserve">[4]</w:t>
        </w:r>
      </w:hyperlink>
      <w:r>
        <w:t xml:space="preserve">. Cette validation intégrée partout confère au produit un équilibre optimal entre automatisation et maîtrise. L’utilisateur sent que l’IA travaille pour lui,</w:t>
      </w:r>
      <w:r>
        <w:t xml:space="preserve"> </w:t>
      </w:r>
      <w:r>
        <w:rPr>
          <w:b/>
          <w:bCs/>
        </w:rPr>
        <w:t xml:space="preserve">pas à sa place</w:t>
      </w:r>
      <w:r>
        <w:t xml:space="preserve"> </w:t>
      </w:r>
      <w:r>
        <w:t xml:space="preserve">– il garde le sentiment de piloter le navire, avec un moteur intelligent en support. C’est un positionnement unique par rapport à d’autres outils IA soit trop passifs (simple Q/R) soit trop autonomes (boîte noire risquée). Ici, le duo humain-IA est orchestré finement, l’IA exécutant 90% de l’effort mais</w:t>
      </w:r>
      <w:r>
        <w:t xml:space="preserve"> </w:t>
      </w:r>
      <w:r>
        <w:rPr>
          <w:b/>
          <w:bCs/>
        </w:rPr>
        <w:t xml:space="preserve">l’humain gardant 100% du contrôle</w:t>
      </w:r>
      <w:r>
        <w:t xml:space="preserve">. Ce modèle renforce la confiance et permet une adoption fluide, car le professionnel sait qu’aucune initiative de l’IA ne le court-circuite :</w:t>
      </w:r>
      <w:r>
        <w:t xml:space="preserve"> </w:t>
      </w:r>
      <w:r>
        <w:rPr>
          <w:b/>
          <w:bCs/>
        </w:rPr>
        <w:t xml:space="preserve">il reste le décideur ultime en toutes circonstances</w:t>
      </w:r>
      <w:r>
        <w:t xml:space="preserve">.</w:t>
      </w:r>
    </w:p>
    <w:p>
      <w:pPr>
        <w:numPr>
          <w:ilvl w:val="0"/>
          <w:numId w:val="1004"/>
        </w:numPr>
      </w:pPr>
      <w:r>
        <w:rPr>
          <w:b/>
          <w:bCs/>
        </w:rPr>
        <w:t xml:space="preserve">Boucle d’apprentissage supervisée continue</w:t>
      </w:r>
      <w:r>
        <w:t xml:space="preserve"> </w:t>
      </w:r>
      <w:r>
        <w:t xml:space="preserve">– La plateforme intègre une</w:t>
      </w:r>
      <w:r>
        <w:t xml:space="preserve"> </w:t>
      </w:r>
      <w:r>
        <w:rPr>
          <w:b/>
          <w:bCs/>
        </w:rPr>
        <w:t xml:space="preserve">dynamique d’amélioration continue</w:t>
      </w:r>
      <w:r>
        <w:t xml:space="preserve"> </w:t>
      </w:r>
      <w:r>
        <w:t xml:space="preserve">de ses capacités IA grâce aux interactions avec les utilisateurs (</w:t>
      </w:r>
      <w:r>
        <w:rPr>
          <w:i/>
          <w:iCs/>
        </w:rPr>
        <w:t xml:space="preserve">learning loop</w:t>
      </w:r>
      <w:r>
        <w:t xml:space="preserve">). Chaque validation, chaque correction ou ajustement apporté par un humain est exploité pour</w:t>
      </w:r>
      <w:r>
        <w:t xml:space="preserve"> </w:t>
      </w:r>
      <w:r>
        <w:rPr>
          <w:b/>
          <w:bCs/>
        </w:rPr>
        <w:t xml:space="preserve">faire progresser le système de façon supervisée</w:t>
      </w:r>
      <w:r>
        <w:t xml:space="preserve">. Par exemple, si l’utilisateur rectifie la classification d’une transaction que l’IA avait mal catégorisée, cette correction est enregistrée et</w:t>
      </w:r>
      <w:r>
        <w:t xml:space="preserve"> </w:t>
      </w:r>
      <w:r>
        <w:rPr>
          <w:b/>
          <w:bCs/>
        </w:rPr>
        <w:t xml:space="preserve">sert de leçon</w:t>
      </w:r>
      <w:r>
        <w:t xml:space="preserve"> </w:t>
      </w:r>
      <w:r>
        <w:t xml:space="preserve">à l’algorithme (via des ajustements du modèle ou des règles) pour éviter l’erreur à l’avenir. De même, les retours des utilisateurs (feedback explicite ou implicite) sont intégrés afin d’</w:t>
      </w:r>
      <w:r>
        <w:rPr>
          <w:b/>
          <w:bCs/>
        </w:rPr>
        <w:t xml:space="preserve">affiner les réponses</w:t>
      </w:r>
      <w:r>
        <w:t xml:space="preserve"> </w:t>
      </w:r>
      <w:r>
        <w:t xml:space="preserve">et prioriser les améliorations. Cette</w:t>
      </w:r>
      <w:r>
        <w:t xml:space="preserve"> </w:t>
      </w:r>
      <w:r>
        <w:rPr>
          <w:b/>
          <w:bCs/>
        </w:rPr>
        <w:t xml:space="preserve">boucle vertueuse</w:t>
      </w:r>
      <w:r>
        <w:t xml:space="preserve"> </w:t>
      </w:r>
      <w:r>
        <w:t xml:space="preserve">– collecte de feedback -&gt; ajustement du modèle ou du knowledge base -&gt; amélioration du service – est hautement différenciante car elle signifie que notre IA</w:t>
      </w:r>
      <w:r>
        <w:t xml:space="preserve"> </w:t>
      </w:r>
      <w:r>
        <w:rPr>
          <w:b/>
          <w:bCs/>
        </w:rPr>
        <w:t xml:space="preserve">devient chaque jour un peu plus pertinente</w:t>
      </w:r>
      <w:r>
        <w:t xml:space="preserve"> </w:t>
      </w:r>
      <w:r>
        <w:t xml:space="preserve">dans le contexte métier spécifique de nos clients. Le tout s’opère de façon</w:t>
      </w:r>
      <w:r>
        <w:t xml:space="preserve"> </w:t>
      </w:r>
      <w:r>
        <w:rPr>
          <w:i/>
          <w:iCs/>
        </w:rPr>
        <w:t xml:space="preserve">supervisée</w:t>
      </w:r>
      <w:r>
        <w:t xml:space="preserve"> </w:t>
      </w:r>
      <w:r>
        <w:t xml:space="preserve">et prudente : pas de machine qui évolue de manière incontrôlée, mais un apprentissage progressif validé par nos experts (pour garantir que toute évolution maintient voire augmente le niveau de qualité et de conformité attendu). Au final, cela donne un produit</w:t>
      </w:r>
      <w:r>
        <w:t xml:space="preserve"> </w:t>
      </w:r>
      <w:r>
        <w:rPr>
          <w:b/>
          <w:bCs/>
        </w:rPr>
        <w:t xml:space="preserve">vivant, qui s’adapte</w:t>
      </w:r>
      <w:r>
        <w:t xml:space="preserve"> </w:t>
      </w:r>
      <w:r>
        <w:t xml:space="preserve">de mieux en mieux aux spécificités des utilisateurs, créant ainsi une valeur cumulative et une longueur d’avance qui ne fait que grandir.</w:t>
      </w:r>
    </w:p>
    <w:bookmarkEnd w:id="42"/>
    <w:bookmarkStart w:id="43" w:name="X22b1f9534c631675962c653874c9b506aa8baee"/>
    <w:p>
      <w:pPr>
        <w:pStyle w:val="Heading2"/>
      </w:pPr>
      <w:r>
        <w:t xml:space="preserve">6. Mesures de succès IA – KPIs pour évaluer l’impact</w:t>
      </w:r>
    </w:p>
    <w:p>
      <w:pPr>
        <w:pStyle w:val="FirstParagraph"/>
      </w:pPr>
      <w:r>
        <w:t xml:space="preserve">Nous définirons</w:t>
      </w:r>
      <w:r>
        <w:t xml:space="preserve"> </w:t>
      </w:r>
      <w:r>
        <w:rPr>
          <w:b/>
          <w:bCs/>
        </w:rPr>
        <w:t xml:space="preserve">3 à 5 indicateurs clés de performance</w:t>
      </w:r>
      <w:r>
        <w:t xml:space="preserve"> </w:t>
      </w:r>
      <w:r>
        <w:t xml:space="preserve">pour suivre l’efficacité et l’adoption de l’IA au sein de la plateforme :</w:t>
      </w:r>
    </w:p>
    <w:p>
      <w:pPr>
        <w:pStyle w:val="Compact"/>
        <w:numPr>
          <w:ilvl w:val="0"/>
          <w:numId w:val="1005"/>
        </w:numPr>
      </w:pPr>
      <w:r>
        <w:rPr>
          <w:b/>
          <w:bCs/>
        </w:rPr>
        <w:t xml:space="preserve">Taux d’adoption de l’IA par les utilisateurs</w:t>
      </w:r>
      <w:r>
        <w:t xml:space="preserve"> </w:t>
      </w:r>
      <w:r>
        <w:t xml:space="preserve">– Pourcentage d’utilisateurs actifs tirant parti des fonctionnalités IA au quotidien. On mesurera par exemple le</w:t>
      </w:r>
      <w:r>
        <w:t xml:space="preserve"> </w:t>
      </w:r>
      <w:r>
        <w:rPr>
          <w:b/>
          <w:bCs/>
        </w:rPr>
        <w:t xml:space="preserve">nombre de sessions ou d’actions</w:t>
      </w:r>
      <w:r>
        <w:t xml:space="preserve"> </w:t>
      </w:r>
      <w:r>
        <w:t xml:space="preserve">où le copilote est utilisé, ou la proportion de dossiers traités avec assistance IA. Un taux élevé signifiera que l’IA est perçue comme utile et intégrée dans la routine de travail (objectif : que l’IA devienne un réflexe naturel pour les utilisateurs).</w:t>
      </w:r>
    </w:p>
    <w:p>
      <w:pPr>
        <w:pStyle w:val="Compact"/>
        <w:numPr>
          <w:ilvl w:val="0"/>
          <w:numId w:val="1005"/>
        </w:numPr>
      </w:pPr>
      <w:r>
        <w:rPr>
          <w:b/>
          <w:bCs/>
        </w:rPr>
        <w:t xml:space="preserve">Gain de temps moyen par tâche</w:t>
      </w:r>
      <w:r>
        <w:t xml:space="preserve"> </w:t>
      </w:r>
      <w:r>
        <w:t xml:space="preserve">– Réduction concrète du temps passé sur les tâches grâce à l’IA. On chronomètrera des cas types (préparation d’un rapport, traitement d’une anomalie) avec et sans IA, et on suivra l’</w:t>
      </w:r>
      <w:r>
        <w:rPr>
          <w:b/>
          <w:bCs/>
        </w:rPr>
        <w:t xml:space="preserve">amélioration en pourcentage</w:t>
      </w:r>
      <w:r>
        <w:t xml:space="preserve">. Par exemple, si la préparation d’un bilan mensuel prend 30% de temps en moins via l’IA, c’est un succès. Ce KPI reflète directement l’augmentation de productivité offerte.</w:t>
      </w:r>
    </w:p>
    <w:p>
      <w:pPr>
        <w:pStyle w:val="Compact"/>
        <w:numPr>
          <w:ilvl w:val="0"/>
          <w:numId w:val="1005"/>
        </w:numPr>
      </w:pPr>
      <w:r>
        <w:rPr>
          <w:b/>
          <w:bCs/>
        </w:rPr>
        <w:t xml:space="preserve">Qualité et fiabilité des réponses IA</w:t>
      </w:r>
      <w:r>
        <w:t xml:space="preserve"> </w:t>
      </w:r>
      <w:r>
        <w:t xml:space="preserve">– Indicateurs de précision des résultats fournis par l’IA. On peut suivre le</w:t>
      </w:r>
      <w:r>
        <w:t xml:space="preserve"> </w:t>
      </w:r>
      <w:r>
        <w:rPr>
          <w:b/>
          <w:bCs/>
        </w:rPr>
        <w:t xml:space="preserve">taux de correction</w:t>
      </w:r>
      <w:r>
        <w:t xml:space="preserve"> </w:t>
      </w:r>
      <w:r>
        <w:t xml:space="preserve">apporté par les humains (combien de suggestions de l’IA sont acceptées telles quelles vs modifiées), ou utiliser des évaluations qualitatives (notes de satisfaction, audits de conformité des réponses). L’objectif est un</w:t>
      </w:r>
      <w:r>
        <w:t xml:space="preserve"> </w:t>
      </w:r>
      <w:r>
        <w:rPr>
          <w:b/>
          <w:bCs/>
        </w:rPr>
        <w:t xml:space="preserve">taux d’erreur minimal</w:t>
      </w:r>
      <w:r>
        <w:t xml:space="preserve"> </w:t>
      </w:r>
      <w:r>
        <w:t xml:space="preserve">et une amélioration continue de la pertinence. Une IA réussie doit apporter des réponses de haute qualité, comparables à l’expertise humaine, sans hallucinations ni manquements majeurs.</w:t>
      </w:r>
    </w:p>
    <w:p>
      <w:pPr>
        <w:pStyle w:val="Compact"/>
        <w:numPr>
          <w:ilvl w:val="0"/>
          <w:numId w:val="1005"/>
        </w:numPr>
      </w:pPr>
      <w:r>
        <w:rPr>
          <w:b/>
          <w:bCs/>
        </w:rPr>
        <w:t xml:space="preserve">Coût par action IA &amp; efficience</w:t>
      </w:r>
      <w:r>
        <w:t xml:space="preserve"> </w:t>
      </w:r>
      <w:r>
        <w:t xml:space="preserve">– On monitorera le</w:t>
      </w:r>
      <w:r>
        <w:t xml:space="preserve"> </w:t>
      </w:r>
      <w:r>
        <w:rPr>
          <w:b/>
          <w:bCs/>
        </w:rPr>
        <w:t xml:space="preserve">coût variable associé aux fonctionnalités IA</w:t>
      </w:r>
      <w:r>
        <w:t xml:space="preserve"> </w:t>
      </w:r>
      <w:r>
        <w:t xml:space="preserve">(coût des appels de modèle, infrastructure) rapporté au nombre d’actions ou au temps économisé. Cela permettra de garder le</w:t>
      </w:r>
      <w:r>
        <w:t xml:space="preserve"> </w:t>
      </w:r>
      <w:r>
        <w:rPr>
          <w:b/>
          <w:bCs/>
        </w:rPr>
        <w:t xml:space="preserve">ROI financier</w:t>
      </w:r>
      <w:r>
        <w:t xml:space="preserve"> </w:t>
      </w:r>
      <w:r>
        <w:t xml:space="preserve">sous contrôle. Par exemple, X centimes par requête de chatbot, à comparer avec le temps humain économisé. L’idéal est de réduire ce coût unitaire au fil du temps (optimisation des prompts, utilisation de modèles moins chers si possible) pour maximiser la viabilité économique.</w:t>
      </w:r>
    </w:p>
    <w:p>
      <w:pPr>
        <w:pStyle w:val="Compact"/>
        <w:numPr>
          <w:ilvl w:val="0"/>
          <w:numId w:val="1005"/>
        </w:numPr>
      </w:pPr>
      <w:r>
        <w:rPr>
          <w:b/>
          <w:bCs/>
        </w:rPr>
        <w:t xml:space="preserve">Latence et temps de réponse</w:t>
      </w:r>
      <w:r>
        <w:t xml:space="preserve"> </w:t>
      </w:r>
      <w:r>
        <w:t xml:space="preserve">– La</w:t>
      </w:r>
      <w:r>
        <w:t xml:space="preserve"> </w:t>
      </w:r>
      <w:r>
        <w:rPr>
          <w:b/>
          <w:bCs/>
        </w:rPr>
        <w:t xml:space="preserve">vitesse de l’IA</w:t>
      </w:r>
      <w:r>
        <w:t xml:space="preserve"> </w:t>
      </w:r>
      <w:r>
        <w:t xml:space="preserve">sera un KPI d’expérience utilisateur critique. On mesurera le temps moyen de réponse de l’assistant sur différents cas d’usage, avec un objectif de maintenir un temps de latence suffisamment bas (quelques secondes tout au plus) pour ne pas ralentir l’utilisateur. Un temps de réponse rapide est essentiel pour l’adoption : si l’IA répond instantanément ou en tout cas plus vite qu’une recherche manuelle, elle sera perçue positivement. Ce KPI technique sera suivi de près et optimisé (via caching, requêtes asynchrones, etc.) pour garantir la fluidité de l’UX.</w:t>
      </w:r>
    </w:p>
    <w:p>
      <w:pPr>
        <w:pStyle w:val="FirstParagraph"/>
      </w:pPr>
      <w:r>
        <w:rPr>
          <w:i/>
          <w:iCs/>
        </w:rPr>
        <w:t xml:space="preserve">(En pilotant ces KPIs –</w:t>
      </w:r>
      <w:r>
        <w:t xml:space="preserve"> </w:t>
      </w:r>
      <w:r>
        <w:rPr>
          <w:i/>
          <w:iCs/>
        </w:rPr>
        <w:t xml:space="preserve">Adoption,</w:t>
      </w:r>
      <w:r>
        <w:t xml:space="preserve"> </w:t>
      </w:r>
      <w:r>
        <w:rPr>
          <w:i/>
          <w:iCs/>
        </w:rPr>
        <w:t xml:space="preserve">Gain de temps,</w:t>
      </w:r>
      <w:r>
        <w:t xml:space="preserve"> </w:t>
      </w:r>
      <w:r>
        <w:rPr>
          <w:i/>
          <w:iCs/>
        </w:rPr>
        <w:t xml:space="preserve">Qualité,</w:t>
      </w:r>
      <w:r>
        <w:t xml:space="preserve"> </w:t>
      </w:r>
      <w:r>
        <w:rPr>
          <w:i/>
          <w:iCs/>
        </w:rPr>
        <w:t xml:space="preserve">Coûts,</w:t>
      </w:r>
      <w:r>
        <w:t xml:space="preserve"> </w:t>
      </w:r>
      <w:r>
        <w:rPr>
          <w:i/>
          <w:iCs/>
        </w:rPr>
        <w:t xml:space="preserve">Latence</w:t>
      </w:r>
      <w:r>
        <w:t xml:space="preserve"> </w:t>
      </w:r>
      <w:r>
        <w:rPr>
          <w:i/>
          <w:iCs/>
        </w:rPr>
        <w:t xml:space="preserve">– nous pourrons quantifier l’impact de l’IA et ajuster en continu notre approche afin d’atteindre les objectifs stratégiques. Le COMEX recevra régulièrement un reporting sur ces indicateurs pour suivre la création de valeur liée à l’IA.)</w:t>
      </w:r>
    </w:p>
    <w:bookmarkEnd w:id="43"/>
    <w:bookmarkStart w:id="45" w:name="Xc241b72677c4952cc68041fb898ba798b363532"/>
    <w:p>
      <w:pPr>
        <w:pStyle w:val="Heading2"/>
      </w:pPr>
      <w:r>
        <w:t xml:space="preserve">7. Trade-offs assumés – Arbitrages structurants</w:t>
      </w:r>
    </w:p>
    <w:p>
      <w:pPr>
        <w:pStyle w:val="FirstParagraph"/>
      </w:pPr>
      <w:r>
        <w:t xml:space="preserve">Dans cette vision IA-native, nous avons sciemment tranché certains</w:t>
      </w:r>
      <w:r>
        <w:t xml:space="preserve"> </w:t>
      </w:r>
      <w:r>
        <w:rPr>
          <w:b/>
          <w:bCs/>
        </w:rPr>
        <w:t xml:space="preserve">arbitrages difficiles</w:t>
      </w:r>
      <w:r>
        <w:t xml:space="preserve"> </w:t>
      </w:r>
      <w:r>
        <w:t xml:space="preserve">pour rester fidèles à nos priorités (confiance, performance, évolutivité) :</w:t>
      </w:r>
    </w:p>
    <w:p>
      <w:pPr>
        <w:numPr>
          <w:ilvl w:val="0"/>
          <w:numId w:val="1006"/>
        </w:numPr>
      </w:pPr>
      <w:r>
        <w:rPr>
          <w:b/>
          <w:bCs/>
        </w:rPr>
        <w:t xml:space="preserve">Autonomie de l’IA vs. Contrôle humain</w:t>
      </w:r>
      <w:r>
        <w:t xml:space="preserve"> </w:t>
      </w:r>
      <w:r>
        <w:t xml:space="preserve">– Nous avons</w:t>
      </w:r>
      <w:r>
        <w:t xml:space="preserve"> </w:t>
      </w:r>
      <w:r>
        <w:rPr>
          <w:b/>
          <w:bCs/>
        </w:rPr>
        <w:t xml:space="preserve">favorisé le contrôle</w:t>
      </w:r>
      <w:r>
        <w:t xml:space="preserve"> </w:t>
      </w:r>
      <w:r>
        <w:t xml:space="preserve">au détriment d’une autonomie totale de l’IA. Ce choix signifie que l’IA ne sera jamais complètement « libre » d’agir sans validation, même si cela limite un peu son automation potentielle. C’est un</w:t>
      </w:r>
      <w:r>
        <w:t xml:space="preserve"> </w:t>
      </w:r>
      <w:r>
        <w:rPr>
          <w:b/>
          <w:bCs/>
        </w:rPr>
        <w:t xml:space="preserve">trade-off assumé</w:t>
      </w:r>
      <w:r>
        <w:t xml:space="preserve"> : dans notre domaine, la</w:t>
      </w:r>
      <w:r>
        <w:t xml:space="preserve"> </w:t>
      </w:r>
      <w:r>
        <w:rPr>
          <w:b/>
          <w:bCs/>
        </w:rPr>
        <w:t xml:space="preserve">fiabilité et la responsabilité</w:t>
      </w:r>
      <w:r>
        <w:t xml:space="preserve"> </w:t>
      </w:r>
      <w:r>
        <w:t xml:space="preserve">priment sur l’hyper-automatisation. En optant pour une IA sous supervision, on accepte de renoncer à certains gains marginaux de productivité pure, mais on</w:t>
      </w:r>
      <w:r>
        <w:t xml:space="preserve"> </w:t>
      </w:r>
      <w:r>
        <w:rPr>
          <w:b/>
          <w:bCs/>
        </w:rPr>
        <w:t xml:space="preserve">gagne la confiance</w:t>
      </w:r>
      <w:r>
        <w:t xml:space="preserve"> </w:t>
      </w:r>
      <w:r>
        <w:t xml:space="preserve">des utilisateurs et on évite des erreurs coûteuses. Ce compromis entre</w:t>
      </w:r>
      <w:r>
        <w:t xml:space="preserve"> </w:t>
      </w:r>
      <w:r>
        <w:rPr>
          <w:i/>
          <w:iCs/>
        </w:rPr>
        <w:t xml:space="preserve">“laisser-faire automatique”</w:t>
      </w:r>
      <w:r>
        <w:t xml:space="preserve"> </w:t>
      </w:r>
      <w:r>
        <w:t xml:space="preserve">et</w:t>
      </w:r>
      <w:r>
        <w:t xml:space="preserve"> </w:t>
      </w:r>
      <w:r>
        <w:rPr>
          <w:i/>
          <w:iCs/>
        </w:rPr>
        <w:t xml:space="preserve">“garde-fou humain”</w:t>
      </w:r>
      <w:r>
        <w:t xml:space="preserve"> </w:t>
      </w:r>
      <w:r>
        <w:t xml:space="preserve">est au cœur de notre philosophie produit</w:t>
      </w:r>
      <w:hyperlink r:id="rId24">
        <w:r>
          <w:rPr>
            <w:rStyle w:val="Hyperlink"/>
          </w:rPr>
          <w:t xml:space="preserve">[4]</w:t>
        </w:r>
      </w:hyperlink>
      <w:r>
        <w:t xml:space="preserve">.</w:t>
      </w:r>
    </w:p>
    <w:p>
      <w:pPr>
        <w:numPr>
          <w:ilvl w:val="0"/>
          <w:numId w:val="1006"/>
        </w:numPr>
      </w:pPr>
      <w:r>
        <w:rPr>
          <w:b/>
          <w:bCs/>
        </w:rPr>
        <w:t xml:space="preserve">Souveraineté des données vs. Puissance des modèles externes</w:t>
      </w:r>
      <w:r>
        <w:t xml:space="preserve"> </w:t>
      </w:r>
      <w:r>
        <w:t xml:space="preserve">– Un autre arbitrage clé concerne l’</w:t>
      </w:r>
      <w:r>
        <w:rPr>
          <w:b/>
          <w:bCs/>
        </w:rPr>
        <w:t xml:space="preserve">hébergement de l’IA et l’utilisation des modèles cloud</w:t>
      </w:r>
      <w:r>
        <w:t xml:space="preserve">. Nous privilégions une approche</w:t>
      </w:r>
      <w:r>
        <w:t xml:space="preserve"> </w:t>
      </w:r>
      <w:r>
        <w:rPr>
          <w:b/>
          <w:bCs/>
        </w:rPr>
        <w:t xml:space="preserve">souveraine et sécurisée des données</w:t>
      </w:r>
      <w:r>
        <w:t xml:space="preserve">, en évitant d’exposer des informations sensibles à des services externes non-maîtrisés, même si cela peut parfois nous priver des tous derniers modèles les plus puissants du marché. Par exemple, pour certains traitements, nous pourrions utiliser un modèle open-source hébergé en interne plutôt qu’un API tierce d’OpenAI, afin de</w:t>
      </w:r>
      <w:r>
        <w:t xml:space="preserve"> </w:t>
      </w:r>
      <w:r>
        <w:rPr>
          <w:b/>
          <w:bCs/>
        </w:rPr>
        <w:t xml:space="preserve">garantir la confidentialité</w:t>
      </w:r>
      <w:r>
        <w:t xml:space="preserve"> </w:t>
      </w:r>
      <w:r>
        <w:t xml:space="preserve">(quitte à avoir une performance légèrement moindre ou un effort d’optimisation supplémentaire). Ce choix</w:t>
      </w:r>
      <w:r>
        <w:t xml:space="preserve"> </w:t>
      </w:r>
      <w:r>
        <w:rPr>
          <w:b/>
          <w:bCs/>
        </w:rPr>
        <w:t xml:space="preserve">souveraineté vs. scalabilité</w:t>
      </w:r>
      <w:r>
        <w:t xml:space="preserve"> </w:t>
      </w:r>
      <w:r>
        <w:t xml:space="preserve">est assumé : nous estimons que nos clients et le contexte réglementaire exigent une</w:t>
      </w:r>
      <w:r>
        <w:t xml:space="preserve"> </w:t>
      </w:r>
      <w:r>
        <w:rPr>
          <w:b/>
          <w:bCs/>
        </w:rPr>
        <w:t xml:space="preserve">maîtrise de bout en bout</w:t>
      </w:r>
      <w:r>
        <w:t xml:space="preserve"> </w:t>
      </w:r>
      <w:r>
        <w:t xml:space="preserve">de la chaîne de traitement IA. Cela n’exclut pas d’exploiter les avancées des grands modèles, mais toujours en trouvant un équilibre (anonymisation des données envoyées, modèles custom entraînés sur nos serveurs…)</w:t>
      </w:r>
      <w:hyperlink r:id="rId23">
        <w:r>
          <w:rPr>
            <w:rStyle w:val="Hyperlink"/>
          </w:rPr>
          <w:t xml:space="preserve">[3]</w:t>
        </w:r>
      </w:hyperlink>
      <w:r>
        <w:t xml:space="preserve">. En résumé,</w:t>
      </w:r>
      <w:r>
        <w:t xml:space="preserve"> </w:t>
      </w:r>
      <w:r>
        <w:rPr>
          <w:b/>
          <w:bCs/>
        </w:rPr>
        <w:t xml:space="preserve">nous sacrifierons de la commodité technique si nécessaire, au bénéfice de la sécurité et de l’éthique des données</w:t>
      </w:r>
      <w:r>
        <w:t xml:space="preserve">.</w:t>
      </w:r>
    </w:p>
    <w:p>
      <w:pPr>
        <w:numPr>
          <w:ilvl w:val="0"/>
          <w:numId w:val="1006"/>
        </w:numPr>
      </w:pPr>
      <w:r>
        <w:rPr>
          <w:b/>
          <w:bCs/>
        </w:rPr>
        <w:t xml:space="preserve">Généricité du modèle vs. Spécificité métier &amp; règles codifiées</w:t>
      </w:r>
      <w:r>
        <w:t xml:space="preserve"> </w:t>
      </w:r>
      <w:r>
        <w:t xml:space="preserve">– Nous avons décidé de</w:t>
      </w:r>
      <w:r>
        <w:t xml:space="preserve"> </w:t>
      </w:r>
      <w:r>
        <w:rPr>
          <w:b/>
          <w:bCs/>
        </w:rPr>
        <w:t xml:space="preserve">ne pas nous reposer aveuglément sur un modèle générique</w:t>
      </w:r>
      <w:r>
        <w:t xml:space="preserve"> </w:t>
      </w:r>
      <w:r>
        <w:t xml:space="preserve">pour tout faire, et d’investir dans l’intégration de nos règles métier spécifiques. Ce trade-off signifie qu’au lieu d’utiliser l’IA comme un oracle qu’on croit sur parole, on</w:t>
      </w:r>
      <w:r>
        <w:t xml:space="preserve"> </w:t>
      </w:r>
      <w:r>
        <w:rPr>
          <w:b/>
          <w:bCs/>
        </w:rPr>
        <w:t xml:space="preserve">l’encadre avec des invariants métiers codés en dur</w:t>
      </w:r>
      <w:r>
        <w:t xml:space="preserve"> </w:t>
      </w:r>
      <w:r>
        <w:t xml:space="preserve">(règles comptables, contraintes légales, formats stricts). Cela peut limiter légèrement la “créativité” du modèle ou nécessiter du développement pour implémenter ces contrôles, mais c’est un arbitrage pour la fiabilité. Par exemple, on impose la règle que</w:t>
      </w:r>
      <w:r>
        <w:t xml:space="preserve"> </w:t>
      </w:r>
      <w:r>
        <w:rPr>
          <w:i/>
          <w:iCs/>
        </w:rPr>
        <w:t xml:space="preserve">« l’actif doit toujours égaler le passif »</w:t>
      </w:r>
      <w:r>
        <w:t xml:space="preserve"> </w:t>
      </w:r>
      <w:r>
        <w:t xml:space="preserve">dans un bilan proposé par l’IA,</w:t>
      </w:r>
      <w:r>
        <w:t xml:space="preserve"> </w:t>
      </w:r>
      <w:r>
        <w:rPr>
          <w:b/>
          <w:bCs/>
        </w:rPr>
        <w:t xml:space="preserve">quitte à rejeter la réponse du modèle si ce n’est pas respecté</w:t>
      </w:r>
      <w:hyperlink r:id="rId32">
        <w:r>
          <w:rPr>
            <w:rStyle w:val="Hyperlink"/>
          </w:rPr>
          <w:t xml:space="preserve">[10]</w:t>
        </w:r>
      </w:hyperlink>
      <w:hyperlink r:id="rId44">
        <w:r>
          <w:rPr>
            <w:rStyle w:val="Hyperlink"/>
          </w:rPr>
          <w:t xml:space="preserve">[18]</w:t>
        </w:r>
      </w:hyperlink>
      <w:r>
        <w:t xml:space="preserve">. Ce choix garantit une</w:t>
      </w:r>
      <w:r>
        <w:t xml:space="preserve"> </w:t>
      </w:r>
      <w:r>
        <w:rPr>
          <w:b/>
          <w:bCs/>
        </w:rPr>
        <w:t xml:space="preserve">qualité métier irréprochable</w:t>
      </w:r>
      <w:r>
        <w:t xml:space="preserve">, au prix d’une complexité supplémentaire dans l’orchestration. Nous l’assumons car dans le secteur fiduciaire, l’exactitude prime sur l’originalité. En un mot, on préfère une IA un peu conservatrice mais toujours juste, plutôt qu’une IA trop générale qui pourrait commettre des impairs dans notre contexte.</w:t>
      </w:r>
    </w:p>
    <w:p>
      <w:pPr>
        <w:pStyle w:val="FirstParagraph"/>
      </w:pPr>
      <w:r>
        <w:rPr>
          <w:i/>
          <w:iCs/>
        </w:rPr>
        <w:t xml:space="preserve">(Ces trade-offs forment notre ligne de crête stratégique. En les rendant explicites, le COMEX et les équipes comprennent que chaque décision – de l’architecture aux fonctionnalités – répond à une volonté d’équilibre</w:t>
      </w:r>
      <w:r>
        <w:t xml:space="preserve"> </w:t>
      </w:r>
      <w:r>
        <w:rPr>
          <w:i/>
          <w:iCs/>
        </w:rPr>
        <w:t xml:space="preserve">entre innovation et prudence, entre performance et confiance. C’est cette cohérence dans les choix qui permettra à la plateforme IA-native de s’imposer durablement comme une référence alliant</w:t>
      </w:r>
      <w:r>
        <w:t xml:space="preserve"> </w:t>
      </w:r>
      <w:r>
        <w:rPr>
          <w:i/>
          <w:iCs/>
        </w:rPr>
        <w:t xml:space="preserve">intelligence artificielle</w:t>
      </w:r>
      <w:r>
        <w:t xml:space="preserve"> </w:t>
      </w:r>
      <w:r>
        <w:rPr>
          <w:i/>
          <w:iCs/>
        </w:rPr>
        <w:t xml:space="preserve">et</w:t>
      </w:r>
      <w:r>
        <w:t xml:space="preserve"> </w:t>
      </w:r>
      <w:r>
        <w:rPr>
          <w:i/>
          <w:iCs/>
        </w:rPr>
        <w:t xml:space="preserve">excellence fiduciaire.)</w:t>
      </w:r>
    </w:p>
    <w:bookmarkEnd w:id="45"/>
    <w:bookmarkEnd w:id="46"/>
    <w:bookmarkEnd w:id="47"/>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40">
        <w:r>
          <w:rPr>
            <w:rStyle w:val="Hyperlink"/>
          </w:rPr>
          <w:t xml:space="preserve">[17]</w:t>
        </w:r>
      </w:hyperlink>
      <w:r>
        <w:t xml:space="preserve"> </w:t>
      </w:r>
      <w:r>
        <w:t xml:space="preserve">Vision UX - Experience utilisateur-19.12.2025.docx</w:t>
      </w:r>
    </w:p>
    <w:p>
      <w:pPr>
        <w:pStyle w:val="BodyText"/>
      </w:pPr>
      <w:hyperlink r:id="rId48">
        <w:r>
          <w:rPr>
            <w:rStyle w:val="Hyperlink"/>
          </w:rPr>
          <w:t xml:space="preserve">file://file_00000000b3f4720a92dcfddf8d0b813f</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7">
        <w:r>
          <w:rPr>
            <w:rStyle w:val="Hyperlink"/>
          </w:rPr>
          <w:t xml:space="preserve">[14]</w:t>
        </w:r>
      </w:hyperlink>
      <w:r>
        <w:t xml:space="preserve"> </w:t>
      </w:r>
      <w:r>
        <w:t xml:space="preserve">Architecture technique de référence.docx</w:t>
      </w:r>
    </w:p>
    <w:p>
      <w:pPr>
        <w:pStyle w:val="BodyText"/>
      </w:pPr>
      <w:hyperlink r:id="rId49">
        <w:r>
          <w:rPr>
            <w:rStyle w:val="Hyperlink"/>
          </w:rPr>
          <w:t xml:space="preserve">file://file_00000000457c71f4be24b72d7f1469df</w:t>
        </w:r>
      </w:hyperlink>
    </w:p>
    <w:p>
      <w:pPr>
        <w:pStyle w:val="BodyText"/>
      </w:pPr>
      <w:hyperlink r:id="rId26">
        <w:r>
          <w:rPr>
            <w:rStyle w:val="Hyperlink"/>
          </w:rPr>
          <w:t xml:space="preserve">[5]</w:t>
        </w:r>
      </w:hyperlink>
      <w:r>
        <w:t xml:space="preserve"> </w:t>
      </w:r>
      <w:hyperlink r:id="rId28">
        <w:r>
          <w:rPr>
            <w:rStyle w:val="Hyperlink"/>
          </w:rPr>
          <w:t xml:space="preserve">[7]</w:t>
        </w:r>
      </w:hyperlink>
      <w:r>
        <w:t xml:space="preserve"> </w:t>
      </w:r>
      <w:r>
        <w:t xml:space="preserve">Automatisez vos tâches comptables avec l'IA pour gagner du temps</w:t>
      </w:r>
    </w:p>
    <w:p>
      <w:pPr>
        <w:pStyle w:val="BodyText"/>
      </w:pPr>
      <w:hyperlink r:id="rId50">
        <w:r>
          <w:rPr>
            <w:rStyle w:val="Hyperlink"/>
          </w:rPr>
          <w:t xml:space="preserve">https://www.datalis.ch/blog/ia-service-fiduciaires-automatisez-saisies-comptables</w:t>
        </w:r>
      </w:hyperlink>
    </w:p>
    <w:p>
      <w:pPr>
        <w:pStyle w:val="BodyText"/>
      </w:pPr>
      <w:hyperlink r:id="rId27">
        <w:r>
          <w:rPr>
            <w:rStyle w:val="Hyperlink"/>
          </w:rPr>
          <w:t xml:space="preserve">[6]</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4">
        <w:r>
          <w:rPr>
            <w:rStyle w:val="Hyperlink"/>
          </w:rPr>
          <w:t xml:space="preserve">[18]</w:t>
        </w:r>
      </w:hyperlink>
      <w:r>
        <w:t xml:space="preserve"> </w:t>
      </w:r>
      <w:r>
        <w:t xml:space="preserve">Analyse pour une plateforme SaaS IA‑natif orientée finance (MVP).docx</w:t>
      </w:r>
    </w:p>
    <w:p>
      <w:pPr>
        <w:pStyle w:val="BodyText"/>
      </w:pPr>
      <w:hyperlink r:id="rId51">
        <w:r>
          <w:rPr>
            <w:rStyle w:val="Hyperlink"/>
          </w:rPr>
          <w:t xml:space="preserve">file://file_00000000812871f483ce595ed3fe7cb3</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file://file_00000000457c71f4be24b72d7f1469df" TargetMode="External" /><Relationship Type="http://schemas.openxmlformats.org/officeDocument/2006/relationships/hyperlink" Id="rId22" Target="file://file_00000000457c71f4be24b72d7f1469df#:~:text=En%20r%C3%A9sum%C3%A9%2C%20l%E2%80%99IA%20est%20int%C3%A9gr%C3%A9e,attendu%20dans%20le%20domaine%20fiduciaire" TargetMode="External" /><Relationship Type="http://schemas.openxmlformats.org/officeDocument/2006/relationships/hyperlink" Id="rId37" Target="file://file_00000000457c71f4be24b72d7f1469df#:~:text=Observabilit%C3%A9%20compl%C3%A8te%20,alerting" TargetMode="External" /><Relationship Type="http://schemas.openxmlformats.org/officeDocument/2006/relationships/hyperlink" Id="rId30" Target="file://file_00000000457c71f4be24b72d7f1469df#:~:text=RAG%20s%C3%A9curis%C3%A9%20,approche%20am%C3%A9liore%20la%20qualit%C3%A9%20des" TargetMode="External" /><Relationship Type="http://schemas.openxmlformats.org/officeDocument/2006/relationships/hyperlink" Id="rId23" Target="file://file_00000000457c71f4be24b72d7f1469df#:~:text=S%C3%A9curit%C3%A9%20et%20conformit%C3%A9%20IA%20%3A,%C3%A9viter%20des%20r%C3%A9ponses%20inappropri%C3%A9es%20ou" TargetMode="External" /><Relationship Type="http://schemas.openxmlformats.org/officeDocument/2006/relationships/hyperlink" Id="rId24" Target="file://file_00000000457c71f4be24b72d7f1469df#:~:text=ou%20bien%20on%20utilise%20des,des%20r%C3%A9ponses%20inappropri%C3%A9es%20ou%20erron%C3%A9es" TargetMode="External" /><Relationship Type="http://schemas.openxmlformats.org/officeDocument/2006/relationships/hyperlink" Id="rId31" Target="file://file_00000000457c71f4be24b72d7f1469df#:~:text=principe%20du%20RAG%20%E2%80%93%20c%E2%80%99est,tenant%20en%20question%2C%20et%20aucune" TargetMode="External" /><Relationship Type="http://schemas.openxmlformats.org/officeDocument/2006/relationships/hyperlink" Id="rId51" Target="file://file_00000000812871f483ce595ed3fe7cb3" TargetMode="External" /><Relationship Type="http://schemas.openxmlformats.org/officeDocument/2006/relationships/hyperlink" Id="rId35" Target="file://file_00000000812871f483ce595ed3fe7cb3#:~:text=AgentOps,ou%20exporter%20les%20logs%20vers" TargetMode="External" /><Relationship Type="http://schemas.openxmlformats.org/officeDocument/2006/relationships/hyperlink" Id="rId27" Target="file://file_00000000812871f483ce595ed3fe7cb3#:~:text=Cas%20d%E2%80%99usage%20pertinents%20ou%20non,revanche%2C%20si%20le%20produit%20implique" TargetMode="External" /><Relationship Type="http://schemas.openxmlformats.org/officeDocument/2006/relationships/hyperlink" Id="rId33" Target="file://file_00000000812871f483ce595ed3fe7cb3#:~:text=Interface%20utilisateur%20ou%20API%20sp%C3%A9cifique,de%20votre%20stack%20web%20habituelle" TargetMode="External" /><Relationship Type="http://schemas.openxmlformats.org/officeDocument/2006/relationships/hyperlink" Id="rId39" Target="file://file_00000000812871f483ce595ed3fe7cb3#:~:text=agents%20autonomes,ces%20outils%20est%20cl%C3%A9" TargetMode="External" /><Relationship Type="http://schemas.openxmlformats.org/officeDocument/2006/relationships/hyperlink" Id="rId32" Target="file://file_00000000812871f483ce595ed3fe7cb3#:~:text=calcul%20ou%20de%20conformit%C3%A9%20comptable,fiabilit%C3%A9" TargetMode="External" /><Relationship Type="http://schemas.openxmlformats.org/officeDocument/2006/relationships/hyperlink" Id="rId38" Target="file://file_00000000812871f483ce595ed3fe7cb3#:~:text=comme%20MCP%20%28Model,Par%20exemple%2C%20IBM%20propose%20BeeAI" TargetMode="External" /><Relationship Type="http://schemas.openxmlformats.org/officeDocument/2006/relationships/hyperlink" Id="rId44" Target="file://file_00000000812871f483ce595ed3fe7cb3#:~:text=confiance%20en%20la%20plateforme%2C%20et,invariants%20comptables%20est%20plus%20s%C3%BBr" TargetMode="External" /><Relationship Type="http://schemas.openxmlformats.org/officeDocument/2006/relationships/hyperlink" Id="rId36" Target="file://file_00000000812871f483ce595ed3fe7cb3#:~:text=critique,%C3%A0%20mesure%20que%20l%E2%80%99usage%20grandit" TargetMode="External" /><Relationship Type="http://schemas.openxmlformats.org/officeDocument/2006/relationships/hyperlink" Id="rId48" Target="file://file_00000000b3f4720a92dcfddf8d0b813f" TargetMode="External" /><Relationship Type="http://schemas.openxmlformats.org/officeDocument/2006/relationships/hyperlink" Id="rId21" Target="file://file_00000000b3f4720a92dcfddf8d0b813f#:~:text=Notre%20ambition%20est%20de%20cr%C3%A9er,1" TargetMode="External" /><Relationship Type="http://schemas.openxmlformats.org/officeDocument/2006/relationships/hyperlink" Id="rId40" Target="file://file_00000000b3f4720a92dcfddf8d0b813f#:~:text=S%C3%A9curit%C3%A9%20et%20Confiance%20,diff%C3%A9renciateur%20cl%C3%A9%20sur%20notre%20march%C3%A9" TargetMode="External" /><Relationship Type="http://schemas.openxmlformats.org/officeDocument/2006/relationships/hyperlink" Id="rId50" Target="https://www.datalis.ch/blog/ia-service-fiduciaires-automatisez-saisies-comptables" TargetMode="External" /><Relationship Type="http://schemas.openxmlformats.org/officeDocument/2006/relationships/hyperlink" Id="rId26" Target="https://www.datalis.ch/blog/ia-service-fiduciaires-automatisez-saisies-comptables#:~:text=L%27intelligence%20artificielle%20se%20pr%C3%A9sente%20comme,pr%C3%A9cision%20et%20une%20rapidit%C3%A9%20in%C3%A9gal%C3%A9es" TargetMode="External" /><Relationship Type="http://schemas.openxmlformats.org/officeDocument/2006/relationships/hyperlink" Id="rId28" Target="https://www.datalis.ch/blog/ia-service-fiduciaires-automatisez-saisies-comptables#:~:text=d%E2%80%99am%C3%A9liorer%20la%20satisfaction%20des%20clients" TargetMode="External" /></Relationships>
</file>

<file path=word/_rels/footnotes.xml.rels><?xml version="1.0" encoding="UTF-8"?><Relationships xmlns="http://schemas.openxmlformats.org/package/2006/relationships"><Relationship Type="http://schemas.openxmlformats.org/officeDocument/2006/relationships/hyperlink" Id="rId49" Target="file://file_00000000457c71f4be24b72d7f1469df" TargetMode="External" /><Relationship Type="http://schemas.openxmlformats.org/officeDocument/2006/relationships/hyperlink" Id="rId22" Target="file://file_00000000457c71f4be24b72d7f1469df#:~:text=En%20r%C3%A9sum%C3%A9%2C%20l%E2%80%99IA%20est%20int%C3%A9gr%C3%A9e,attendu%20dans%20le%20domaine%20fiduciaire" TargetMode="External" /><Relationship Type="http://schemas.openxmlformats.org/officeDocument/2006/relationships/hyperlink" Id="rId37" Target="file://file_00000000457c71f4be24b72d7f1469df#:~:text=Observabilit%C3%A9%20compl%C3%A8te%20,alerting" TargetMode="External" /><Relationship Type="http://schemas.openxmlformats.org/officeDocument/2006/relationships/hyperlink" Id="rId30" Target="file://file_00000000457c71f4be24b72d7f1469df#:~:text=RAG%20s%C3%A9curis%C3%A9%20,approche%20am%C3%A9liore%20la%20qualit%C3%A9%20des" TargetMode="External" /><Relationship Type="http://schemas.openxmlformats.org/officeDocument/2006/relationships/hyperlink" Id="rId23" Target="file://file_00000000457c71f4be24b72d7f1469df#:~:text=S%C3%A9curit%C3%A9%20et%20conformit%C3%A9%20IA%20%3A,%C3%A9viter%20des%20r%C3%A9ponses%20inappropri%C3%A9es%20ou" TargetMode="External" /><Relationship Type="http://schemas.openxmlformats.org/officeDocument/2006/relationships/hyperlink" Id="rId24" Target="file://file_00000000457c71f4be24b72d7f1469df#:~:text=ou%20bien%20on%20utilise%20des,des%20r%C3%A9ponses%20inappropri%C3%A9es%20ou%20erron%C3%A9es" TargetMode="External" /><Relationship Type="http://schemas.openxmlformats.org/officeDocument/2006/relationships/hyperlink" Id="rId31" Target="file://file_00000000457c71f4be24b72d7f1469df#:~:text=principe%20du%20RAG%20%E2%80%93%20c%E2%80%99est,tenant%20en%20question%2C%20et%20aucune" TargetMode="External" /><Relationship Type="http://schemas.openxmlformats.org/officeDocument/2006/relationships/hyperlink" Id="rId51" Target="file://file_00000000812871f483ce595ed3fe7cb3" TargetMode="External" /><Relationship Type="http://schemas.openxmlformats.org/officeDocument/2006/relationships/hyperlink" Id="rId35" Target="file://file_00000000812871f483ce595ed3fe7cb3#:~:text=AgentOps,ou%20exporter%20les%20logs%20vers" TargetMode="External" /><Relationship Type="http://schemas.openxmlformats.org/officeDocument/2006/relationships/hyperlink" Id="rId27" Target="file://file_00000000812871f483ce595ed3fe7cb3#:~:text=Cas%20d%E2%80%99usage%20pertinents%20ou%20non,revanche%2C%20si%20le%20produit%20implique" TargetMode="External" /><Relationship Type="http://schemas.openxmlformats.org/officeDocument/2006/relationships/hyperlink" Id="rId33" Target="file://file_00000000812871f483ce595ed3fe7cb3#:~:text=Interface%20utilisateur%20ou%20API%20sp%C3%A9cifique,de%20votre%20stack%20web%20habituelle" TargetMode="External" /><Relationship Type="http://schemas.openxmlformats.org/officeDocument/2006/relationships/hyperlink" Id="rId39" Target="file://file_00000000812871f483ce595ed3fe7cb3#:~:text=agents%20autonomes,ces%20outils%20est%20cl%C3%A9" TargetMode="External" /><Relationship Type="http://schemas.openxmlformats.org/officeDocument/2006/relationships/hyperlink" Id="rId32" Target="file://file_00000000812871f483ce595ed3fe7cb3#:~:text=calcul%20ou%20de%20conformit%C3%A9%20comptable,fiabilit%C3%A9" TargetMode="External" /><Relationship Type="http://schemas.openxmlformats.org/officeDocument/2006/relationships/hyperlink" Id="rId38" Target="file://file_00000000812871f483ce595ed3fe7cb3#:~:text=comme%20MCP%20%28Model,Par%20exemple%2C%20IBM%20propose%20BeeAI" TargetMode="External" /><Relationship Type="http://schemas.openxmlformats.org/officeDocument/2006/relationships/hyperlink" Id="rId44" Target="file://file_00000000812871f483ce595ed3fe7cb3#:~:text=confiance%20en%20la%20plateforme%2C%20et,invariants%20comptables%20est%20plus%20s%C3%BBr" TargetMode="External" /><Relationship Type="http://schemas.openxmlformats.org/officeDocument/2006/relationships/hyperlink" Id="rId36" Target="file://file_00000000812871f483ce595ed3fe7cb3#:~:text=critique,%C3%A0%20mesure%20que%20l%E2%80%99usage%20grandit" TargetMode="External" /><Relationship Type="http://schemas.openxmlformats.org/officeDocument/2006/relationships/hyperlink" Id="rId48" Target="file://file_00000000b3f4720a92dcfddf8d0b813f" TargetMode="External" /><Relationship Type="http://schemas.openxmlformats.org/officeDocument/2006/relationships/hyperlink" Id="rId21" Target="file://file_00000000b3f4720a92dcfddf8d0b813f#:~:text=Notre%20ambition%20est%20de%20cr%C3%A9er,1" TargetMode="External" /><Relationship Type="http://schemas.openxmlformats.org/officeDocument/2006/relationships/hyperlink" Id="rId40" Target="file://file_00000000b3f4720a92dcfddf8d0b813f#:~:text=S%C3%A9curit%C3%A9%20et%20Confiance%20,diff%C3%A9renciateur%20cl%C3%A9%20sur%20notre%20march%C3%A9" TargetMode="External" /><Relationship Type="http://schemas.openxmlformats.org/officeDocument/2006/relationships/hyperlink" Id="rId50" Target="https://www.datalis.ch/blog/ia-service-fiduciaires-automatisez-saisies-comptables" TargetMode="External" /><Relationship Type="http://schemas.openxmlformats.org/officeDocument/2006/relationships/hyperlink" Id="rId26" Target="https://www.datalis.ch/blog/ia-service-fiduciaires-automatisez-saisies-comptables#:~:text=L%27intelligence%20artificielle%20se%20pr%C3%A9sente%20comme,pr%C3%A9cision%20et%20une%20rapidit%C3%A9%20in%C3%A9gal%C3%A9es" TargetMode="External" /><Relationship Type="http://schemas.openxmlformats.org/officeDocument/2006/relationships/hyperlink" Id="rId28" Target="https://www.datalis.ch/blog/ia-service-fiduciaires-automatisez-saisies-comptables#:~:text=d%E2%80%99am%C3%A9liorer%20la%20satisfaction%20des%20cli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2026-01-29T21:16:19Z</dcterms:created>
  <dcterms:modified xsi:type="dcterms:W3CDTF">2026-01-29T21:16:19Z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