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I3Title"/>
        <w:spacing w:before="0" w:after="40" w:line="276" w:lineRule="auto"/>
        <w:jc w:val="left"/>
      </w:pPr>
      <w:r>
        <w:t>3.3 — IA-Cadrage-V1</w:t>
      </w:r>
    </w:p>
    <w:p>
      <w:pPr>
        <w:pStyle w:val="AI3Subtitle"/>
        <w:spacing w:before="0" w:after="240" w:line="276" w:lineRule="auto"/>
      </w:pPr>
      <w:r>
        <w:t>Document de cadrage opérationnel de la phase actuelle. Il complète la vision long terme IA-native et en précise le périmètre exécutable sans la remplacer.</w:t>
      </w:r>
    </w:p>
    <w:tbl>
      <w:tblPr>
        <w:tblW w:type="auto" w:w="0"/>
        <w:jc w:val="center"/>
        <w:tblLayout w:type="fixed"/>
        <w:tblLook w:firstColumn="1" w:firstRow="1" w:lastColumn="0" w:lastRow="0" w:noHBand="0" w:noVBand="1" w:val="04A0"/>
        <w:tblBorders>
          <w:top w:val="single" w:sz="8" w:space="0" w:color="C9D4E0"/>
          <w:left w:val="single" w:sz="8" w:space="0" w:color="C9D4E0"/>
          <w:bottom w:val="single" w:sz="8" w:space="0" w:color="C9D4E0"/>
          <w:right w:val="single" w:sz="8" w:space="0" w:color="C9D4E0"/>
          <w:insideH w:val="single" w:sz="8" w:space="0" w:color="C9D4E0"/>
          <w:insideV w:val="single" w:sz="8" w:space="0" w:color="C9D4E0"/>
        </w:tblBorders>
      </w:tblPr>
      <w:tblGrid>
        <w:gridCol w:w="3137"/>
        <w:gridCol w:w="3137"/>
        <w:gridCol w:w="3137"/>
      </w:tblGrid>
      <w:tr>
        <w:tc>
          <w:tcPr>
            <w:tcW w:type="dxa" w:w="2665"/>
            <w:shd w:fill="EAF1F8"/>
            <w:tcMar>
              <w:top w:w="80" w:type="dxa"/>
              <w:start w:w="120" w:type="dxa"/>
              <w:bottom w:w="80" w:type="dxa"/>
              <w:end w:w="120" w:type="dxa"/>
            </w:tcMar>
            <w:vAlign w:val="center"/>
          </w:tcPr>
          <w:p>
            <w:pPr>
              <w:jc w:val="center"/>
            </w:pPr>
            <w:r>
              <w:rPr>
                <w:b/>
                <w:color w:val="18385E"/>
                <w:sz w:val="20"/>
              </w:rPr>
              <w:t>Statut</w:t>
            </w:r>
          </w:p>
        </w:tc>
        <w:tc>
          <w:tcPr>
            <w:tcW w:type="dxa" w:w="2948"/>
            <w:shd w:fill="EAF1F8"/>
            <w:tcMar>
              <w:top w:w="80" w:type="dxa"/>
              <w:start w:w="120" w:type="dxa"/>
              <w:bottom w:w="80" w:type="dxa"/>
              <w:end w:w="120" w:type="dxa"/>
            </w:tcMar>
            <w:vAlign w:val="center"/>
          </w:tcPr>
          <w:p>
            <w:pPr>
              <w:jc w:val="center"/>
            </w:pPr>
            <w:r>
              <w:rPr>
                <w:b/>
                <w:color w:val="18385E"/>
                <w:sz w:val="20"/>
              </w:rPr>
              <w:t>Portée</w:t>
            </w:r>
          </w:p>
        </w:tc>
        <w:tc>
          <w:tcPr>
            <w:tcW w:type="dxa" w:w="3402"/>
            <w:shd w:fill="EAF1F8"/>
            <w:tcMar>
              <w:top w:w="80" w:type="dxa"/>
              <w:start w:w="120" w:type="dxa"/>
              <w:bottom w:w="80" w:type="dxa"/>
              <w:end w:w="120" w:type="dxa"/>
            </w:tcMar>
            <w:vAlign w:val="center"/>
          </w:tcPr>
          <w:p>
            <w:pPr>
              <w:jc w:val="center"/>
            </w:pPr>
            <w:r>
              <w:rPr>
                <w:b/>
                <w:color w:val="18385E"/>
                <w:sz w:val="20"/>
              </w:rPr>
              <w:t>Positionnement</w:t>
            </w:r>
          </w:p>
        </w:tc>
      </w:tr>
      <w:tr>
        <w:tc>
          <w:tcPr>
            <w:tcW w:type="dxa" w:w="2665"/>
            <w:tcMar>
              <w:top w:w="120" w:type="dxa"/>
              <w:start w:w="120" w:type="dxa"/>
              <w:bottom w:w="120" w:type="dxa"/>
              <w:end w:w="120" w:type="dxa"/>
            </w:tcMar>
            <w:vAlign w:val="center"/>
          </w:tcPr>
          <w:p>
            <w:pPr>
              <w:jc w:val="center"/>
            </w:pPr>
            <w:r>
              <w:rPr>
                <w:sz w:val="21"/>
              </w:rPr>
              <w:t>Actif</w:t>
              <w:br/>
              <w:t>Source de vérité V1 actuelle</w:t>
            </w:r>
          </w:p>
        </w:tc>
        <w:tc>
          <w:tcPr>
            <w:tcW w:type="dxa" w:w="2948"/>
            <w:tcMar>
              <w:top w:w="120" w:type="dxa"/>
              <w:start w:w="120" w:type="dxa"/>
              <w:bottom w:w="120" w:type="dxa"/>
              <w:end w:w="120" w:type="dxa"/>
            </w:tcMar>
            <w:vAlign w:val="center"/>
          </w:tcPr>
          <w:p>
            <w:pPr>
              <w:jc w:val="center"/>
            </w:pPr>
            <w:r>
              <w:rPr>
                <w:sz w:val="21"/>
              </w:rPr>
              <w:t>Backend, gouvernance IA, phasage produit</w:t>
              <w:br/>
              <w:t>Aucun engagement frontend implicite</w:t>
            </w:r>
          </w:p>
        </w:tc>
        <w:tc>
          <w:tcPr>
            <w:tcW w:type="dxa" w:w="3402"/>
            <w:tcMar>
              <w:top w:w="120" w:type="dxa"/>
              <w:start w:w="120" w:type="dxa"/>
              <w:bottom w:w="120" w:type="dxa"/>
              <w:end w:w="120" w:type="dxa"/>
            </w:tcMar>
            <w:vAlign w:val="center"/>
          </w:tcPr>
          <w:p>
            <w:pPr>
              <w:jc w:val="center"/>
            </w:pPr>
            <w:r>
              <w:rPr>
                <w:sz w:val="21"/>
              </w:rPr>
              <w:t>L’IA est préparée et gouvernée</w:t>
              <w:br/>
              <w:t>Elle n’est pas encore structurante dans le runtime courant</w:t>
            </w:r>
          </w:p>
        </w:tc>
      </w:tr>
    </w:tbl>
    <w:p/>
    <w:tbl>
      <w:tblPr>
        <w:tblW w:type="auto" w:w="0"/>
        <w:jc w:val="center"/>
        <w:tblLayout w:type="fixed"/>
        <w:tblLook w:firstColumn="1" w:firstRow="1" w:lastColumn="0" w:lastRow="0" w:noHBand="0" w:noVBand="1" w:val="04A0"/>
        <w:tblBorders>
          <w:top w:val="single" w:sz="8" w:space="0" w:color="D6DFE8"/>
          <w:left w:val="single" w:sz="8" w:space="0" w:color="D6DFE8"/>
          <w:bottom w:val="single" w:sz="8" w:space="0" w:color="D6DFE8"/>
          <w:right w:val="single" w:sz="8" w:space="0" w:color="D6DFE8"/>
          <w:insideH w:val="single" w:sz="8" w:space="0" w:color="D6DFE8"/>
          <w:insideV w:val="single" w:sz="8" w:space="0" w:color="D6DFE8"/>
        </w:tblBorders>
      </w:tblPr>
      <w:tblGrid>
        <w:gridCol w:w="9354"/>
      </w:tblGrid>
      <w:tr>
        <w:tc>
          <w:tcPr>
            <w:tcW w:type="dxa" w:w="9411"/>
            <w:shd w:fill="F7F9FC"/>
            <w:tcMar>
              <w:top w:w="140" w:type="dxa"/>
              <w:start w:w="160" w:type="dxa"/>
              <w:bottom w:w="140" w:type="dxa"/>
              <w:end w:w="160" w:type="dxa"/>
            </w:tcMar>
          </w:tcPr>
          <w:p>
            <w:pPr>
              <w:pStyle w:val="Callout"/>
              <w:spacing w:before="0" w:after="120" w:line="276" w:lineRule="auto"/>
            </w:pPr>
            <w:r>
              <w:rPr>
                <w:b/>
                <w:color w:val="18385E"/>
              </w:rPr>
              <w:t>Résumé exécutif</w:t>
            </w:r>
          </w:p>
          <w:p>
            <w:pPr>
              <w:pStyle w:val="Callout"/>
              <w:spacing w:before="0" w:after="0" w:line="283" w:lineRule="auto"/>
            </w:pPr>
            <w:r>
              <w:t xml:space="preserve">Le produit en cours de construction est </w:t>
            </w:r>
            <w:r>
              <w:rPr>
                <w:b/>
              </w:rPr>
              <w:t>AI-ready</w:t>
            </w:r>
            <w:r>
              <w:t>, mais pas encore AI-led ni IA-native au sens runtime. La V1 actuelle privilégie un cœur métier déterministe, tenant-scoped, auditable et testable. L’activation IA viendra après la stabilisation du backbone métier, avec comme premier candidat un usage central, evidence-first et human-in-the-loop — typiquement le mapping assisté sur la dernière balance importée.</w:t>
            </w:r>
          </w:p>
        </w:tc>
      </w:tr>
    </w:tbl>
    <w:p/>
    <w:p>
      <w:pPr>
        <w:pStyle w:val="Heading1"/>
        <w:spacing w:before="160" w:after="120" w:line="276" w:lineRule="auto"/>
      </w:pPr>
      <w:r>
        <w:t>1. Rôle du document</w:t>
      </w:r>
    </w:p>
    <w:p>
      <w:pPr>
        <w:spacing w:before="0" w:after="100" w:line="276" w:lineRule="auto"/>
      </w:pPr>
      <w:r>
        <w:t>Ce document définit le cadrage IA de la phase actuelle. Il ne remplace ni la vision 3.1 ni le playbook 3.2 ; il précise ce qui est vrai maintenant, ce qui est explicitement hors scope, et les conditions minimales à remplir avant d’activer une première capacité IA réellement structurante.</w:t>
      </w:r>
    </w:p>
    <w:p>
      <w:pPr>
        <w:spacing w:before="0" w:after="100" w:line="276" w:lineRule="auto"/>
      </w:pPr>
      <w:r>
        <w:t>Autrement dit, la vision long terme reste ambitieuse et conserve sa fonction de North Star. Le présent document joue un autre rôle : protéger l’exécution, éviter les contresens, et empêcher qu’une promesse IA future soit interprétée comme une obligation d’architecture ou de delivery immédiate.</w:t>
      </w:r>
    </w:p>
    <w:p>
      <w:pPr>
        <w:pStyle w:val="Heading2"/>
        <w:spacing w:before="60" w:after="40" w:line="276" w:lineRule="auto"/>
      </w:pPr>
      <w:r>
        <w:t>Hiérarchie documentaire visée :</w:t>
      </w:r>
    </w:p>
    <w:p>
      <w:pPr>
        <w:pStyle w:val="ListBullet"/>
        <w:spacing w:before="0" w:after="20" w:line="276" w:lineRule="auto"/>
      </w:pPr>
      <w:r>
        <w:rPr>
          <w:rFonts w:ascii="Arial" w:hAnsi="Arial" w:eastAsia="Arial"/>
          <w:sz w:val="21"/>
        </w:rPr>
        <w:t>3.1 — IA Native Vision : où le produit veut aller à long terme.</w:t>
      </w:r>
    </w:p>
    <w:p>
      <w:pPr>
        <w:pStyle w:val="ListBullet"/>
        <w:spacing w:before="0" w:after="20" w:line="276" w:lineRule="auto"/>
      </w:pPr>
      <w:r>
        <w:rPr>
          <w:rFonts w:ascii="Arial" w:hAnsi="Arial" w:eastAsia="Arial"/>
          <w:sz w:val="21"/>
        </w:rPr>
        <w:t>3.2 — AI Playbook : bibliothèque de patterns, garde-fous et mécanismes à mobiliser plus tard.</w:t>
      </w:r>
    </w:p>
    <w:p>
      <w:pPr>
        <w:pStyle w:val="ListBullet"/>
        <w:spacing w:before="0" w:after="20" w:line="276" w:lineRule="auto"/>
      </w:pPr>
      <w:r>
        <w:rPr>
          <w:rFonts w:ascii="Arial" w:hAnsi="Arial" w:eastAsia="Arial"/>
          <w:sz w:val="21"/>
        </w:rPr>
        <w:t>3.3 — IA-Cadrage-V1 : ce qui est activé, préparé, différé ou explicitement hors scope dans la phase actuelle.</w:t>
      </w:r>
    </w:p>
    <w:p>
      <w:pPr>
        <w:pStyle w:val="ListBullet"/>
        <w:spacing w:before="0" w:after="20" w:line="276" w:lineRule="auto"/>
      </w:pPr>
      <w:r>
        <w:rPr>
          <w:rFonts w:ascii="Arial" w:hAnsi="Arial" w:eastAsia="Arial"/>
          <w:sz w:val="21"/>
        </w:rPr>
        <w:t>AGENTS.md, ADRs et specs : vérité opérationnelle pour le repo et l’exécution Codex.</w:t>
      </w:r>
    </w:p>
    <w:p>
      <w:pPr>
        <w:pStyle w:val="Heading1"/>
        <w:spacing w:before="160" w:after="120" w:line="276" w:lineRule="auto"/>
      </w:pPr>
      <w:r>
        <w:t>2. Positionnement du produit aujourd’hui</w:t>
      </w:r>
    </w:p>
    <w:p>
      <w:pPr>
        <w:spacing w:before="0" w:after="100" w:line="276" w:lineRule="auto"/>
      </w:pPr>
      <w:r>
        <w:t>Le produit n’est pas encore IA-native au sens strict du runtime. En revanche, il est construit de manière crédible pour le devenir sans refonte majeure. La base actuelle est d’abord un SaaS métier déterministe avec un design compatible IA : identité, tenancy, audit append-only, closing, import de balance versionné, mapping manuel, puis contrôles à venir.</w:t>
      </w:r>
    </w:p>
    <w:p>
      <w:pPr>
        <w:spacing w:before="0" w:after="100" w:line="276" w:lineRule="auto"/>
      </w:pPr>
      <w:r>
        <w:t>C’est un choix délibéré. Dans un produit de clôture comptable suisse, la qualité du backbone métier prévaut sur le spectaculaire. Un assistant brillant posé sur un produit bancal créerait plus de dette que de valeur. L’orientation retenue est donc : fiabiliser le système de preuve et de décision, puis introduire l’IA là où elle augmente réellement l’expert.</w:t>
      </w:r>
    </w:p>
    <w:p>
      <w:pPr>
        <w:pStyle w:val="Heading2"/>
        <w:spacing w:before="60" w:after="40" w:line="276" w:lineRule="auto"/>
      </w:pPr>
      <w:r>
        <w:t>Formulation de référence :</w:t>
      </w:r>
    </w:p>
    <w:p>
      <w:pPr>
        <w:pStyle w:val="ListBullet"/>
        <w:spacing w:before="0" w:after="20" w:line="276" w:lineRule="auto"/>
      </w:pPr>
      <w:r>
        <w:rPr>
          <w:rFonts w:ascii="Arial" w:hAnsi="Arial" w:eastAsia="Arial"/>
          <w:sz w:val="21"/>
        </w:rPr>
        <w:t>Le produit n’est pas encore IA-native en runtime.</w:t>
      </w:r>
    </w:p>
    <w:p>
      <w:pPr>
        <w:pStyle w:val="ListBullet"/>
        <w:spacing w:before="0" w:after="20" w:line="276" w:lineRule="auto"/>
      </w:pPr>
      <w:r>
        <w:rPr>
          <w:rFonts w:ascii="Arial" w:hAnsi="Arial" w:eastAsia="Arial"/>
          <w:sz w:val="21"/>
        </w:rPr>
        <w:t>Le produit est AI-ready by design.</w:t>
      </w:r>
    </w:p>
    <w:p>
      <w:pPr>
        <w:pStyle w:val="ListBullet"/>
        <w:spacing w:before="0" w:after="20" w:line="276" w:lineRule="auto"/>
      </w:pPr>
      <w:r>
        <w:rPr>
          <w:rFonts w:ascii="Arial" w:hAnsi="Arial" w:eastAsia="Arial"/>
          <w:sz w:val="21"/>
        </w:rPr>
        <w:t>L’IA sera introduite comme capacité centrale seulement lorsque le cœur métier déterministe sera suffisamment stable, traçable et mesurable.</w:t>
      </w:r>
    </w:p>
    <w:p>
      <w:pPr>
        <w:pStyle w:val="Heading1"/>
        <w:spacing w:before="160" w:after="120" w:line="276" w:lineRule="auto"/>
      </w:pPr>
      <w:r>
        <w:t>3. Ce qui est vrai maintenant</w:t>
      </w:r>
    </w:p>
    <w:p>
      <w:pPr>
        <w:pStyle w:val="Heading2"/>
        <w:spacing w:before="60" w:after="40" w:line="276" w:lineRule="auto"/>
      </w:pPr>
      <w:r>
        <w:t>Architecture exécutable courante :</w:t>
      </w:r>
    </w:p>
    <w:p>
      <w:pPr>
        <w:pStyle w:val="ListBullet"/>
        <w:spacing w:before="0" w:after="20" w:line="276" w:lineRule="auto"/>
      </w:pPr>
      <w:r>
        <w:rPr>
          <w:rFonts w:ascii="Arial" w:hAnsi="Arial" w:eastAsia="Arial"/>
          <w:sz w:val="21"/>
        </w:rPr>
        <w:t>Monolithe modulaire Kotlin / Spring Boot.</w:t>
      </w:r>
    </w:p>
    <w:p>
      <w:pPr>
        <w:pStyle w:val="ListBullet"/>
        <w:spacing w:before="0" w:after="20" w:line="276" w:lineRule="auto"/>
      </w:pPr>
      <w:r>
        <w:rPr>
          <w:rFonts w:ascii="Arial" w:hAnsi="Arial" w:eastAsia="Arial"/>
          <w:sz w:val="21"/>
        </w:rPr>
        <w:t>REST-first ; GraphQL repoussé tant qu’un vrai coût de composition frontend ne le justifie pas.</w:t>
      </w:r>
    </w:p>
    <w:p>
      <w:pPr>
        <w:pStyle w:val="ListBullet"/>
        <w:spacing w:before="0" w:after="20" w:line="276" w:lineRule="auto"/>
      </w:pPr>
      <w:r>
        <w:rPr>
          <w:rFonts w:ascii="Arial" w:hAnsi="Arial" w:eastAsia="Arial"/>
          <w:sz w:val="21"/>
        </w:rPr>
        <w:t>PostgreSQL / Cloud SQL comme source de vérité transactionnelle.</w:t>
      </w:r>
    </w:p>
    <w:p>
      <w:pPr>
        <w:pStyle w:val="ListBullet"/>
        <w:spacing w:before="0" w:after="20" w:line="276" w:lineRule="auto"/>
      </w:pPr>
      <w:r>
        <w:rPr>
          <w:rFonts w:ascii="Arial" w:hAnsi="Arial" w:eastAsia="Arial"/>
          <w:sz w:val="21"/>
        </w:rPr>
        <w:t>Cloud Run comme cible de déploiement.</w:t>
      </w:r>
    </w:p>
    <w:p>
      <w:pPr>
        <w:pStyle w:val="ListBullet"/>
        <w:spacing w:before="0" w:after="20" w:line="276" w:lineRule="auto"/>
      </w:pPr>
      <w:r>
        <w:rPr>
          <w:rFonts w:ascii="Arial" w:hAnsi="Arial" w:eastAsia="Arial"/>
          <w:sz w:val="21"/>
        </w:rPr>
        <w:t>Flyway pour les migrations.</w:t>
      </w:r>
    </w:p>
    <w:p>
      <w:pPr>
        <w:pStyle w:val="ListBullet"/>
        <w:spacing w:before="0" w:after="20" w:line="276" w:lineRule="auto"/>
      </w:pPr>
      <w:r>
        <w:rPr>
          <w:rFonts w:ascii="Arial" w:hAnsi="Arial" w:eastAsia="Arial"/>
          <w:sz w:val="21"/>
        </w:rPr>
        <w:t>Développement local sans Docker requis.</w:t>
      </w:r>
    </w:p>
    <w:p>
      <w:pPr>
        <w:pStyle w:val="Heading2"/>
        <w:spacing w:before="60" w:after="40" w:line="276" w:lineRule="auto"/>
      </w:pPr>
      <w:r>
        <w:t>Position IA actuelle :</w:t>
      </w:r>
    </w:p>
    <w:p>
      <w:pPr>
        <w:pStyle w:val="ListBullet"/>
        <w:spacing w:before="0" w:after="20" w:line="276" w:lineRule="auto"/>
      </w:pPr>
      <w:r>
        <w:rPr>
          <w:rFonts w:ascii="Arial" w:hAnsi="Arial" w:eastAsia="Arial"/>
          <w:sz w:val="21"/>
        </w:rPr>
        <w:t>Aucune capacité IA ne structure encore le runtime principal.</w:t>
      </w:r>
    </w:p>
    <w:p>
      <w:pPr>
        <w:pStyle w:val="ListBullet"/>
        <w:spacing w:before="0" w:after="20" w:line="276" w:lineRule="auto"/>
      </w:pPr>
      <w:r>
        <w:rPr>
          <w:rFonts w:ascii="Arial" w:hAnsi="Arial" w:eastAsia="Arial"/>
          <w:sz w:val="21"/>
        </w:rPr>
        <w:t>Aucun microservice IA Python/FastAPI n’est présumé nécessaire dans la V1 courante.</w:t>
      </w:r>
    </w:p>
    <w:p>
      <w:pPr>
        <w:pStyle w:val="ListBullet"/>
        <w:spacing w:before="0" w:after="20" w:line="276" w:lineRule="auto"/>
      </w:pPr>
      <w:r>
        <w:rPr>
          <w:rFonts w:ascii="Arial" w:hAnsi="Arial" w:eastAsia="Arial"/>
          <w:sz w:val="21"/>
        </w:rPr>
        <w:t>Aucun flux métier n’est aujourd’hui piloté par un modèle.</w:t>
      </w:r>
    </w:p>
    <w:p>
      <w:pPr>
        <w:pStyle w:val="ListBullet"/>
        <w:spacing w:before="0" w:after="20" w:line="276" w:lineRule="auto"/>
      </w:pPr>
      <w:r>
        <w:rPr>
          <w:rFonts w:ascii="Arial" w:hAnsi="Arial" w:eastAsia="Arial"/>
          <w:sz w:val="21"/>
        </w:rPr>
        <w:t>Aucune écriture base de données n’est confiée à une IA.</w:t>
      </w:r>
    </w:p>
    <w:p>
      <w:pPr>
        <w:pStyle w:val="ListBullet"/>
        <w:spacing w:before="0" w:after="20" w:line="276" w:lineRule="auto"/>
      </w:pPr>
      <w:r>
        <w:rPr>
          <w:rFonts w:ascii="Arial" w:hAnsi="Arial" w:eastAsia="Arial"/>
          <w:sz w:val="21"/>
        </w:rPr>
        <w:t>Le produit ne revendique pas encore une proposition de valeur dépendante de l’IA pour fonctionner.</w:t>
      </w:r>
    </w:p>
    <w:p>
      <w:pPr>
        <w:pStyle w:val="Heading2"/>
        <w:spacing w:before="60" w:after="40" w:line="276" w:lineRule="auto"/>
      </w:pPr>
      <w:r>
        <w:t>Conséquence opérationnelle :</w:t>
      </w:r>
    </w:p>
    <w:p>
      <w:pPr>
        <w:pStyle w:val="ListBullet"/>
        <w:spacing w:before="0" w:after="20" w:line="276" w:lineRule="auto"/>
      </w:pPr>
      <w:r>
        <w:rPr>
          <w:rFonts w:ascii="Arial" w:hAnsi="Arial" w:eastAsia="Arial"/>
          <w:sz w:val="21"/>
        </w:rPr>
        <w:t>On ne construit pas encore une plateforme agentique.</w:t>
      </w:r>
    </w:p>
    <w:p>
      <w:pPr>
        <w:pStyle w:val="ListBullet"/>
        <w:spacing w:before="0" w:after="20" w:line="276" w:lineRule="auto"/>
      </w:pPr>
      <w:r>
        <w:rPr>
          <w:rFonts w:ascii="Arial" w:hAnsi="Arial" w:eastAsia="Arial"/>
          <w:sz w:val="21"/>
        </w:rPr>
        <w:t>On prépare les coutures, les contrats, la gouvernance et les métriques qui permettront plus tard une activation IA sérieuse.</w:t>
      </w:r>
    </w:p>
    <w:p>
      <w:pPr>
        <w:pStyle w:val="ListBullet"/>
        <w:spacing w:before="0" w:after="20" w:line="276" w:lineRule="auto"/>
      </w:pPr>
      <w:r>
        <w:rPr>
          <w:rFonts w:ascii="Arial" w:hAnsi="Arial" w:eastAsia="Arial"/>
          <w:sz w:val="21"/>
        </w:rPr>
        <w:t>Tout choix actuel doit pouvoir survivre à l’introduction de l’IA sans refonte du cœur métier.</w:t>
      </w:r>
    </w:p>
    <w:p>
      <w:pPr>
        <w:pStyle w:val="Heading1"/>
        <w:spacing w:before="160" w:after="120" w:line="276" w:lineRule="auto"/>
      </w:pPr>
      <w:r>
        <w:t>4. Ce qui est explicitement hors scope maintenant</w:t>
      </w:r>
    </w:p>
    <w:p>
      <w:pPr>
        <w:pStyle w:val="Heading2"/>
        <w:spacing w:before="60" w:after="40" w:line="276" w:lineRule="auto"/>
      </w:pPr>
      <w:r>
        <w:t>Hors scope produit de la phase actuelle :</w:t>
      </w:r>
    </w:p>
    <w:p>
      <w:pPr>
        <w:pStyle w:val="ListBullet"/>
        <w:spacing w:before="0" w:after="20" w:line="276" w:lineRule="auto"/>
      </w:pPr>
      <w:r>
        <w:rPr>
          <w:rFonts w:ascii="Arial" w:hAnsi="Arial" w:eastAsia="Arial"/>
          <w:sz w:val="21"/>
        </w:rPr>
        <w:t>Assistant conversationnel comme interface primaire du produit.</w:t>
      </w:r>
    </w:p>
    <w:p>
      <w:pPr>
        <w:pStyle w:val="ListBullet"/>
        <w:spacing w:before="0" w:after="20" w:line="276" w:lineRule="auto"/>
      </w:pPr>
      <w:r>
        <w:rPr>
          <w:rFonts w:ascii="Arial" w:hAnsi="Arial" w:eastAsia="Arial"/>
          <w:sz w:val="21"/>
        </w:rPr>
        <w:t>Agent autonome qui modifie des données métier sans validation humaine.</w:t>
      </w:r>
    </w:p>
    <w:p>
      <w:pPr>
        <w:pStyle w:val="ListBullet"/>
        <w:spacing w:before="0" w:after="20" w:line="276" w:lineRule="auto"/>
      </w:pPr>
      <w:r>
        <w:rPr>
          <w:rFonts w:ascii="Arial" w:hAnsi="Arial" w:eastAsia="Arial"/>
          <w:sz w:val="21"/>
        </w:rPr>
        <w:t>RAG centré sur des corpus client comme mécanisme standard du produit.</w:t>
      </w:r>
    </w:p>
    <w:p>
      <w:pPr>
        <w:pStyle w:val="ListBullet"/>
        <w:spacing w:before="0" w:after="20" w:line="276" w:lineRule="auto"/>
      </w:pPr>
      <w:r>
        <w:rPr>
          <w:rFonts w:ascii="Arial" w:hAnsi="Arial" w:eastAsia="Arial"/>
          <w:sz w:val="21"/>
        </w:rPr>
        <w:t>Rédaction générative des annexes et notes comme capacité immédiatement livrée.</w:t>
      </w:r>
    </w:p>
    <w:p>
      <w:pPr>
        <w:pStyle w:val="ListBullet"/>
        <w:spacing w:before="0" w:after="20" w:line="276" w:lineRule="auto"/>
      </w:pPr>
      <w:r>
        <w:rPr>
          <w:rFonts w:ascii="Arial" w:hAnsi="Arial" w:eastAsia="Arial"/>
          <w:sz w:val="21"/>
        </w:rPr>
        <w:t>Explication IA des anomalies comme fonction cœur déjà active.</w:t>
      </w:r>
    </w:p>
    <w:p>
      <w:pPr>
        <w:pStyle w:val="ListBullet"/>
        <w:spacing w:before="0" w:after="20" w:line="276" w:lineRule="auto"/>
      </w:pPr>
      <w:r>
        <w:rPr>
          <w:rFonts w:ascii="Arial" w:hAnsi="Arial" w:eastAsia="Arial"/>
          <w:sz w:val="21"/>
        </w:rPr>
        <w:t>Routing multi-modèles sophistiqué, orchestration d’agents, planification outillée et supervision avancée en production.</w:t>
      </w:r>
    </w:p>
    <w:p>
      <w:pPr>
        <w:pStyle w:val="ListBullet"/>
        <w:spacing w:before="0" w:after="20" w:line="276" w:lineRule="auto"/>
      </w:pPr>
      <w:r>
        <w:rPr>
          <w:rFonts w:ascii="Arial" w:hAnsi="Arial" w:eastAsia="Arial"/>
          <w:sz w:val="21"/>
        </w:rPr>
        <w:t>Boucles IA décisionnelles avant la stabilisation de la taxonomie métier, des contrôles et des jeux d’évaluation.</w:t>
      </w:r>
    </w:p>
    <w:p>
      <w:pPr>
        <w:pStyle w:val="Heading2"/>
        <w:spacing w:before="60" w:after="40" w:line="276" w:lineRule="auto"/>
      </w:pPr>
      <w:r>
        <w:t>Hors scope architecture V1 :</w:t>
      </w:r>
    </w:p>
    <w:p>
      <w:pPr>
        <w:pStyle w:val="ListBullet"/>
        <w:spacing w:before="0" w:after="20" w:line="276" w:lineRule="auto"/>
      </w:pPr>
      <w:r>
        <w:rPr>
          <w:rFonts w:ascii="Arial" w:hAnsi="Arial" w:eastAsia="Arial"/>
          <w:sz w:val="21"/>
        </w:rPr>
        <w:t>Exiger GraphQL pour activer les capacités IA.</w:t>
      </w:r>
    </w:p>
    <w:p>
      <w:pPr>
        <w:pStyle w:val="ListBullet"/>
        <w:spacing w:before="0" w:after="20" w:line="276" w:lineRule="auto"/>
      </w:pPr>
      <w:r>
        <w:rPr>
          <w:rFonts w:ascii="Arial" w:hAnsi="Arial" w:eastAsia="Arial"/>
          <w:sz w:val="21"/>
        </w:rPr>
        <w:t>Imposer un microservice IA dédié comme prérequis.</w:t>
      </w:r>
    </w:p>
    <w:p>
      <w:pPr>
        <w:pStyle w:val="ListBullet"/>
        <w:spacing w:before="0" w:after="20" w:line="276" w:lineRule="auto"/>
      </w:pPr>
      <w:r>
        <w:rPr>
          <w:rFonts w:ascii="Arial" w:hAnsi="Arial" w:eastAsia="Arial"/>
          <w:sz w:val="21"/>
        </w:rPr>
        <w:t>Imposer Docker local pour l’expérimentation IA.</w:t>
      </w:r>
    </w:p>
    <w:p>
      <w:pPr>
        <w:pStyle w:val="ListBullet"/>
        <w:spacing w:before="0" w:after="20" w:line="276" w:lineRule="auto"/>
      </w:pPr>
      <w:r>
        <w:rPr>
          <w:rFonts w:ascii="Arial" w:hAnsi="Arial" w:eastAsia="Arial"/>
          <w:sz w:val="21"/>
        </w:rPr>
        <w:t>Introduire un vector store ou une infrastructure RAG sans cas d’usage métier validé.</w:t>
      </w:r>
    </w:p>
    <w:p>
      <w:pPr>
        <w:pStyle w:val="Heading1"/>
        <w:spacing w:before="160" w:after="120" w:line="276" w:lineRule="auto"/>
      </w:pPr>
      <w:r>
        <w:t>5. Principes non négociables</w:t>
      </w:r>
    </w:p>
    <w:p>
      <w:pPr>
        <w:pStyle w:val="Heading2"/>
        <w:spacing w:before="60" w:after="40" w:line="276" w:lineRule="auto"/>
      </w:pPr>
      <w:r>
        <w:t>5.1 Deterministic core first</w:t>
      </w:r>
    </w:p>
    <w:p>
      <w:pPr>
        <w:pStyle w:val="ListBullet"/>
        <w:spacing w:before="0" w:after="20" w:line="276" w:lineRule="auto"/>
      </w:pPr>
      <w:r>
        <w:rPr>
          <w:rFonts w:ascii="Arial" w:hAnsi="Arial" w:eastAsia="Arial"/>
          <w:sz w:val="21"/>
        </w:rPr>
        <w:t>Le moteur métier calcule, valide et persiste.</w:t>
      </w:r>
    </w:p>
    <w:p>
      <w:pPr>
        <w:pStyle w:val="ListBullet"/>
        <w:spacing w:before="0" w:after="20" w:line="276" w:lineRule="auto"/>
      </w:pPr>
      <w:r>
        <w:rPr>
          <w:rFonts w:ascii="Arial" w:hAnsi="Arial" w:eastAsia="Arial"/>
          <w:sz w:val="21"/>
        </w:rPr>
        <w:t>L’IA suggère, reformule, explique ou hiérarchise ; elle ne remplace pas le socle métier.</w:t>
      </w:r>
    </w:p>
    <w:p>
      <w:pPr>
        <w:pStyle w:val="Heading2"/>
        <w:spacing w:before="60" w:after="40" w:line="276" w:lineRule="auto"/>
      </w:pPr>
      <w:r>
        <w:t>5.2 Human in the loop</w:t>
      </w:r>
    </w:p>
    <w:p>
      <w:pPr>
        <w:pStyle w:val="ListBullet"/>
        <w:spacing w:before="0" w:after="20" w:line="276" w:lineRule="auto"/>
      </w:pPr>
      <w:r>
        <w:rPr>
          <w:rFonts w:ascii="Arial" w:hAnsi="Arial" w:eastAsia="Arial"/>
          <w:sz w:val="21"/>
        </w:rPr>
        <w:t>Toute capacité IA à impact métier doit être validée ou rejetée par un humain tant que son usage n’est pas explicitement durci et borné.</w:t>
      </w:r>
    </w:p>
    <w:p>
      <w:pPr>
        <w:pStyle w:val="ListBullet"/>
        <w:spacing w:before="0" w:after="20" w:line="276" w:lineRule="auto"/>
      </w:pPr>
      <w:r>
        <w:rPr>
          <w:rFonts w:ascii="Arial" w:hAnsi="Arial" w:eastAsia="Arial"/>
          <w:sz w:val="21"/>
        </w:rPr>
        <w:t>L’expérience cible est une assistance à décision, pas une délégation aveugle.</w:t>
      </w:r>
    </w:p>
    <w:p>
      <w:pPr>
        <w:pStyle w:val="Heading2"/>
        <w:spacing w:before="60" w:after="40" w:line="276" w:lineRule="auto"/>
      </w:pPr>
      <w:r>
        <w:t>5.3 Evidence first</w:t>
      </w:r>
    </w:p>
    <w:p>
      <w:pPr>
        <w:pStyle w:val="ListBullet"/>
        <w:spacing w:before="0" w:after="20" w:line="276" w:lineRule="auto"/>
      </w:pPr>
      <w:r>
        <w:rPr>
          <w:rFonts w:ascii="Arial" w:hAnsi="Arial" w:eastAsia="Arial"/>
          <w:sz w:val="21"/>
        </w:rPr>
        <w:t>Aucune sortie IA métier n’est utile si elle ne s’accompagne pas d’un niveau minimal de justification, de contexte et de preuve visible.</w:t>
      </w:r>
    </w:p>
    <w:p>
      <w:pPr>
        <w:pStyle w:val="ListBullet"/>
        <w:spacing w:before="0" w:after="20" w:line="276" w:lineRule="auto"/>
      </w:pPr>
      <w:r>
        <w:rPr>
          <w:rFonts w:ascii="Arial" w:hAnsi="Arial" w:eastAsia="Arial"/>
          <w:sz w:val="21"/>
        </w:rPr>
        <w:t>Le produit vise des réponses démontrables, pas seulement plausibles.</w:t>
      </w:r>
    </w:p>
    <w:p>
      <w:pPr>
        <w:pStyle w:val="Heading2"/>
        <w:spacing w:before="60" w:after="40" w:line="276" w:lineRule="auto"/>
      </w:pPr>
      <w:r>
        <w:t>5.4 Structured outputs only</w:t>
      </w:r>
    </w:p>
    <w:p>
      <w:pPr>
        <w:pStyle w:val="ListBullet"/>
        <w:spacing w:before="0" w:after="20" w:line="276" w:lineRule="auto"/>
      </w:pPr>
      <w:r>
        <w:rPr>
          <w:rFonts w:ascii="Arial" w:hAnsi="Arial" w:eastAsia="Arial"/>
          <w:sz w:val="21"/>
        </w:rPr>
        <w:t>Quand l’IA proposera un résultat exploitable par le système, ce résultat devra passer par un contrat structuré, jamais par un texte libre interprété implicitement.</w:t>
      </w:r>
    </w:p>
    <w:p>
      <w:pPr>
        <w:pStyle w:val="Heading2"/>
        <w:spacing w:before="60" w:after="40" w:line="276" w:lineRule="auto"/>
      </w:pPr>
      <w:r>
        <w:t>5.5 Tenant-scoped and auditable</w:t>
      </w:r>
    </w:p>
    <w:p>
      <w:pPr>
        <w:pStyle w:val="ListBullet"/>
        <w:spacing w:before="0" w:after="20" w:line="276" w:lineRule="auto"/>
      </w:pPr>
      <w:r>
        <w:rPr>
          <w:rFonts w:ascii="Arial" w:hAnsi="Arial" w:eastAsia="Arial"/>
          <w:sz w:val="21"/>
        </w:rPr>
        <w:t>Aucune capacité IA ne pourra contourner le scoping tenant, l’audit append-only, ni la corrélation de requête.</w:t>
      </w:r>
    </w:p>
    <w:p>
      <w:pPr>
        <w:pStyle w:val="Heading2"/>
        <w:spacing w:before="60" w:after="40" w:line="276" w:lineRule="auto"/>
      </w:pPr>
      <w:r>
        <w:t>5.6 Feature-flagged rollout</w:t>
      </w:r>
    </w:p>
    <w:p>
      <w:pPr>
        <w:pStyle w:val="ListBullet"/>
        <w:spacing w:before="0" w:after="20" w:line="276" w:lineRule="auto"/>
      </w:pPr>
      <w:r>
        <w:rPr>
          <w:rFonts w:ascii="Arial" w:hAnsi="Arial" w:eastAsia="Arial"/>
          <w:sz w:val="21"/>
        </w:rPr>
        <w:t>Toute activation IA devra être progressive, flaggable, mesurée et réversible.</w:t>
      </w:r>
    </w:p>
    <w:p>
      <w:pPr>
        <w:pStyle w:val="Heading2"/>
        <w:spacing w:before="60" w:after="40" w:line="276" w:lineRule="auto"/>
      </w:pPr>
      <w:r>
        <w:t>5.7 Graceful degradation</w:t>
      </w:r>
    </w:p>
    <w:p>
      <w:pPr>
        <w:pStyle w:val="ListBullet"/>
        <w:spacing w:before="0" w:after="20" w:line="276" w:lineRule="auto"/>
      </w:pPr>
      <w:r>
        <w:rPr>
          <w:rFonts w:ascii="Arial" w:hAnsi="Arial" w:eastAsia="Arial"/>
          <w:sz w:val="21"/>
        </w:rPr>
        <w:t>Le produit doit continuer à fonctionner sans IA. L’IA n’est pas autorisée à devenir un point de panne bloquant du workflow de clôture.</w:t>
      </w:r>
    </w:p>
    <w:p>
      <w:pPr>
        <w:pStyle w:val="Heading1"/>
        <w:spacing w:before="160" w:after="120" w:line="276" w:lineRule="auto"/>
      </w:pPr>
      <w:r>
        <w:t>6. Architecture IA retenue pour la V1 actuelle</w:t>
      </w:r>
    </w:p>
    <w:p>
      <w:pPr>
        <w:spacing w:before="0" w:after="100" w:line="276" w:lineRule="auto"/>
      </w:pPr>
      <w:r>
        <w:t>Le pattern retenu n’est pas “IA partout”. Le pattern retenu est : cœur métier déterministe + contrats + gouvernance + préparation d’une couche d’assistance.</w:t>
      </w:r>
    </w:p>
    <w:p>
      <w:pPr>
        <w:pStyle w:val="Heading2"/>
        <w:spacing w:before="60" w:after="40" w:line="276" w:lineRule="auto"/>
      </w:pPr>
      <w:r>
        <w:t>Décisions d’architecture IA V1 :</w:t>
      </w:r>
    </w:p>
    <w:p>
      <w:pPr>
        <w:pStyle w:val="ListBullet"/>
        <w:spacing w:before="0" w:after="20" w:line="276" w:lineRule="auto"/>
      </w:pPr>
      <w:r>
        <w:rPr>
          <w:rFonts w:ascii="Arial" w:hAnsi="Arial" w:eastAsia="Arial"/>
          <w:sz w:val="21"/>
        </w:rPr>
        <w:t>Pas de dépendance forte à un runtime IA séparé dans la phase actuelle.</w:t>
      </w:r>
    </w:p>
    <w:p>
      <w:pPr>
        <w:pStyle w:val="ListBullet"/>
        <w:spacing w:before="0" w:after="20" w:line="276" w:lineRule="auto"/>
      </w:pPr>
      <w:r>
        <w:rPr>
          <w:rFonts w:ascii="Arial" w:hAnsi="Arial" w:eastAsia="Arial"/>
          <w:sz w:val="21"/>
        </w:rPr>
        <w:t>Pas d’appel modèle depuis le frontend.</w:t>
      </w:r>
    </w:p>
    <w:p>
      <w:pPr>
        <w:pStyle w:val="ListBullet"/>
        <w:spacing w:before="0" w:after="20" w:line="276" w:lineRule="auto"/>
      </w:pPr>
      <w:r>
        <w:rPr>
          <w:rFonts w:ascii="Arial" w:hAnsi="Arial" w:eastAsia="Arial"/>
          <w:sz w:val="21"/>
        </w:rPr>
        <w:t>Pas de persistance directe d’une sortie IA dans les tables métier.</w:t>
      </w:r>
    </w:p>
    <w:p>
      <w:pPr>
        <w:pStyle w:val="ListBullet"/>
        <w:spacing w:before="0" w:after="20" w:line="276" w:lineRule="auto"/>
      </w:pPr>
      <w:r>
        <w:rPr>
          <w:rFonts w:ascii="Arial" w:hAnsi="Arial" w:eastAsia="Arial"/>
          <w:sz w:val="21"/>
        </w:rPr>
        <w:t>Les futures capacités IA devront entrer par des services backend ou ports applicatifs clairement identifiés.</w:t>
      </w:r>
    </w:p>
    <w:p>
      <w:pPr>
        <w:pStyle w:val="ListBullet"/>
        <w:spacing w:before="0" w:after="20" w:line="276" w:lineRule="auto"/>
      </w:pPr>
      <w:r>
        <w:rPr>
          <w:rFonts w:ascii="Arial" w:hAnsi="Arial" w:eastAsia="Arial"/>
          <w:sz w:val="21"/>
        </w:rPr>
        <w:t>Les prompts, modèles, évaluations et traces devront être versionnés ou au minimum corrélés.</w:t>
      </w:r>
    </w:p>
    <w:p>
      <w:pPr>
        <w:pStyle w:val="Heading2"/>
        <w:spacing w:before="60" w:after="40" w:line="276" w:lineRule="auto"/>
      </w:pPr>
      <w:r>
        <w:t>Conséquence pour l’équipe :</w:t>
      </w:r>
    </w:p>
    <w:p>
      <w:pPr>
        <w:pStyle w:val="ListBullet"/>
        <w:spacing w:before="0" w:after="20" w:line="276" w:lineRule="auto"/>
      </w:pPr>
      <w:r>
        <w:rPr>
          <w:rFonts w:ascii="Arial" w:hAnsi="Arial" w:eastAsia="Arial"/>
          <w:sz w:val="21"/>
        </w:rPr>
        <w:t>On prépare les contrats et la gouvernance maintenant.</w:t>
      </w:r>
    </w:p>
    <w:p>
      <w:pPr>
        <w:pStyle w:val="ListBullet"/>
        <w:spacing w:before="0" w:after="20" w:line="276" w:lineRule="auto"/>
      </w:pPr>
      <w:r>
        <w:rPr>
          <w:rFonts w:ascii="Arial" w:hAnsi="Arial" w:eastAsia="Arial"/>
          <w:sz w:val="21"/>
        </w:rPr>
        <w:t>On n’active pas encore les usages IA structurants tant que la taxonomie métier, les contrôles et les chemins de validation ne sont pas suffisamment stables.</w:t>
      </w:r>
    </w:p>
    <w:p>
      <w:pPr>
        <w:pStyle w:val="Heading1"/>
        <w:spacing w:before="160" w:after="120" w:line="276" w:lineRule="auto"/>
      </w:pPr>
      <w:r>
        <w:t>7. Phasage IA recommandé</w:t>
      </w:r>
    </w:p>
    <w:p>
      <w:pPr>
        <w:spacing w:before="0" w:after="100" w:line="276" w:lineRule="auto"/>
      </w:pPr>
      <w:r>
        <w:t>Le bon phasage n’est pas “faire de l’IA le plus tôt possible”, mais “faire entrer l’IA là où elle devient crédible, mesurable et utile”.</w:t>
      </w:r>
    </w:p>
    <w:p>
      <w:pPr>
        <w:pStyle w:val="Heading2"/>
        <w:spacing w:before="60" w:after="40" w:line="276" w:lineRule="auto"/>
      </w:pPr>
      <w:r>
        <w:t>Phase 0 — Backbone déterministe (en cours / déjà engagé)</w:t>
      </w:r>
    </w:p>
    <w:p>
      <w:pPr>
        <w:pStyle w:val="ListBullet"/>
        <w:spacing w:before="0" w:after="20" w:line="276" w:lineRule="auto"/>
      </w:pPr>
      <w:r>
        <w:rPr>
          <w:rFonts w:ascii="Arial" w:hAnsi="Arial" w:eastAsia="Arial"/>
          <w:sz w:val="21"/>
        </w:rPr>
        <w:t>Closing, import de balance, mapping manuel, contrôles déterministes, readiness métier.</w:t>
      </w:r>
    </w:p>
    <w:p>
      <w:pPr>
        <w:pStyle w:val="ListBullet"/>
        <w:spacing w:before="0" w:after="20" w:line="276" w:lineRule="auto"/>
      </w:pPr>
      <w:r>
        <w:rPr>
          <w:rFonts w:ascii="Arial" w:hAnsi="Arial" w:eastAsia="Arial"/>
          <w:sz w:val="21"/>
        </w:rPr>
        <w:t>Objectif : construire une base stable, testable, auditable.</w:t>
      </w:r>
    </w:p>
    <w:p>
      <w:pPr>
        <w:pStyle w:val="Heading2"/>
        <w:spacing w:before="60" w:after="40" w:line="276" w:lineRule="auto"/>
      </w:pPr>
      <w:r>
        <w:t>Phase 1 — Première activation IA centrée valeur</w:t>
      </w:r>
    </w:p>
    <w:p>
      <w:pPr>
        <w:pStyle w:val="ListBullet"/>
        <w:spacing w:before="0" w:after="20" w:line="276" w:lineRule="auto"/>
      </w:pPr>
      <w:r>
        <w:rPr>
          <w:rFonts w:ascii="Arial" w:hAnsi="Arial" w:eastAsia="Arial"/>
          <w:sz w:val="21"/>
        </w:rPr>
        <w:t>Candidat recommandé : mapping assisté sur la dernière balance importée.</w:t>
      </w:r>
    </w:p>
    <w:p>
      <w:pPr>
        <w:pStyle w:val="ListBullet"/>
        <w:spacing w:before="0" w:after="20" w:line="276" w:lineRule="auto"/>
      </w:pPr>
      <w:r>
        <w:rPr>
          <w:rFonts w:ascii="Arial" w:hAnsi="Arial" w:eastAsia="Arial"/>
          <w:sz w:val="21"/>
        </w:rPr>
        <w:t>Le modèle propose un targetCode, un score de confiance, une justification et une trace de preuve.</w:t>
      </w:r>
    </w:p>
    <w:p>
      <w:pPr>
        <w:pStyle w:val="ListBullet"/>
        <w:spacing w:before="0" w:after="20" w:line="276" w:lineRule="auto"/>
      </w:pPr>
      <w:r>
        <w:rPr>
          <w:rFonts w:ascii="Arial" w:hAnsi="Arial" w:eastAsia="Arial"/>
          <w:sz w:val="21"/>
        </w:rPr>
        <w:t>L’utilisateur accepte, rejette ou corrige.</w:t>
      </w:r>
    </w:p>
    <w:p>
      <w:pPr>
        <w:pStyle w:val="ListBullet"/>
        <w:spacing w:before="0" w:after="20" w:line="276" w:lineRule="auto"/>
      </w:pPr>
      <w:r>
        <w:rPr>
          <w:rFonts w:ascii="Arial" w:hAnsi="Arial" w:eastAsia="Arial"/>
          <w:sz w:val="21"/>
        </w:rPr>
        <w:t>Aucune écriture automatique sans validation.</w:t>
      </w:r>
    </w:p>
    <w:p>
      <w:pPr>
        <w:pStyle w:val="Heading2"/>
        <w:spacing w:before="60" w:after="40" w:line="276" w:lineRule="auto"/>
      </w:pPr>
      <w:r>
        <w:t>Phase 2 — Explication et priorisation</w:t>
      </w:r>
    </w:p>
    <w:p>
      <w:pPr>
        <w:pStyle w:val="ListBullet"/>
        <w:spacing w:before="0" w:after="20" w:line="276" w:lineRule="auto"/>
      </w:pPr>
      <w:r>
        <w:rPr>
          <w:rFonts w:ascii="Arial" w:hAnsi="Arial" w:eastAsia="Arial"/>
          <w:sz w:val="21"/>
        </w:rPr>
        <w:t>Explication d’anomalies ou hiérarchisation des écarts de contrôle.</w:t>
      </w:r>
    </w:p>
    <w:p>
      <w:pPr>
        <w:pStyle w:val="ListBullet"/>
        <w:spacing w:before="0" w:after="20" w:line="276" w:lineRule="auto"/>
      </w:pPr>
      <w:r>
        <w:rPr>
          <w:rFonts w:ascii="Arial" w:hAnsi="Arial" w:eastAsia="Arial"/>
          <w:sz w:val="21"/>
        </w:rPr>
        <w:t>Toujours evidence-first, auditable, et sans autonomie d’écriture.</w:t>
      </w:r>
    </w:p>
    <w:p>
      <w:pPr>
        <w:pStyle w:val="Heading2"/>
        <w:spacing w:before="60" w:after="40" w:line="276" w:lineRule="auto"/>
      </w:pPr>
      <w:r>
        <w:t>Phase 3 — Assistants plus riches</w:t>
      </w:r>
    </w:p>
    <w:p>
      <w:pPr>
        <w:pStyle w:val="ListBullet"/>
        <w:spacing w:before="0" w:after="20" w:line="276" w:lineRule="auto"/>
      </w:pPr>
      <w:r>
        <w:rPr>
          <w:rFonts w:ascii="Arial" w:hAnsi="Arial" w:eastAsia="Arial"/>
          <w:sz w:val="21"/>
        </w:rPr>
        <w:t>Copilotes de navigation métier, rédaction assistée, ou orchestration outillée si et seulement si les phases précédentes sont maîtrisées.</w:t>
      </w:r>
    </w:p>
    <w:p>
      <w:pPr>
        <w:pStyle w:val="Heading1"/>
        <w:spacing w:before="160" w:after="120" w:line="276" w:lineRule="auto"/>
      </w:pPr>
      <w:r>
        <w:t>8. Conditions d’activation de la première capacité IA</w:t>
      </w:r>
    </w:p>
    <w:p>
      <w:pPr>
        <w:pStyle w:val="Heading2"/>
        <w:spacing w:before="60" w:after="40" w:line="276" w:lineRule="auto"/>
      </w:pPr>
      <w:r>
        <w:t>Préconditions produit :</w:t>
      </w:r>
    </w:p>
    <w:p>
      <w:pPr>
        <w:pStyle w:val="ListBullet"/>
        <w:spacing w:before="0" w:after="20" w:line="276" w:lineRule="auto"/>
      </w:pPr>
      <w:r>
        <w:rPr>
          <w:rFonts w:ascii="Arial" w:hAnsi="Arial" w:eastAsia="Arial"/>
          <w:sz w:val="21"/>
        </w:rPr>
        <w:t>Taxonomie cible suffisamment stable.</w:t>
      </w:r>
    </w:p>
    <w:p>
      <w:pPr>
        <w:pStyle w:val="ListBullet"/>
        <w:spacing w:before="0" w:after="20" w:line="276" w:lineRule="auto"/>
      </w:pPr>
      <w:r>
        <w:rPr>
          <w:rFonts w:ascii="Arial" w:hAnsi="Arial" w:eastAsia="Arial"/>
          <w:sz w:val="21"/>
        </w:rPr>
        <w:t>Le flux métier manuel est déjà utilisable sans IA.</w:t>
      </w:r>
    </w:p>
    <w:p>
      <w:pPr>
        <w:pStyle w:val="ListBullet"/>
        <w:spacing w:before="0" w:after="20" w:line="276" w:lineRule="auto"/>
      </w:pPr>
      <w:r>
        <w:rPr>
          <w:rFonts w:ascii="Arial" w:hAnsi="Arial" w:eastAsia="Arial"/>
          <w:sz w:val="21"/>
        </w:rPr>
        <w:t>Les cas de succès/échec sont clairs.</w:t>
      </w:r>
    </w:p>
    <w:p>
      <w:pPr>
        <w:pStyle w:val="ListBullet"/>
        <w:spacing w:before="0" w:after="20" w:line="276" w:lineRule="auto"/>
      </w:pPr>
      <w:r>
        <w:rPr>
          <w:rFonts w:ascii="Arial" w:hAnsi="Arial" w:eastAsia="Arial"/>
          <w:sz w:val="21"/>
        </w:rPr>
        <w:t>Les décisions utilisateur peuvent être capturées proprement.</w:t>
      </w:r>
    </w:p>
    <w:p>
      <w:pPr>
        <w:pStyle w:val="Heading2"/>
        <w:spacing w:before="60" w:after="40" w:line="276" w:lineRule="auto"/>
      </w:pPr>
      <w:r>
        <w:t>Préconditions data :</w:t>
      </w:r>
    </w:p>
    <w:p>
      <w:pPr>
        <w:pStyle w:val="ListBullet"/>
        <w:spacing w:before="0" w:after="20" w:line="276" w:lineRule="auto"/>
      </w:pPr>
      <w:r>
        <w:rPr>
          <w:rFonts w:ascii="Arial" w:hAnsi="Arial" w:eastAsia="Arial"/>
          <w:sz w:val="21"/>
        </w:rPr>
        <w:t>Données d’entrée propres, tenant-scoped et historisées.</w:t>
      </w:r>
    </w:p>
    <w:p>
      <w:pPr>
        <w:pStyle w:val="ListBullet"/>
        <w:spacing w:before="0" w:after="20" w:line="276" w:lineRule="auto"/>
      </w:pPr>
      <w:r>
        <w:rPr>
          <w:rFonts w:ascii="Arial" w:hAnsi="Arial" w:eastAsia="Arial"/>
          <w:sz w:val="21"/>
        </w:rPr>
        <w:t>Cas de test représentatifs et jeux d’exemples annotés.</w:t>
      </w:r>
    </w:p>
    <w:p>
      <w:pPr>
        <w:pStyle w:val="ListBullet"/>
        <w:spacing w:before="0" w:after="20" w:line="276" w:lineRule="auto"/>
      </w:pPr>
      <w:r>
        <w:rPr>
          <w:rFonts w:ascii="Arial" w:hAnsi="Arial" w:eastAsia="Arial"/>
          <w:sz w:val="21"/>
        </w:rPr>
        <w:t>Absence de dépendance à des données non fiabilisées.</w:t>
      </w:r>
    </w:p>
    <w:p>
      <w:pPr>
        <w:pStyle w:val="Heading2"/>
        <w:spacing w:before="60" w:after="40" w:line="276" w:lineRule="auto"/>
      </w:pPr>
      <w:r>
        <w:t>Préconditions engineering :</w:t>
      </w:r>
    </w:p>
    <w:p>
      <w:pPr>
        <w:pStyle w:val="ListBullet"/>
        <w:spacing w:before="0" w:after="20" w:line="276" w:lineRule="auto"/>
      </w:pPr>
      <w:r>
        <w:rPr>
          <w:rFonts w:ascii="Arial" w:hAnsi="Arial" w:eastAsia="Arial"/>
          <w:sz w:val="21"/>
        </w:rPr>
        <w:t>Contrats structurés définis.</w:t>
      </w:r>
    </w:p>
    <w:p>
      <w:pPr>
        <w:pStyle w:val="ListBullet"/>
        <w:spacing w:before="0" w:after="20" w:line="276" w:lineRule="auto"/>
      </w:pPr>
      <w:r>
        <w:rPr>
          <w:rFonts w:ascii="Arial" w:hAnsi="Arial" w:eastAsia="Arial"/>
          <w:sz w:val="21"/>
        </w:rPr>
        <w:t>Feature flag d’activation.</w:t>
      </w:r>
    </w:p>
    <w:p>
      <w:pPr>
        <w:pStyle w:val="ListBullet"/>
        <w:spacing w:before="0" w:after="20" w:line="276" w:lineRule="auto"/>
      </w:pPr>
      <w:r>
        <w:rPr>
          <w:rFonts w:ascii="Arial" w:hAnsi="Arial" w:eastAsia="Arial"/>
          <w:sz w:val="21"/>
        </w:rPr>
        <w:t>Traces, corrélation et métriques disponibles.</w:t>
      </w:r>
    </w:p>
    <w:p>
      <w:pPr>
        <w:pStyle w:val="ListBullet"/>
        <w:spacing w:before="0" w:after="20" w:line="276" w:lineRule="auto"/>
      </w:pPr>
      <w:r>
        <w:rPr>
          <w:rFonts w:ascii="Arial" w:hAnsi="Arial" w:eastAsia="Arial"/>
          <w:sz w:val="21"/>
        </w:rPr>
        <w:t>Failover propre si l’IA est indisponible.</w:t>
      </w:r>
    </w:p>
    <w:p>
      <w:pPr>
        <w:pStyle w:val="Heading2"/>
        <w:spacing w:before="60" w:after="40" w:line="276" w:lineRule="auto"/>
      </w:pPr>
      <w:r>
        <w:t>Préconditions gouvernance :</w:t>
      </w:r>
    </w:p>
    <w:p>
      <w:pPr>
        <w:pStyle w:val="ListBullet"/>
        <w:spacing w:before="0" w:after="20" w:line="276" w:lineRule="auto"/>
      </w:pPr>
      <w:r>
        <w:rPr>
          <w:rFonts w:ascii="Arial" w:hAnsi="Arial" w:eastAsia="Arial"/>
          <w:sz w:val="21"/>
        </w:rPr>
        <w:t>Règles de journaling et de conservation des traces définies.</w:t>
      </w:r>
    </w:p>
    <w:p>
      <w:pPr>
        <w:pStyle w:val="ListBullet"/>
        <w:spacing w:before="0" w:after="20" w:line="276" w:lineRule="auto"/>
      </w:pPr>
      <w:r>
        <w:rPr>
          <w:rFonts w:ascii="Arial" w:hAnsi="Arial" w:eastAsia="Arial"/>
          <w:sz w:val="21"/>
        </w:rPr>
        <w:t>Politique de masquage / minimisation des données sensibles.</w:t>
      </w:r>
    </w:p>
    <w:p>
      <w:pPr>
        <w:pStyle w:val="ListBullet"/>
        <w:spacing w:before="0" w:after="20" w:line="276" w:lineRule="auto"/>
      </w:pPr>
      <w:r>
        <w:rPr>
          <w:rFonts w:ascii="Arial" w:hAnsi="Arial" w:eastAsia="Arial"/>
          <w:sz w:val="21"/>
        </w:rPr>
        <w:t>Seuils d’acceptation et procédure de rollback établis.</w:t>
      </w:r>
    </w:p>
    <w:p>
      <w:pPr>
        <w:pStyle w:val="Heading1"/>
        <w:spacing w:before="160" w:after="120" w:line="276" w:lineRule="auto"/>
      </w:pPr>
      <w:r>
        <w:t>9. Gouvernance, sécurité et conformité</w:t>
      </w:r>
    </w:p>
    <w:p>
      <w:pPr>
        <w:pStyle w:val="Heading2"/>
        <w:spacing w:before="60" w:after="40" w:line="276" w:lineRule="auto"/>
      </w:pPr>
      <w:r>
        <w:t>Règles de base :</w:t>
      </w:r>
    </w:p>
    <w:p>
      <w:pPr>
        <w:pStyle w:val="ListBullet"/>
        <w:spacing w:before="0" w:after="20" w:line="276" w:lineRule="auto"/>
      </w:pPr>
      <w:r>
        <w:rPr>
          <w:rFonts w:ascii="Arial" w:hAnsi="Arial" w:eastAsia="Arial"/>
          <w:sz w:val="21"/>
        </w:rPr>
        <w:t>Aucune donnée client n’est injectée dans une capacité IA sans besoin explicite.</w:t>
      </w:r>
    </w:p>
    <w:p>
      <w:pPr>
        <w:pStyle w:val="ListBullet"/>
        <w:spacing w:before="0" w:after="20" w:line="276" w:lineRule="auto"/>
      </w:pPr>
      <w:r>
        <w:rPr>
          <w:rFonts w:ascii="Arial" w:hAnsi="Arial" w:eastAsia="Arial"/>
          <w:sz w:val="21"/>
        </w:rPr>
        <w:t>Aucun prompt ne doit embarquer des secrets, tokens, credentials ou données hors tenant.</w:t>
      </w:r>
    </w:p>
    <w:p>
      <w:pPr>
        <w:pStyle w:val="ListBullet"/>
        <w:spacing w:before="0" w:after="20" w:line="276" w:lineRule="auto"/>
      </w:pPr>
      <w:r>
        <w:rPr>
          <w:rFonts w:ascii="Arial" w:hAnsi="Arial" w:eastAsia="Arial"/>
          <w:sz w:val="21"/>
        </w:rPr>
        <w:t>Le produit minimise les PII et privilégie les représentations métier utiles.</w:t>
      </w:r>
    </w:p>
    <w:p>
      <w:pPr>
        <w:pStyle w:val="ListBullet"/>
        <w:spacing w:before="0" w:after="20" w:line="276" w:lineRule="auto"/>
      </w:pPr>
      <w:r>
        <w:rPr>
          <w:rFonts w:ascii="Arial" w:hAnsi="Arial" w:eastAsia="Arial"/>
          <w:sz w:val="21"/>
        </w:rPr>
        <w:t>Les logs, traces et métadonnées d’IA doivent suivre les mêmes exigences de séparation et de corrélation que le reste du backend.</w:t>
      </w:r>
    </w:p>
    <w:p>
      <w:pPr>
        <w:pStyle w:val="Heading2"/>
        <w:spacing w:before="60" w:after="40" w:line="276" w:lineRule="auto"/>
      </w:pPr>
      <w:r>
        <w:t>Position sur les modèles :</w:t>
      </w:r>
    </w:p>
    <w:p>
      <w:pPr>
        <w:pStyle w:val="ListBullet"/>
        <w:spacing w:before="0" w:after="20" w:line="276" w:lineRule="auto"/>
      </w:pPr>
      <w:r>
        <w:rPr>
          <w:rFonts w:ascii="Arial" w:hAnsi="Arial" w:eastAsia="Arial"/>
          <w:sz w:val="21"/>
        </w:rPr>
        <w:t>Le choix du fournisseur ou du modèle n’est pas le sujet central du cadrage V1.</w:t>
      </w:r>
    </w:p>
    <w:p>
      <w:pPr>
        <w:pStyle w:val="ListBullet"/>
        <w:spacing w:before="0" w:after="20" w:line="276" w:lineRule="auto"/>
      </w:pPr>
      <w:r>
        <w:rPr>
          <w:rFonts w:ascii="Arial" w:hAnsi="Arial" w:eastAsia="Arial"/>
          <w:sz w:val="21"/>
        </w:rPr>
        <w:t>Le sujet central est la gouvernance de l’usage : quoi demander, sur quelles données, avec quelle traçabilité, quelle validation, et quel fallback.</w:t>
      </w:r>
    </w:p>
    <w:p>
      <w:pPr>
        <w:pStyle w:val="Heading2"/>
        <w:spacing w:before="60" w:after="40" w:line="276" w:lineRule="auto"/>
      </w:pPr>
      <w:r>
        <w:t>Position sur l’audit :</w:t>
      </w:r>
    </w:p>
    <w:p>
      <w:pPr>
        <w:pStyle w:val="ListBullet"/>
        <w:spacing w:before="0" w:after="20" w:line="276" w:lineRule="auto"/>
      </w:pPr>
      <w:r>
        <w:rPr>
          <w:rFonts w:ascii="Arial" w:hAnsi="Arial" w:eastAsia="Arial"/>
          <w:sz w:val="21"/>
        </w:rPr>
        <w:t>Une sortie IA validée par l’utilisateur doit pouvoir être expliquée a posteriori.</w:t>
      </w:r>
    </w:p>
    <w:p>
      <w:pPr>
        <w:pStyle w:val="ListBullet"/>
        <w:spacing w:before="0" w:after="20" w:line="276" w:lineRule="auto"/>
      </w:pPr>
      <w:r>
        <w:rPr>
          <w:rFonts w:ascii="Arial" w:hAnsi="Arial" w:eastAsia="Arial"/>
          <w:sz w:val="21"/>
        </w:rPr>
        <w:t>Une lecture ou un rejet ne doit pas polluer l’audit métier s’il n’y a pas de vrai changement.</w:t>
      </w:r>
    </w:p>
    <w:p>
      <w:pPr>
        <w:pStyle w:val="Heading1"/>
        <w:spacing w:before="160" w:after="120" w:line="276" w:lineRule="auto"/>
      </w:pPr>
      <w:r>
        <w:t>10. Observabilité, qualité et métriques</w:t>
      </w:r>
    </w:p>
    <w:p>
      <w:pPr>
        <w:spacing w:before="0" w:after="100" w:line="276" w:lineRule="auto"/>
      </w:pPr>
      <w:r>
        <w:t>L’activation IA n’est pas un sujet de narration ; c’est un sujet de mesure.</w:t>
      </w:r>
    </w:p>
    <w:p>
      <w:pPr>
        <w:pStyle w:val="Heading2"/>
        <w:spacing w:before="60" w:after="40" w:line="276" w:lineRule="auto"/>
      </w:pPr>
      <w:r>
        <w:t>Métriques minimales à prévoir avant rollout :</w:t>
      </w:r>
    </w:p>
    <w:p>
      <w:pPr>
        <w:pStyle w:val="ListBullet"/>
        <w:spacing w:before="0" w:after="20" w:line="276" w:lineRule="auto"/>
      </w:pPr>
      <w:r>
        <w:rPr>
          <w:rFonts w:ascii="Arial" w:hAnsi="Arial" w:eastAsia="Arial"/>
          <w:sz w:val="21"/>
        </w:rPr>
        <w:t>taux d’acceptation des suggestions</w:t>
      </w:r>
    </w:p>
    <w:p>
      <w:pPr>
        <w:pStyle w:val="ListBullet"/>
        <w:spacing w:before="0" w:after="20" w:line="276" w:lineRule="auto"/>
      </w:pPr>
      <w:r>
        <w:rPr>
          <w:rFonts w:ascii="Arial" w:hAnsi="Arial" w:eastAsia="Arial"/>
          <w:sz w:val="21"/>
        </w:rPr>
        <w:t>taux de correction manuelle après suggestion</w:t>
      </w:r>
    </w:p>
    <w:p>
      <w:pPr>
        <w:pStyle w:val="ListBullet"/>
        <w:spacing w:before="0" w:after="20" w:line="276" w:lineRule="auto"/>
      </w:pPr>
      <w:r>
        <w:rPr>
          <w:rFonts w:ascii="Arial" w:hAnsi="Arial" w:eastAsia="Arial"/>
          <w:sz w:val="21"/>
        </w:rPr>
        <w:t>latence perçue</w:t>
      </w:r>
    </w:p>
    <w:p>
      <w:pPr>
        <w:pStyle w:val="ListBullet"/>
        <w:spacing w:before="0" w:after="20" w:line="276" w:lineRule="auto"/>
      </w:pPr>
      <w:r>
        <w:rPr>
          <w:rFonts w:ascii="Arial" w:hAnsi="Arial" w:eastAsia="Arial"/>
          <w:sz w:val="21"/>
        </w:rPr>
        <w:t>coût par usage</w:t>
      </w:r>
    </w:p>
    <w:p>
      <w:pPr>
        <w:pStyle w:val="ListBullet"/>
        <w:spacing w:before="0" w:after="20" w:line="276" w:lineRule="auto"/>
      </w:pPr>
      <w:r>
        <w:rPr>
          <w:rFonts w:ascii="Arial" w:hAnsi="Arial" w:eastAsia="Arial"/>
          <w:sz w:val="21"/>
        </w:rPr>
        <w:t>taux d’échec technique</w:t>
      </w:r>
    </w:p>
    <w:p>
      <w:pPr>
        <w:pStyle w:val="ListBullet"/>
        <w:spacing w:before="0" w:after="20" w:line="276" w:lineRule="auto"/>
      </w:pPr>
      <w:r>
        <w:rPr>
          <w:rFonts w:ascii="Arial" w:hAnsi="Arial" w:eastAsia="Arial"/>
          <w:sz w:val="21"/>
        </w:rPr>
        <w:t>couverture des cas évalués</w:t>
      </w:r>
    </w:p>
    <w:p>
      <w:pPr>
        <w:pStyle w:val="Heading2"/>
        <w:spacing w:before="60" w:after="40" w:line="276" w:lineRule="auto"/>
      </w:pPr>
      <w:r>
        <w:t>Qualité minimale attendue :</w:t>
      </w:r>
    </w:p>
    <w:p>
      <w:pPr>
        <w:pStyle w:val="ListBullet"/>
        <w:spacing w:before="0" w:after="20" w:line="276" w:lineRule="auto"/>
      </w:pPr>
      <w:r>
        <w:rPr>
          <w:rFonts w:ascii="Arial" w:hAnsi="Arial" w:eastAsia="Arial"/>
          <w:sz w:val="21"/>
        </w:rPr>
        <w:t>jeu d’évaluation représentatif</w:t>
      </w:r>
    </w:p>
    <w:p>
      <w:pPr>
        <w:pStyle w:val="ListBullet"/>
        <w:spacing w:before="0" w:after="20" w:line="276" w:lineRule="auto"/>
      </w:pPr>
      <w:r>
        <w:rPr>
          <w:rFonts w:ascii="Arial" w:hAnsi="Arial" w:eastAsia="Arial"/>
          <w:sz w:val="21"/>
        </w:rPr>
        <w:t>comparaison avec baseline manuelle</w:t>
      </w:r>
    </w:p>
    <w:p>
      <w:pPr>
        <w:pStyle w:val="ListBullet"/>
        <w:spacing w:before="0" w:after="20" w:line="276" w:lineRule="auto"/>
      </w:pPr>
      <w:r>
        <w:rPr>
          <w:rFonts w:ascii="Arial" w:hAnsi="Arial" w:eastAsia="Arial"/>
          <w:sz w:val="21"/>
        </w:rPr>
        <w:t>critères de blocage avant généralisation</w:t>
      </w:r>
    </w:p>
    <w:p>
      <w:pPr>
        <w:pStyle w:val="ListBullet"/>
        <w:spacing w:before="0" w:after="20" w:line="276" w:lineRule="auto"/>
      </w:pPr>
      <w:r>
        <w:rPr>
          <w:rFonts w:ascii="Arial" w:hAnsi="Arial" w:eastAsia="Arial"/>
          <w:sz w:val="21"/>
        </w:rPr>
        <w:t>capacité à désactiver rapidement la feature</w:t>
      </w:r>
    </w:p>
    <w:p>
      <w:pPr>
        <w:pStyle w:val="Heading2"/>
        <w:spacing w:before="60" w:after="40" w:line="276" w:lineRule="auto"/>
      </w:pPr>
      <w:r>
        <w:t>Règle de gouvernance :</w:t>
      </w:r>
    </w:p>
    <w:p>
      <w:pPr>
        <w:pStyle w:val="ListBullet"/>
        <w:spacing w:before="0" w:after="20" w:line="276" w:lineRule="auto"/>
      </w:pPr>
      <w:r>
        <w:rPr>
          <w:rFonts w:ascii="Arial" w:hAnsi="Arial" w:eastAsia="Arial"/>
          <w:sz w:val="21"/>
        </w:rPr>
        <w:t>Aucune capacité IA ne doit être promue en feature cœur si elle n’améliore pas objectivement un workflow existant.</w:t>
      </w:r>
    </w:p>
    <w:p>
      <w:pPr>
        <w:pStyle w:val="Heading1"/>
        <w:spacing w:before="160" w:after="120" w:line="276" w:lineRule="auto"/>
      </w:pPr>
      <w:r>
        <w:t>11. Décisions figées pour la phase actuelle</w:t>
      </w:r>
    </w:p>
    <w:p>
      <w:pPr>
        <w:pStyle w:val="Heading2"/>
        <w:spacing w:before="60" w:after="40" w:line="276" w:lineRule="auto"/>
      </w:pPr>
      <w:r>
        <w:t>Décisions à considérer comme vraies maintenant :</w:t>
      </w:r>
    </w:p>
    <w:p>
      <w:pPr>
        <w:pStyle w:val="ListBullet"/>
        <w:spacing w:before="0" w:after="20" w:line="276" w:lineRule="auto"/>
      </w:pPr>
      <w:r>
        <w:rPr>
          <w:rFonts w:ascii="Arial" w:hAnsi="Arial" w:eastAsia="Arial"/>
          <w:sz w:val="21"/>
        </w:rPr>
        <w:t>La V1 actuelle est AI-ready, pas AI-led.</w:t>
      </w:r>
    </w:p>
    <w:p>
      <w:pPr>
        <w:pStyle w:val="ListBullet"/>
        <w:spacing w:before="0" w:after="20" w:line="276" w:lineRule="auto"/>
      </w:pPr>
      <w:r>
        <w:rPr>
          <w:rFonts w:ascii="Arial" w:hAnsi="Arial" w:eastAsia="Arial"/>
          <w:sz w:val="21"/>
        </w:rPr>
        <w:t>Aucun microservice IA n’est obligatoire à ce stade.</w:t>
      </w:r>
    </w:p>
    <w:p>
      <w:pPr>
        <w:pStyle w:val="ListBullet"/>
        <w:spacing w:before="0" w:after="20" w:line="276" w:lineRule="auto"/>
      </w:pPr>
      <w:r>
        <w:rPr>
          <w:rFonts w:ascii="Arial" w:hAnsi="Arial" w:eastAsia="Arial"/>
          <w:sz w:val="21"/>
        </w:rPr>
        <w:t>Aucun besoin de GraphQL pour activer les premiers usages IA.</w:t>
      </w:r>
    </w:p>
    <w:p>
      <w:pPr>
        <w:pStyle w:val="ListBullet"/>
        <w:spacing w:before="0" w:after="20" w:line="276" w:lineRule="auto"/>
      </w:pPr>
      <w:r>
        <w:rPr>
          <w:rFonts w:ascii="Arial" w:hAnsi="Arial" w:eastAsia="Arial"/>
          <w:sz w:val="21"/>
        </w:rPr>
        <w:t>Le backend reste le point d’entrée obligatoire des futures capacités IA.</w:t>
      </w:r>
    </w:p>
    <w:p>
      <w:pPr>
        <w:pStyle w:val="ListBullet"/>
        <w:spacing w:before="0" w:after="20" w:line="276" w:lineRule="auto"/>
      </w:pPr>
      <w:r>
        <w:rPr>
          <w:rFonts w:ascii="Arial" w:hAnsi="Arial" w:eastAsia="Arial"/>
          <w:sz w:val="21"/>
        </w:rPr>
        <w:t>L’IA arrivera après la stabilisation du backbone déterministe.</w:t>
      </w:r>
    </w:p>
    <w:p>
      <w:pPr>
        <w:pStyle w:val="ListBullet"/>
        <w:spacing w:before="0" w:after="20" w:line="276" w:lineRule="auto"/>
      </w:pPr>
      <w:r>
        <w:rPr>
          <w:rFonts w:ascii="Arial" w:hAnsi="Arial" w:eastAsia="Arial"/>
          <w:sz w:val="21"/>
        </w:rPr>
        <w:t>Le premier usage IA recommandé est le mapping assisté, pas une conversation générale.</w:t>
      </w:r>
    </w:p>
    <w:p>
      <w:pPr>
        <w:pStyle w:val="ListBullet"/>
        <w:spacing w:before="0" w:after="20" w:line="276" w:lineRule="auto"/>
      </w:pPr>
      <w:r>
        <w:rPr>
          <w:rFonts w:ascii="Arial" w:hAnsi="Arial" w:eastAsia="Arial"/>
          <w:sz w:val="21"/>
        </w:rPr>
        <w:t>Toute capacité IA métier restera human-in-the-loop au démarrage.</w:t>
      </w:r>
    </w:p>
    <w:p>
      <w:pPr>
        <w:pStyle w:val="Heading1"/>
        <w:spacing w:before="160" w:after="120" w:line="276" w:lineRule="auto"/>
      </w:pPr>
      <w:r>
        <w:t>12. Relation avec les autres documents</w:t>
      </w:r>
    </w:p>
    <w:p>
      <w:pPr>
        <w:pStyle w:val="Heading2"/>
        <w:spacing w:before="60" w:after="40" w:line="276" w:lineRule="auto"/>
      </w:pPr>
      <w:r>
        <w:t>3.1 IA Native Vision</w:t>
      </w:r>
    </w:p>
    <w:p>
      <w:pPr>
        <w:pStyle w:val="ListBullet"/>
        <w:spacing w:before="0" w:after="20" w:line="276" w:lineRule="auto"/>
      </w:pPr>
      <w:r>
        <w:rPr>
          <w:rFonts w:ascii="Arial" w:hAnsi="Arial" w:eastAsia="Arial"/>
          <w:sz w:val="21"/>
        </w:rPr>
        <w:t>reste la cible long terme ; ne doit pas être amputée à cause des arbitrages court terme.</w:t>
      </w:r>
    </w:p>
    <w:p>
      <w:pPr>
        <w:pStyle w:val="Heading2"/>
        <w:spacing w:before="60" w:after="40" w:line="276" w:lineRule="auto"/>
      </w:pPr>
      <w:r>
        <w:t>3.2 AI Playbook</w:t>
      </w:r>
    </w:p>
    <w:p>
      <w:pPr>
        <w:pStyle w:val="ListBullet"/>
        <w:spacing w:before="0" w:after="20" w:line="276" w:lineRule="auto"/>
      </w:pPr>
      <w:r>
        <w:rPr>
          <w:rFonts w:ascii="Arial" w:hAnsi="Arial" w:eastAsia="Arial"/>
          <w:sz w:val="21"/>
        </w:rPr>
        <w:t>reste la bibliothèque de patterns ; il n’implique pas que tout soit activé maintenant.</w:t>
      </w:r>
    </w:p>
    <w:p>
      <w:pPr>
        <w:pStyle w:val="Heading2"/>
        <w:spacing w:before="60" w:after="40" w:line="276" w:lineRule="auto"/>
      </w:pPr>
      <w:r>
        <w:t>2.3 Architecture Cadrage V1</w:t>
      </w:r>
    </w:p>
    <w:p>
      <w:pPr>
        <w:pStyle w:val="ListBullet"/>
        <w:spacing w:before="0" w:after="20" w:line="276" w:lineRule="auto"/>
      </w:pPr>
      <w:r>
        <w:rPr>
          <w:rFonts w:ascii="Arial" w:hAnsi="Arial" w:eastAsia="Arial"/>
          <w:sz w:val="21"/>
        </w:rPr>
        <w:t>porte l’architecture exécutable ; ce document doit rester compatible avec lui.</w:t>
      </w:r>
    </w:p>
    <w:p>
      <w:pPr>
        <w:pStyle w:val="Heading2"/>
        <w:spacing w:before="60" w:after="40" w:line="276" w:lineRule="auto"/>
      </w:pPr>
      <w:r>
        <w:t>AGENTS.md / ADRs / specs</w:t>
      </w:r>
    </w:p>
    <w:p>
      <w:pPr>
        <w:pStyle w:val="ListBullet"/>
        <w:spacing w:before="0" w:after="20" w:line="276" w:lineRule="auto"/>
      </w:pPr>
      <w:r>
        <w:rPr>
          <w:rFonts w:ascii="Arial" w:hAnsi="Arial" w:eastAsia="Arial"/>
          <w:sz w:val="21"/>
        </w:rPr>
        <w:t>restent la vérité de delivery et de repo ; ce document ne les remplace pas.</w:t>
      </w:r>
    </w:p>
    <w:p>
      <w:pPr>
        <w:pStyle w:val="Heading1"/>
        <w:spacing w:before="160" w:after="120" w:line="276" w:lineRule="auto"/>
      </w:pPr>
      <w:r>
        <w:t>13. Clause de révision</w:t>
      </w:r>
    </w:p>
    <w:p>
      <w:pPr>
        <w:spacing w:before="0" w:after="100" w:line="276" w:lineRule="auto"/>
      </w:pPr>
      <w:r>
        <w:t>Ce cadrage doit être révisé à chaque fois qu’un usage IA central devient réellement activable dans le produit. Le signal de révision n’est pas une intuition, mais un changement de réalité : taxonomie stabilisée, flux métier mature, évaluations prêtes, feature flag disponible, et cas d’usage suffisamment important pour justifier une nouvelle étape.</w:t>
      </w:r>
    </w:p>
    <w:p>
      <w:pPr>
        <w:spacing w:before="0" w:after="100" w:line="276" w:lineRule="auto"/>
      </w:pPr>
      <w:r>
        <w:t>Tant que ces conditions ne sont pas réunies, la bonne discipline consiste à protéger la trajectoire : garder la vision, garder les playbooks, mais ne pas prétendre que l’IA est déjà le moteur de la V1.</w:t>
      </w:r>
    </w:p>
    <w:p>
      <w:pPr>
        <w:pStyle w:val="Heading1"/>
        <w:spacing w:before="160" w:after="120" w:line="276" w:lineRule="auto"/>
      </w:pPr>
      <w:r>
        <w:t>Annexe — lecture rapide des arbitrages</w:t>
      </w:r>
    </w:p>
    <w:tbl>
      <w:tblPr>
        <w:tblW w:type="auto" w:w="0"/>
        <w:jc w:val="center"/>
        <w:tblLayout w:type="fixed"/>
        <w:tblLook w:firstColumn="1" w:firstRow="1" w:lastColumn="0" w:lastRow="0" w:noHBand="0" w:noVBand="1" w:val="04A0"/>
        <w:tblBorders>
          <w:top w:val="single" w:sz="8" w:space="0" w:color="D0D7DE"/>
          <w:left w:val="single" w:sz="8" w:space="0" w:color="D0D7DE"/>
          <w:bottom w:val="single" w:sz="8" w:space="0" w:color="D0D7DE"/>
          <w:right w:val="single" w:sz="8" w:space="0" w:color="D0D7DE"/>
          <w:insideH w:val="single" w:sz="8" w:space="0" w:color="D0D7DE"/>
          <w:insideV w:val="single" w:sz="8" w:space="0" w:color="D0D7DE"/>
        </w:tblBorders>
      </w:tblPr>
      <w:tblGrid>
        <w:gridCol w:w="3137"/>
        <w:gridCol w:w="3137"/>
        <w:gridCol w:w="3137"/>
      </w:tblGrid>
      <w:tr>
        <w:tc>
          <w:tcPr>
            <w:tcW w:type="dxa" w:w="2835"/>
            <w:shd w:fill="EAF1F8"/>
            <w:tcMar>
              <w:top w:w="90" w:type="dxa"/>
              <w:start w:w="110" w:type="dxa"/>
              <w:bottom w:w="90" w:type="dxa"/>
              <w:end w:w="110" w:type="dxa"/>
            </w:tcMar>
          </w:tcPr>
          <w:p>
            <w:pPr>
              <w:jc w:val="center"/>
            </w:pPr>
            <w:r>
              <w:rPr>
                <w:b/>
                <w:color w:val="18385E"/>
                <w:sz w:val="20"/>
              </w:rPr>
              <w:t>Sujet</w:t>
            </w:r>
          </w:p>
        </w:tc>
        <w:tc>
          <w:tcPr>
            <w:tcW w:type="dxa" w:w="3231"/>
            <w:shd w:fill="EAF1F8"/>
            <w:tcMar>
              <w:top w:w="90" w:type="dxa"/>
              <w:start w:w="110" w:type="dxa"/>
              <w:bottom w:w="90" w:type="dxa"/>
              <w:end w:w="110" w:type="dxa"/>
            </w:tcMar>
          </w:tcPr>
          <w:p>
            <w:pPr>
              <w:jc w:val="center"/>
            </w:pPr>
            <w:r>
              <w:rPr>
                <w:b/>
                <w:color w:val="18385E"/>
                <w:sz w:val="20"/>
              </w:rPr>
              <w:t>Décision actuelle</w:t>
            </w:r>
          </w:p>
        </w:tc>
        <w:tc>
          <w:tcPr>
            <w:tcW w:type="dxa" w:w="3288"/>
            <w:shd w:fill="EAF1F8"/>
            <w:tcMar>
              <w:top w:w="90" w:type="dxa"/>
              <w:start w:w="110" w:type="dxa"/>
              <w:bottom w:w="90" w:type="dxa"/>
              <w:end w:w="110" w:type="dxa"/>
            </w:tcMar>
          </w:tcPr>
          <w:p>
            <w:pPr>
              <w:jc w:val="center"/>
            </w:pPr>
            <w:r>
              <w:rPr>
                <w:b/>
                <w:color w:val="18385E"/>
                <w:sz w:val="20"/>
              </w:rPr>
              <w:t>Déclencheur de révision</w:t>
            </w:r>
          </w:p>
        </w:tc>
      </w:tr>
      <w:tr>
        <w:tc>
          <w:tcPr>
            <w:tcW w:type="dxa" w:w="3137"/>
            <w:tcMar>
              <w:top w:w="90" w:type="dxa"/>
              <w:start w:w="110" w:type="dxa"/>
              <w:bottom w:w="90" w:type="dxa"/>
              <w:end w:w="110" w:type="dxa"/>
            </w:tcMar>
            <w:vAlign w:val="center"/>
          </w:tcPr>
          <w:p>
            <w:pPr>
              <w:jc w:val="left"/>
            </w:pPr>
            <w:r>
              <w:rPr>
                <w:sz w:val="20"/>
              </w:rPr>
              <w:t>Positionnement IA</w:t>
            </w:r>
          </w:p>
        </w:tc>
        <w:tc>
          <w:tcPr>
            <w:tcW w:type="dxa" w:w="3137"/>
            <w:tcMar>
              <w:top w:w="90" w:type="dxa"/>
              <w:start w:w="110" w:type="dxa"/>
              <w:bottom w:w="90" w:type="dxa"/>
              <w:end w:w="110" w:type="dxa"/>
            </w:tcMar>
            <w:vAlign w:val="center"/>
          </w:tcPr>
          <w:p>
            <w:pPr>
              <w:jc w:val="left"/>
            </w:pPr>
            <w:r>
              <w:rPr>
                <w:sz w:val="20"/>
              </w:rPr>
              <w:t>AI-ready, pas AI-led</w:t>
            </w:r>
          </w:p>
        </w:tc>
        <w:tc>
          <w:tcPr>
            <w:tcW w:type="dxa" w:w="3137"/>
            <w:tcMar>
              <w:top w:w="90" w:type="dxa"/>
              <w:start w:w="110" w:type="dxa"/>
              <w:bottom w:w="90" w:type="dxa"/>
              <w:end w:w="110" w:type="dxa"/>
            </w:tcMar>
            <w:vAlign w:val="center"/>
          </w:tcPr>
          <w:p>
            <w:pPr>
              <w:jc w:val="left"/>
            </w:pPr>
            <w:r>
              <w:rPr>
                <w:sz w:val="20"/>
              </w:rPr>
              <w:t>Premier workflow IA central réellement activable</w:t>
            </w:r>
          </w:p>
        </w:tc>
      </w:tr>
      <w:tr>
        <w:tc>
          <w:tcPr>
            <w:tcW w:type="dxa" w:w="3137"/>
            <w:tcMar>
              <w:top w:w="90" w:type="dxa"/>
              <w:start w:w="110" w:type="dxa"/>
              <w:bottom w:w="90" w:type="dxa"/>
              <w:end w:w="110" w:type="dxa"/>
            </w:tcMar>
            <w:vAlign w:val="center"/>
          </w:tcPr>
          <w:p>
            <w:pPr>
              <w:jc w:val="left"/>
            </w:pPr>
            <w:r>
              <w:rPr>
                <w:sz w:val="20"/>
              </w:rPr>
              <w:t>Runtime IA</w:t>
            </w:r>
          </w:p>
        </w:tc>
        <w:tc>
          <w:tcPr>
            <w:tcW w:type="dxa" w:w="3137"/>
            <w:tcMar>
              <w:top w:w="90" w:type="dxa"/>
              <w:start w:w="110" w:type="dxa"/>
              <w:bottom w:w="90" w:type="dxa"/>
              <w:end w:w="110" w:type="dxa"/>
            </w:tcMar>
            <w:vAlign w:val="center"/>
          </w:tcPr>
          <w:p>
            <w:pPr>
              <w:jc w:val="left"/>
            </w:pPr>
            <w:r>
              <w:rPr>
                <w:sz w:val="20"/>
              </w:rPr>
              <w:t>Pas de microservice dédié imposé</w:t>
            </w:r>
          </w:p>
        </w:tc>
        <w:tc>
          <w:tcPr>
            <w:tcW w:type="dxa" w:w="3137"/>
            <w:tcMar>
              <w:top w:w="90" w:type="dxa"/>
              <w:start w:w="110" w:type="dxa"/>
              <w:bottom w:w="90" w:type="dxa"/>
              <w:end w:w="110" w:type="dxa"/>
            </w:tcMar>
            <w:vAlign w:val="center"/>
          </w:tcPr>
          <w:p>
            <w:pPr>
              <w:jc w:val="left"/>
            </w:pPr>
            <w:r>
              <w:rPr>
                <w:sz w:val="20"/>
              </w:rPr>
              <w:t>Complexité réelle justifiant une extraction</w:t>
            </w:r>
          </w:p>
        </w:tc>
      </w:tr>
      <w:tr>
        <w:tc>
          <w:tcPr>
            <w:tcW w:type="dxa" w:w="3137"/>
            <w:tcMar>
              <w:top w:w="90" w:type="dxa"/>
              <w:start w:w="110" w:type="dxa"/>
              <w:bottom w:w="90" w:type="dxa"/>
              <w:end w:w="110" w:type="dxa"/>
            </w:tcMar>
            <w:vAlign w:val="center"/>
          </w:tcPr>
          <w:p>
            <w:pPr>
              <w:jc w:val="left"/>
            </w:pPr>
            <w:r>
              <w:rPr>
                <w:sz w:val="20"/>
              </w:rPr>
              <w:t>API</w:t>
            </w:r>
          </w:p>
        </w:tc>
        <w:tc>
          <w:tcPr>
            <w:tcW w:type="dxa" w:w="3137"/>
            <w:tcMar>
              <w:top w:w="90" w:type="dxa"/>
              <w:start w:w="110" w:type="dxa"/>
              <w:bottom w:w="90" w:type="dxa"/>
              <w:end w:w="110" w:type="dxa"/>
            </w:tcMar>
            <w:vAlign w:val="center"/>
          </w:tcPr>
          <w:p>
            <w:pPr>
              <w:jc w:val="left"/>
            </w:pPr>
            <w:r>
              <w:rPr>
                <w:sz w:val="20"/>
              </w:rPr>
              <w:t>Pas de besoin GraphQL pour l’IA V1</w:t>
            </w:r>
          </w:p>
        </w:tc>
        <w:tc>
          <w:tcPr>
            <w:tcW w:type="dxa" w:w="3137"/>
            <w:tcMar>
              <w:top w:w="90" w:type="dxa"/>
              <w:start w:w="110" w:type="dxa"/>
              <w:bottom w:w="90" w:type="dxa"/>
              <w:end w:w="110" w:type="dxa"/>
            </w:tcMar>
            <w:vAlign w:val="center"/>
          </w:tcPr>
          <w:p>
            <w:pPr>
              <w:jc w:val="left"/>
            </w:pPr>
            <w:r>
              <w:rPr>
                <w:sz w:val="20"/>
              </w:rPr>
              <w:t>Coût réel de composition frontend</w:t>
            </w:r>
          </w:p>
        </w:tc>
      </w:tr>
      <w:tr>
        <w:tc>
          <w:tcPr>
            <w:tcW w:type="dxa" w:w="3137"/>
            <w:tcMar>
              <w:top w:w="90" w:type="dxa"/>
              <w:start w:w="110" w:type="dxa"/>
              <w:bottom w:w="90" w:type="dxa"/>
              <w:end w:w="110" w:type="dxa"/>
            </w:tcMar>
            <w:vAlign w:val="center"/>
          </w:tcPr>
          <w:p>
            <w:pPr>
              <w:jc w:val="left"/>
            </w:pPr>
            <w:r>
              <w:rPr>
                <w:sz w:val="20"/>
              </w:rPr>
              <w:t>Capacité IA n°1</w:t>
            </w:r>
          </w:p>
        </w:tc>
        <w:tc>
          <w:tcPr>
            <w:tcW w:type="dxa" w:w="3137"/>
            <w:tcMar>
              <w:top w:w="90" w:type="dxa"/>
              <w:start w:w="110" w:type="dxa"/>
              <w:bottom w:w="90" w:type="dxa"/>
              <w:end w:w="110" w:type="dxa"/>
            </w:tcMar>
            <w:vAlign w:val="center"/>
          </w:tcPr>
          <w:p>
            <w:pPr>
              <w:jc w:val="left"/>
            </w:pPr>
            <w:r>
              <w:rPr>
                <w:sz w:val="20"/>
              </w:rPr>
              <w:t>Mapping assisté</w:t>
            </w:r>
          </w:p>
        </w:tc>
        <w:tc>
          <w:tcPr>
            <w:tcW w:type="dxa" w:w="3137"/>
            <w:tcMar>
              <w:top w:w="90" w:type="dxa"/>
              <w:start w:w="110" w:type="dxa"/>
              <w:bottom w:w="90" w:type="dxa"/>
              <w:end w:w="110" w:type="dxa"/>
            </w:tcMar>
            <w:vAlign w:val="center"/>
          </w:tcPr>
          <w:p>
            <w:pPr>
              <w:jc w:val="left"/>
            </w:pPr>
            <w:r>
              <w:rPr>
                <w:sz w:val="20"/>
              </w:rPr>
              <w:t>Taxonomie cible + contrôles stables</w:t>
            </w:r>
          </w:p>
        </w:tc>
      </w:tr>
      <w:tr>
        <w:tc>
          <w:tcPr>
            <w:tcW w:type="dxa" w:w="3137"/>
            <w:tcMar>
              <w:top w:w="90" w:type="dxa"/>
              <w:start w:w="110" w:type="dxa"/>
              <w:bottom w:w="90" w:type="dxa"/>
              <w:end w:w="110" w:type="dxa"/>
            </w:tcMar>
            <w:vAlign w:val="center"/>
          </w:tcPr>
          <w:p>
            <w:pPr>
              <w:jc w:val="left"/>
            </w:pPr>
            <w:r>
              <w:rPr>
                <w:sz w:val="20"/>
              </w:rPr>
              <w:t>Autonomie</w:t>
            </w:r>
          </w:p>
        </w:tc>
        <w:tc>
          <w:tcPr>
            <w:tcW w:type="dxa" w:w="3137"/>
            <w:tcMar>
              <w:top w:w="90" w:type="dxa"/>
              <w:start w:w="110" w:type="dxa"/>
              <w:bottom w:w="90" w:type="dxa"/>
              <w:end w:w="110" w:type="dxa"/>
            </w:tcMar>
            <w:vAlign w:val="center"/>
          </w:tcPr>
          <w:p>
            <w:pPr>
              <w:jc w:val="left"/>
            </w:pPr>
            <w:r>
              <w:rPr>
                <w:sz w:val="20"/>
              </w:rPr>
              <w:t>Human-in-the-loop obligatoire</w:t>
            </w:r>
          </w:p>
        </w:tc>
        <w:tc>
          <w:tcPr>
            <w:tcW w:type="dxa" w:w="3137"/>
            <w:tcMar>
              <w:top w:w="90" w:type="dxa"/>
              <w:start w:w="110" w:type="dxa"/>
              <w:bottom w:w="90" w:type="dxa"/>
              <w:end w:w="110" w:type="dxa"/>
            </w:tcMar>
            <w:vAlign w:val="center"/>
          </w:tcPr>
          <w:p>
            <w:pPr>
              <w:jc w:val="left"/>
            </w:pPr>
            <w:r>
              <w:rPr>
                <w:sz w:val="20"/>
              </w:rPr>
              <w:t>Qualité prouvée + cadre de risque revu</w:t>
            </w:r>
          </w:p>
        </w:tc>
      </w:tr>
      <w:tr>
        <w:tc>
          <w:tcPr>
            <w:tcW w:type="dxa" w:w="3137"/>
            <w:tcMar>
              <w:top w:w="90" w:type="dxa"/>
              <w:start w:w="110" w:type="dxa"/>
              <w:bottom w:w="90" w:type="dxa"/>
              <w:end w:w="110" w:type="dxa"/>
            </w:tcMar>
            <w:vAlign w:val="center"/>
          </w:tcPr>
          <w:p>
            <w:pPr>
              <w:jc w:val="left"/>
            </w:pPr>
            <w:r>
              <w:rPr>
                <w:sz w:val="20"/>
              </w:rPr>
              <w:t>Gouvernance</w:t>
            </w:r>
          </w:p>
        </w:tc>
        <w:tc>
          <w:tcPr>
            <w:tcW w:type="dxa" w:w="3137"/>
            <w:tcMar>
              <w:top w:w="90" w:type="dxa"/>
              <w:start w:w="110" w:type="dxa"/>
              <w:bottom w:w="90" w:type="dxa"/>
              <w:end w:w="110" w:type="dxa"/>
            </w:tcMar>
            <w:vAlign w:val="center"/>
          </w:tcPr>
          <w:p>
            <w:pPr>
              <w:jc w:val="left"/>
            </w:pPr>
            <w:r>
              <w:rPr>
                <w:sz w:val="20"/>
              </w:rPr>
              <w:t>Evidence-first + structured outputs</w:t>
            </w:r>
          </w:p>
        </w:tc>
        <w:tc>
          <w:tcPr>
            <w:tcW w:type="dxa" w:w="3137"/>
            <w:tcMar>
              <w:top w:w="90" w:type="dxa"/>
              <w:start w:w="110" w:type="dxa"/>
              <w:bottom w:w="90" w:type="dxa"/>
              <w:end w:w="110" w:type="dxa"/>
            </w:tcMar>
            <w:vAlign w:val="center"/>
          </w:tcPr>
          <w:p>
            <w:pPr>
              <w:jc w:val="left"/>
            </w:pPr>
            <w:r>
              <w:rPr>
                <w:sz w:val="20"/>
              </w:rPr>
              <w:t>Aucun changement sans audit et métriques</w:t>
            </w:r>
          </w:p>
        </w:tc>
      </w:tr>
    </w:tbl>
    <w:sectPr w:rsidR="00FC693F" w:rsidRPr="0006063C" w:rsidSect="00034616">
      <w:headerReference w:type="default" r:id="rId9"/>
      <w:footerReference w:type="default" r:id="rId10"/>
      <w:pgSz w:w="11906" w:h="16838"/>
      <w:pgMar w:top="1247"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Source de vérité de la phase actuelle • complète 3.1-IA Native Vision et 3.2-AI Playbook sans les remplacer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3.3 — IA-Cadrage-V1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85E"/>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58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3Title">
    <w:name w:val="AI3Title"/>
    <w:basedOn w:val="Normal"/>
    <w:rPr>
      <w:rFonts w:ascii="Arial" w:hAnsi="Arial" w:eastAsia="Arial"/>
      <w:b/>
      <w:color w:val="18385E"/>
      <w:sz w:val="48"/>
    </w:rPr>
  </w:style>
  <w:style w:type="paragraph" w:customStyle="1" w:styleId="AI3Subtitle">
    <w:name w:val="AI3Subtitle"/>
    <w:basedOn w:val="Normal"/>
    <w:rPr>
      <w:rFonts w:ascii="Arial" w:hAnsi="Arial" w:eastAsia="Arial"/>
      <w:i/>
      <w:color w:val="5A626C"/>
      <w:sz w:val="22"/>
    </w:rPr>
  </w:style>
  <w:style w:type="paragraph" w:customStyle="1" w:styleId="Callout">
    <w:name w:val="Callout"/>
    <w:basedOn w:val="Normal"/>
    <w:rPr>
      <w:rFonts w:ascii="Arial" w:hAnsi="Arial" w:eastAsia="Arial"/>
      <w:sz w:val="21"/>
    </w:rPr>
  </w:style>
  <w:style w:type="paragraph" w:customStyle="1" w:styleId="SmallNote">
    <w:name w:val="SmallNote"/>
    <w:basedOn w:val="Normal"/>
    <w:rPr>
      <w:rFonts w:ascii="Arial" w:hAnsi="Arial" w:eastAsia="Arial"/>
      <w:color w:val="5A62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