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0" w:name="content"/>
    <w:bookmarkStart w:id="99" w:name="Xdefa920c8d7599aad19959ee92cea8d8b3840d9"/>
    <w:p>
      <w:pPr>
        <w:pStyle w:val="Heading1"/>
      </w:pPr>
      <w:r>
        <w:t>Cahier des Charges — SaaS de Clôture Comptable Suisse (réaligné V1 exécutable)</w:t>
      </w:r>
    </w:p>
    <w:bookmarkStart w:id="25" w:name="contexte-et-promesse-produit"/>
    <w:p>
      <w:pPr>
        <w:pStyle w:val="Heading2"/>
      </w:pPr>
      <w:r>
        <w:t xml:space="preserve">1. Contexte et Promesse Produit</w:t>
      </w:r>
    </w:p>
    <w:p>
      <w:pPr>
        <w:pStyle w:val="FirstParagraph"/>
      </w:pPr>
      <w:r>
        <w:t>La clôture comptable annuelle en Suisse reste un processus chronophage et risqué pour les fiduciaires et PME. Le besoin d’un produit centralisant le closing reste intact. En revanche, le présent cahier doit désormais distinguer clairement le noyau réellement exécutable de la V1 courante et la cible produit plus large, afin d’éviter de confondre repo actuel, trajectoire produit et North Star.</w:t>
      </w:r>
    </w:p>
    <w:p>
      <w:pPr>
        <w:pStyle w:val="BodyText"/>
      </w:pPr>
      <w:r>
        <w:t>Promesse du produit : bâtir un SaaS de clôture premium qui réduit le temps de bouclement, améliore la fiabilité et prépare un cockpit de closing audit-ready. Dans la phase actuelle, cette promesse s’incarne d’abord dans un backbone déterministe — dossier de closing, import de balance versionné, mapping manuel stable, contrôles à venir — plutôt que dans une couverture exhaustive immédiate de tous les livrables de clôture.</w:t>
      </w:r>
    </w:p>
    <w:p>
      <w:pPr>
        <w:pStyle w:val="BodyText"/>
      </w:pPr>
      <w:r>
        <w:t>Le positionnement reste premium et aligné sur trois visions fondatrices, mais leur lecture doit être phasée : ce qui relève du noyau exécutable maintenant, ce qui est AI-ready ou UX-ready, et ce qui demeure une cible produit ultérieure.</w:t>
      </w:r>
    </w:p>
    <w:p>
      <w:pPr>
        <w:numPr>
          <w:ilvl w:val="0"/>
          <w:numId w:val="1001"/>
        </w:numPr>
      </w:pPr>
      <w:r>
        <w:t>UX “11/10” : la cible long terme reste une expérience premium, multi-device et confiance-by-design. Pour la phase actuelle, la vérité d’exécution est plus resserrée : backend-first, desktop-first, navigation courte, contexte tenant/dossier toujours visible, et focalisation sur le flux dossier  -&gt;  import  -&gt;  mapping  -&gt;  controls plutôt que sur une surface riche déjà complète.</w:t>
      </w:r>
    </w:p>
    <w:p>
      <w:pPr>
        <w:numPr>
          <w:ilvl w:val="0"/>
          <w:numId w:val="1001"/>
        </w:numPr>
      </w:pPr>
      <w:r>
        <w:t>Architecture technique “banque-grade” : la réalité V1 actuelle est un monolithe modulaire Kotlin/Spring Boot, API publique REST-first, PostgreSQL/Cloud SQL, Cloud Run, multi-tenancy applicative d’abord, audit append-only sur mutations significatives, et développement local sans Docker requis. GraphQL, RLS élargie, ABAC généralisé ou sécurité de cible plus étendue relèvent d’un état futur ou d’un hardening progressif.</w:t>
      </w:r>
    </w:p>
    <w:p>
      <w:pPr>
        <w:numPr>
          <w:ilvl w:val="0"/>
          <w:numId w:val="1001"/>
        </w:numPr>
      </w:pPr>
      <w:r>
        <w:t>IA evidence-first : la trajectoire reste ambitieuse, mais la V1 courante est AI-ready et non AI-led. L’IA n’est pas encore structurante dans le runtime principal ; elle est préparée par des contrats, une gouvernance et une exigence de validation humaine, avec un premier candidat plausible plus tard sur le mapping assisté.</w:t>
      </w:r>
    </w:p>
    <w:p>
      <w:pPr>
        <w:pStyle w:val="FirstParagraph"/>
      </w:pPr>
      <w:r>
        <w:t>En résumé, ce cahier réaligné doit être lu en deux couches : un noyau exécutable immédiat — closing, import, mapping manuel, contrôles déterministes — et une cible produit étendue qui inclut plus tard états financiers, annexe, workpapers, exports, compliance avancée et usages IA plus riches.</w:t>
      </w:r>
    </w:p>
    <w:bookmarkEnd w:id="25"/>
    <w:bookmarkStart w:id="28" w:name="objectifs-et-kpis-dimpact-v1"/>
    <w:p>
      <w:pPr>
        <w:pStyle w:val="Heading2"/>
      </w:pPr>
      <w:r>
        <w:t>2. Objectifs et KPIs d’Impact (noyau V1 et trajectoire)</w:t>
      </w:r>
    </w:p>
    <w:p>
      <w:pPr>
        <w:pStyle w:val="FirstParagraph"/>
      </w:pPr>
      <w:r>
        <w:t>Les objectifs restent ambitieux, mais ils doivent désormais être lus avec un séquencement explicite. Certains KPIs mesurent le noyau V1 réellement exécutable ; d’autres restent des KPIs de trajectoire pour les vagues produit ultérieures. L’important est d’éviter de promettre comme livrée une couverture qui n’est pas encore présente dans le runtime.</w:t>
      </w:r>
    </w:p>
    <w:p>
      <w:pPr>
        <w:numPr>
          <w:ilvl w:val="0"/>
          <w:numId w:val="1002"/>
        </w:numPr>
      </w:pPr>
      <w:r>
        <w:rPr>
          <w:b/>
          <w:bCs/>
        </w:rPr>
        <w:t xml:space="preserve">Réduction drastique du temps de clôture</w:t>
      </w:r>
      <w:r>
        <w:t xml:space="preserve"> </w:t>
      </w:r>
      <w:r>
        <w:t xml:space="preserve">: Diminuer significativement la durée moyenne d’un bouclement annuel par client. L’ambition est de réduire</w:t>
      </w:r>
      <w:r>
        <w:t xml:space="preserve"> </w:t>
      </w:r>
      <w:r>
        <w:rPr>
          <w:b/>
          <w:bCs/>
        </w:rPr>
        <w:t xml:space="preserve">le temps moyen de clôture financière</w:t>
      </w:r>
      <w:r>
        <w:t xml:space="preserve"> </w:t>
      </w:r>
      <w:r>
        <w:t xml:space="preserve">d’au moins 30–50% par rapport aux pratiques actuelles</w:t>
      </w:r>
      <w:hyperlink r:id="rId26">
        <w:r>
          <w:rPr>
            <w:rStyle w:val="Hyperlink"/>
          </w:rPr>
          <w:t xml:space="preserve">[5]</w:t>
        </w:r>
      </w:hyperlink>
      <w:r>
        <w:t xml:space="preserve">. Par exemple, si un mandat prenait 5 jours de travail étalés sur 2 semaines, viser 2-3 jours de travail effectif sur une semaine grâce aux automatisations.</w:t>
      </w:r>
      <w:r>
        <w:t xml:space="preserve"> </w:t>
      </w:r>
      <w:r>
        <w:rPr>
          <w:i/>
          <w:iCs/>
        </w:rPr>
        <w:t xml:space="preserve">KPI :</w:t>
      </w:r>
      <w:r>
        <w:t xml:space="preserve"> </w:t>
      </w:r>
      <w:r>
        <w:t xml:space="preserve">mesurer le</w:t>
      </w:r>
      <w:r>
        <w:t xml:space="preserve"> </w:t>
      </w:r>
      <w:r>
        <w:rPr>
          <w:b/>
          <w:bCs/>
        </w:rPr>
        <w:t xml:space="preserve">nombre d’heures</w:t>
      </w:r>
      <w:r>
        <w:t xml:space="preserve"> </w:t>
      </w:r>
      <w:r>
        <w:t xml:space="preserve">ou jours économisés par clôture en moyenne.</w:t>
      </w:r>
    </w:p>
    <w:p>
      <w:pPr>
        <w:numPr>
          <w:ilvl w:val="0"/>
          <w:numId w:val="1002"/>
        </w:numPr>
      </w:pPr>
      <w:r>
        <w:rPr>
          <w:b/>
          <w:bCs/>
        </w:rPr>
        <w:t xml:space="preserve">Gains de productivité et charge optimisée</w:t>
      </w:r>
      <w:r>
        <w:t xml:space="preserve"> </w:t>
      </w:r>
      <w:r>
        <w:t xml:space="preserve">: Permettre à chaque collaborateur (assistant comptable, réviseur) de gérer plus de dossiers dans le même temps, sans sacrifier la qualité. Cela passe par l’automatisation des tâches sans valeur ajoutée et la diminution des ressaisies.</w:t>
      </w:r>
      <w:r>
        <w:t xml:space="preserve"> </w:t>
      </w:r>
      <w:r>
        <w:rPr>
          <w:i/>
          <w:iCs/>
        </w:rPr>
        <w:t xml:space="preserve">KPIs :</w:t>
      </w:r>
      <w:r>
        <w:t xml:space="preserve"> </w:t>
      </w:r>
      <w:r>
        <w:t xml:space="preserve">le</w:t>
      </w:r>
      <w:r>
        <w:t xml:space="preserve"> </w:t>
      </w:r>
      <w:r>
        <w:rPr>
          <w:b/>
          <w:bCs/>
        </w:rPr>
        <w:t xml:space="preserve">gain de productivité des équipes financières</w:t>
      </w:r>
      <w:r>
        <w:t xml:space="preserve"> </w:t>
      </w:r>
      <w:r>
        <w:t xml:space="preserve">(ex. +X% de dossiers traités par collaborateur) et la</w:t>
      </w:r>
      <w:r>
        <w:t xml:space="preserve"> </w:t>
      </w:r>
      <w:r>
        <w:rPr>
          <w:b/>
          <w:bCs/>
        </w:rPr>
        <w:t xml:space="preserve">baisse des erreurs manuelles détectées</w:t>
      </w:r>
      <w:r>
        <w:t xml:space="preserve"> </w:t>
      </w:r>
      <w:r>
        <w:t xml:space="preserve">dans les états</w:t>
      </w:r>
      <w:hyperlink r:id="rId27">
        <w:r>
          <w:rPr>
            <w:rStyle w:val="Hyperlink"/>
          </w:rPr>
          <w:t xml:space="preserve">[6]</w:t>
        </w:r>
      </w:hyperlink>
      <w:r>
        <w:t xml:space="preserve">. On peut aussi suivre le</w:t>
      </w:r>
      <w:r>
        <w:t xml:space="preserve"> </w:t>
      </w:r>
      <w:r>
        <w:rPr>
          <w:b/>
          <w:bCs/>
        </w:rPr>
        <w:t xml:space="preserve">taux d’automatisation des écritures de clôture</w:t>
      </w:r>
      <w:r>
        <w:t xml:space="preserve"> </w:t>
      </w:r>
      <w:r>
        <w:t xml:space="preserve">(pourcentage d’écritures d’ajustement ou de mappings suggérés par l’IA et validés, par rapport au total)</w:t>
      </w:r>
      <w:hyperlink r:id="rId26">
        <w:r>
          <w:rPr>
            <w:rStyle w:val="Hyperlink"/>
          </w:rPr>
          <w:t xml:space="preserve">[5]</w:t>
        </w:r>
      </w:hyperlink>
      <w:r>
        <w:t xml:space="preserve">.</w:t>
      </w:r>
    </w:p>
    <w:p>
      <w:pPr>
        <w:numPr>
          <w:ilvl w:val="0"/>
          <w:numId w:val="1002"/>
        </w:numPr>
      </w:pPr>
      <w:r>
        <w:rPr>
          <w:b/>
          <w:bCs/>
        </w:rPr>
        <w:t xml:space="preserve">Qualité et conformité 100% maîtrisées</w:t>
      </w:r>
      <w:r>
        <w:t xml:space="preserve"> </w:t>
      </w:r>
      <w:r>
        <w:t xml:space="preserve">: Aucune étape critique de contrôle ou de compliance ne doit être omise ou bâclée grâce au système. L’outil doit garantir que toutes les vérifications réglementaires (surendettement, continuité d’exploitation, etc.) et tous les contrôles d’équilibrage sont effectués et documentés.</w:t>
      </w:r>
      <w:r>
        <w:t xml:space="preserve"> </w:t>
      </w:r>
      <w:r>
        <w:rPr>
          <w:i/>
          <w:iCs/>
        </w:rPr>
        <w:t xml:space="preserve">KPIs :</w:t>
      </w:r>
      <w:r>
        <w:t xml:space="preserve"> </w:t>
      </w:r>
      <w:r>
        <w:rPr>
          <w:b/>
          <w:bCs/>
        </w:rPr>
        <w:t xml:space="preserve">taux de complétion des contrôles</w:t>
      </w:r>
      <w:r>
        <w:t xml:space="preserve"> </w:t>
      </w:r>
      <w:r>
        <w:t xml:space="preserve">(100% des contrôles obligatoires effectués ou explicitement commentés),</w:t>
      </w:r>
      <w:r>
        <w:t xml:space="preserve"> </w:t>
      </w:r>
      <w:r>
        <w:rPr>
          <w:b/>
          <w:bCs/>
        </w:rPr>
        <w:t xml:space="preserve">volume d’anomalies détectées</w:t>
      </w:r>
      <w:r>
        <w:t xml:space="preserve"> </w:t>
      </w:r>
      <w:r>
        <w:t xml:space="preserve">automatiquement (et corrigées) avant la finalisation</w:t>
      </w:r>
      <w:hyperlink r:id="rId26">
        <w:r>
          <w:rPr>
            <w:rStyle w:val="Hyperlink"/>
          </w:rPr>
          <w:t xml:space="preserve">[5]</w:t>
        </w:r>
      </w:hyperlink>
      <w:r>
        <w:t xml:space="preserve">, et absence de remarques négatives des auditeurs externes sur la documentation de clôture (mesure qualitative).</w:t>
      </w:r>
    </w:p>
    <w:p>
      <w:pPr>
        <w:numPr>
          <w:ilvl w:val="0"/>
          <w:numId w:val="1002"/>
        </w:numPr>
      </w:pPr>
      <w:r>
        <w:rPr>
          <w:b/>
          <w:bCs/>
        </w:rPr>
        <w:t xml:space="preserve">Adoption forte et satisfaction utilisateur</w:t>
      </w:r>
      <w:r>
        <w:t xml:space="preserve"> </w:t>
      </w:r>
      <w:r>
        <w:t xml:space="preserve">: Obtenir une</w:t>
      </w:r>
      <w:r>
        <w:t xml:space="preserve"> </w:t>
      </w:r>
      <w:r>
        <w:rPr>
          <w:b/>
          <w:bCs/>
        </w:rPr>
        <w:t xml:space="preserve">adhésion massive des fiduciaires pilotes</w:t>
      </w:r>
      <w:r>
        <w:t xml:space="preserve"> </w:t>
      </w:r>
      <w:r>
        <w:t xml:space="preserve">dès les premiers mois. L’outil doit être jugé indispensable par ses utilisateurs.</w:t>
      </w:r>
      <w:r>
        <w:t xml:space="preserve"> </w:t>
      </w:r>
      <w:r>
        <w:rPr>
          <w:i/>
          <w:iCs/>
        </w:rPr>
        <w:t xml:space="preserve">KPIs :</w:t>
      </w:r>
      <w:r>
        <w:t xml:space="preserve"> </w:t>
      </w:r>
      <w:r>
        <w:rPr>
          <w:b/>
          <w:bCs/>
        </w:rPr>
        <w:t xml:space="preserve">Nombre de fiduciaires et PME actives</w:t>
      </w:r>
      <w:r>
        <w:t xml:space="preserve"> </w:t>
      </w:r>
      <w:r>
        <w:t xml:space="preserve">sur la plateforme dans les 6 premiers mois (par ex. &gt; 5 fiduciaires pilotes couvrant &gt;50 PME),</w:t>
      </w:r>
      <w:r>
        <w:t xml:space="preserve"> </w:t>
      </w:r>
      <w:r>
        <w:rPr>
          <w:b/>
          <w:bCs/>
        </w:rPr>
        <w:t xml:space="preserve">taux d’adoption interne</w:t>
      </w:r>
      <w:r>
        <w:t xml:space="preserve"> </w:t>
      </w:r>
      <w:r>
        <w:t xml:space="preserve">(ex. % de collaborateurs d’une fiduciaire utilisant l’outil vs licences allouées), et</w:t>
      </w:r>
      <w:r>
        <w:t xml:space="preserve"> </w:t>
      </w:r>
      <w:r>
        <w:rPr>
          <w:b/>
          <w:bCs/>
        </w:rPr>
        <w:t xml:space="preserve">NPS (Net Promoter Score)</w:t>
      </w:r>
      <w:r>
        <w:t xml:space="preserve"> </w:t>
      </w:r>
      <w:r>
        <w:t xml:space="preserve">ou score de satisfaction utilisateur cible (viser un NPS &gt; 50, reflet d’une excellente expérience). On peut également mesurer le</w:t>
      </w:r>
      <w:r>
        <w:t xml:space="preserve"> </w:t>
      </w:r>
      <w:r>
        <w:rPr>
          <w:b/>
          <w:bCs/>
        </w:rPr>
        <w:t xml:space="preserve">taux de rétention</w:t>
      </w:r>
      <w:r>
        <w:t xml:space="preserve"> </w:t>
      </w:r>
      <w:r>
        <w:t xml:space="preserve">(pourcentage de clients continuant d’utiliser le produit après la première clôture annuelle).</w:t>
      </w:r>
    </w:p>
    <w:p>
      <w:pPr>
        <w:numPr>
          <w:ilvl w:val="0"/>
          <w:numId w:val="1002"/>
        </w:numPr>
      </w:pPr>
      <w:r>
        <w:rPr>
          <w:b/>
          <w:bCs/>
        </w:rPr>
        <w:t xml:space="preserve">Efficience opérationnelle &amp; ROI</w:t>
      </w:r>
      <w:r>
        <w:t xml:space="preserve"> </w:t>
      </w:r>
      <w:r>
        <w:t xml:space="preserve">: Assurer que le SaaS apporte un retour sur investissement rapide pour les clients. Par la réduction du temps de clôture, de la duplication d’efforts et des coûts d’infrastructure, le produit doit rentabiliser son abonnement.</w:t>
      </w:r>
      <w:r>
        <w:t xml:space="preserve"> </w:t>
      </w:r>
      <w:r>
        <w:rPr>
          <w:i/>
          <w:iCs/>
        </w:rPr>
        <w:t xml:space="preserve">KPIs :</w:t>
      </w:r>
      <w:r>
        <w:t xml:space="preserve"> </w:t>
      </w:r>
      <w:r>
        <w:rPr>
          <w:b/>
          <w:bCs/>
        </w:rPr>
        <w:t xml:space="preserve">ROI moyen par client</w:t>
      </w:r>
      <w:r>
        <w:t xml:space="preserve"> </w:t>
      </w:r>
      <w:r>
        <w:t xml:space="preserve">(par ex. valorisation monétaire du temps économisé vs coût de l’abonnement, vise un ROI positif dès la première clôture),</w:t>
      </w:r>
      <w:r>
        <w:t xml:space="preserve"> </w:t>
      </w:r>
      <w:r>
        <w:rPr>
          <w:b/>
          <w:bCs/>
        </w:rPr>
        <w:t xml:space="preserve">diminution des coûts IT internes</w:t>
      </w:r>
      <w:r>
        <w:t xml:space="preserve"> </w:t>
      </w:r>
      <w:r>
        <w:t xml:space="preserve">(ex. moins de maintenance d’Excel ou d’outils locaux, si mesurable). On peut illustrer cela par</w:t>
      </w:r>
      <w:r>
        <w:t xml:space="preserve"> </w:t>
      </w:r>
      <w:r>
        <w:rPr>
          <w:i/>
          <w:iCs/>
        </w:rPr>
        <w:t xml:space="preserve">« la réduction du temps de clôture, la diminution des coûts d’infrastructure on-premise et la baisse des erreurs manuelles » comme principaux facteurs de ROI d’un SaaS comptable</w:t>
      </w:r>
      <w:hyperlink r:id="rId27">
        <w:r>
          <w:rPr>
            <w:rStyle w:val="Hyperlink"/>
            <w:i/>
            <w:iCs/>
          </w:rPr>
          <w:t xml:space="preserve">[6]</w:t>
        </w:r>
      </w:hyperlink>
      <w:r>
        <w:t xml:space="preserve">.</w:t>
      </w:r>
    </w:p>
    <w:p>
      <w:pPr>
        <w:numPr>
          <w:ilvl w:val="0"/>
          <w:numId w:val="1002"/>
        </w:numPr>
      </w:pPr>
      <w:r>
        <w:rPr>
          <w:b/>
          <w:bCs/>
        </w:rPr>
        <w:t xml:space="preserve">Conformité et sécurité sans faille</w:t>
      </w:r>
      <w:r>
        <w:t xml:space="preserve"> </w:t>
      </w:r>
      <w:r>
        <w:t xml:space="preserve">: Aucun compromis sur la sécurité des données et la conformité réglementaire.</w:t>
      </w:r>
      <w:r>
        <w:t xml:space="preserve"> </w:t>
      </w:r>
      <w:r>
        <w:rPr>
          <w:i/>
          <w:iCs/>
        </w:rPr>
        <w:t xml:space="preserve">KPIs :</w:t>
      </w:r>
      <w:r>
        <w:t xml:space="preserve"> </w:t>
      </w:r>
      <w:r>
        <w:rPr>
          <w:b/>
          <w:bCs/>
        </w:rPr>
        <w:t xml:space="preserve">Nombre d’incidents de sécurité</w:t>
      </w:r>
      <w:r>
        <w:t xml:space="preserve"> </w:t>
      </w:r>
      <w:r>
        <w:t xml:space="preserve">(cible 0), conformité 100% aux exigences légales (vérifié via audits ou retours des organes de révision), et</w:t>
      </w:r>
      <w:r>
        <w:t xml:space="preserve"> </w:t>
      </w:r>
      <w:r>
        <w:rPr>
          <w:b/>
          <w:bCs/>
        </w:rPr>
        <w:t xml:space="preserve">taux de disponibilité</w:t>
      </w:r>
      <w:r>
        <w:t xml:space="preserve"> </w:t>
      </w:r>
      <w:r>
        <w:t xml:space="preserve">du service (viser &gt; 99.9% uptime, étant un produit critique en périodes de clôture).</w:t>
      </w:r>
    </w:p>
    <w:p>
      <w:pPr>
        <w:pStyle w:val="FirstParagraph"/>
      </w:pPr>
      <w:r>
        <w:t xml:space="preserve">Chaque KPI sera suivi via des tableaux de bord internes. Par exemple, on analysera</w:t>
      </w:r>
      <w:r>
        <w:t xml:space="preserve"> </w:t>
      </w:r>
      <w:r>
        <w:rPr>
          <w:i/>
          <w:iCs/>
        </w:rPr>
        <w:t xml:space="preserve">« le temps moyen de clôture financière, le taux d’automatisation des écritures, le volume d’anomalies détectées »</w:t>
      </w:r>
      <w:r>
        <w:t xml:space="preserve"> </w:t>
      </w:r>
      <w:r>
        <w:t xml:space="preserve">pour piloter en continu la performance du produit</w:t>
      </w:r>
      <w:hyperlink r:id="rId26">
        <w:r>
          <w:rPr>
            <w:rStyle w:val="Hyperlink"/>
          </w:rPr>
          <w:t xml:space="preserve">[5]</w:t>
        </w:r>
      </w:hyperlink>
      <w:r>
        <w:t xml:space="preserve">. Ces indicateurs permettront de prioriser les améliorations après le lancement et de communiquer les succès (ex:</w:t>
      </w:r>
      <w:r>
        <w:t xml:space="preserve"> </w:t>
      </w:r>
      <w:r>
        <w:rPr>
          <w:b/>
          <w:bCs/>
        </w:rPr>
        <w:t xml:space="preserve">réduction du temps de clôture</w:t>
      </w:r>
      <w:r>
        <w:t xml:space="preserve"> </w:t>
      </w:r>
      <w:r>
        <w:t xml:space="preserve">effectivement constatée chez les clients pilotes). L’objectif ultime est qu’à fin 2025, les premiers utilisateurs puissent témoigner d’une</w:t>
      </w:r>
      <w:r>
        <w:t xml:space="preserve"> </w:t>
      </w:r>
      <w:r>
        <w:rPr>
          <w:b/>
          <w:bCs/>
        </w:rPr>
        <w:t xml:space="preserve">accélération notable du bouclement</w:t>
      </w:r>
      <w:r>
        <w:t xml:space="preserve"> </w:t>
      </w:r>
      <w:r>
        <w:t xml:space="preserve">et d’une</w:t>
      </w:r>
      <w:r>
        <w:t xml:space="preserve"> </w:t>
      </w:r>
      <w:r>
        <w:rPr>
          <w:b/>
          <w:bCs/>
        </w:rPr>
        <w:t xml:space="preserve">meilleure maîtrise du processus</w:t>
      </w:r>
      <w:r>
        <w:t xml:space="preserve">, validant ainsi la proposition de valeur du SaaS.</w:t>
      </w:r>
    </w:p>
    <w:bookmarkEnd w:id="28"/>
    <w:bookmarkStart w:id="74" w:name="périmètre-fonctionnel-complet-v1"/>
    <w:p>
      <w:pPr>
        <w:pStyle w:val="Heading2"/>
      </w:pPr>
      <w:r>
        <w:t>3. Périmètre Fonctionnel Cible et Séquençage V1</w:t>
      </w:r>
    </w:p>
    <w:p>
      <w:pPr>
        <w:pStyle w:val="FirstParagraph"/>
      </w:pPr>
      <w:r>
        <w:t>Cette section décrit la cible fonctionnelle du produit, mais toutes les capacités n’appartiennent pas au noyau exécutable actuel. À date, le cœur réellement aligné avec le repo est : dossier de closing, import de balance versionné, mapping manuel sur le dernier import, puis contrôles/readiness comme prochaine vague logique. Les sections qui suivent au-delà de ce noyau doivent être lues comme vagues ultérieures, non comme vérité déjà livrée.</w:t>
      </w:r>
    </w:p>
    <w:bookmarkStart w:id="29" w:name="importation-des-données-comptables"/>
    <w:p>
      <w:pPr>
        <w:pStyle w:val="Heading3"/>
      </w:pPr>
      <w:r>
        <w:t xml:space="preserve">3.1 Importation des Données Comptables</w:t>
      </w:r>
    </w:p>
    <w:p>
      <w:pPr>
        <w:pStyle w:val="FirstParagraph"/>
      </w:pPr>
      <w:r>
        <w:rPr>
          <w:b/>
          <w:bCs/>
        </w:rPr>
        <w:t xml:space="preserve">Objectif :</w:t>
      </w:r>
      <w:r>
        <w:t xml:space="preserve"> </w:t>
      </w:r>
      <w:r>
        <w:t xml:space="preserve">Simplifier et fiabiliser l’intégration des données sources (comptabilité du client) dans la plateforme de clôture.</w:t>
      </w:r>
    </w:p>
    <w:p>
      <w:pPr>
        <w:numPr>
          <w:ilvl w:val="0"/>
          <w:numId w:val="1003"/>
        </w:numPr>
      </w:pPr>
      <w:r>
        <w:rPr>
          <w:b/>
          <w:bCs/>
        </w:rPr>
        <w:t xml:space="preserve">Import multi-sources</w:t>
      </w:r>
      <w:r>
        <w:t xml:space="preserve"> </w:t>
      </w:r>
      <w:r>
        <w:t xml:space="preserve">: Permettre d’importer la balance des soldes et autres données comptables depuis divers formats courants. Par exemple, prise en charge des fichiers Excel/CSV standard des grands logiciels comptables suisses (Crésus, Abacus, WinBiz, Banana, etc.), ainsi que d’éventuelles intégrations API directes pour les solutions en ligne. L’assistant comptable doit pouvoir charger en quelques clics la</w:t>
      </w:r>
      <w:r>
        <w:t xml:space="preserve"> </w:t>
      </w:r>
      <w:r>
        <w:rPr>
          <w:b/>
          <w:bCs/>
        </w:rPr>
        <w:t xml:space="preserve">balance de clôture provisoire</w:t>
      </w:r>
      <w:r>
        <w:t xml:space="preserve"> </w:t>
      </w:r>
      <w:r>
        <w:t xml:space="preserve">du client.</w:t>
      </w:r>
    </w:p>
    <w:p>
      <w:pPr>
        <w:numPr>
          <w:ilvl w:val="0"/>
          <w:numId w:val="1003"/>
        </w:numPr>
      </w:pPr>
      <w:r>
        <w:rPr>
          <w:b/>
          <w:bCs/>
        </w:rPr>
        <w:t xml:space="preserve">Paramétrage de l’exercice</w:t>
      </w:r>
      <w:r>
        <w:t xml:space="preserve"> </w:t>
      </w:r>
      <w:r>
        <w:t xml:space="preserve">: À l’import, le système capture les métadonnées essentielles : nom de la société, période de clôture (exercice du … au …), devise, normes comptables appliquées (CO par défaut, IFRS/Swiss GAAP en option), présence d’un organe de révision ou non, etc. Ces informations alimenteront d’autres modules (pour affichage dans les états, vérifications de compliance, etc.).</w:t>
      </w:r>
    </w:p>
    <w:p>
      <w:pPr>
        <w:numPr>
          <w:ilvl w:val="0"/>
          <w:numId w:val="1003"/>
        </w:numPr>
      </w:pPr>
      <w:r>
        <w:rPr>
          <w:b/>
          <w:bCs/>
        </w:rPr>
        <w:t xml:space="preserve">Reprises d’historiques et comparatifs</w:t>
      </w:r>
      <w:r>
        <w:t xml:space="preserve"> </w:t>
      </w:r>
      <w:r>
        <w:t xml:space="preserve">: Idéalement, permettre aussi d’importer les données comparatives (ex. balance N-1) pour pouvoir produire des comptes comparatifs et effectuer des contrôles d’écarts (variations entre années, ratios). Si le client utilise déjà le SaaS sur un exercice précédent, la balance N-1 sera déjà en base; sinon, import manuel possible.</w:t>
      </w:r>
    </w:p>
    <w:p>
      <w:pPr>
        <w:numPr>
          <w:ilvl w:val="0"/>
          <w:numId w:val="1003"/>
        </w:numPr>
      </w:pPr>
      <w:r>
        <w:rPr>
          <w:b/>
          <w:bCs/>
        </w:rPr>
        <w:t xml:space="preserve">Contrôles d’import et validation</w:t>
      </w:r>
      <w:r>
        <w:t xml:space="preserve"> </w:t>
      </w:r>
      <w:r>
        <w:t xml:space="preserve">: Après import, le système vérifie l’intégrité de la balance importée (totaux débit/crédit égaux, absence de comptes en doublon, etc.). Il affiche un</w:t>
      </w:r>
      <w:r>
        <w:t xml:space="preserve"> </w:t>
      </w:r>
      <w:r>
        <w:rPr>
          <w:b/>
          <w:bCs/>
        </w:rPr>
        <w:t xml:space="preserve">résumé</w:t>
      </w:r>
      <w:r>
        <w:t xml:space="preserve"> </w:t>
      </w:r>
      <w:r>
        <w:t xml:space="preserve">(nombre de comptes, total actif vs passif, résultat net) et signale toute anomalie (ex: balance non équilibrée, ce qui pourrait indiquer un problème de données). L’utilisateur peut alors corriger la source et réimporter si nécessaire. Cette étape doit être</w:t>
      </w:r>
      <w:r>
        <w:t xml:space="preserve"> </w:t>
      </w:r>
      <w:r>
        <w:rPr>
          <w:b/>
          <w:bCs/>
        </w:rPr>
        <w:t xml:space="preserve">validée</w:t>
      </w:r>
      <w:r>
        <w:t xml:space="preserve"> </w:t>
      </w:r>
      <w:r>
        <w:t xml:space="preserve">par l’assistant (marquer l’import comme “Terminé”) puis</w:t>
      </w:r>
      <w:r>
        <w:t xml:space="preserve"> </w:t>
      </w:r>
      <w:r>
        <w:rPr>
          <w:b/>
          <w:bCs/>
        </w:rPr>
        <w:t xml:space="preserve">vérifiée</w:t>
      </w:r>
      <w:r>
        <w:t xml:space="preserve"> </w:t>
      </w:r>
      <w:r>
        <w:t xml:space="preserve">par le reviewer, dans la logique de workflow à deux niveaux.</w:t>
      </w:r>
    </w:p>
    <w:p>
      <w:pPr>
        <w:numPr>
          <w:ilvl w:val="0"/>
          <w:numId w:val="1003"/>
        </w:numPr>
      </w:pPr>
      <w:r>
        <w:rPr>
          <w:b/>
          <w:bCs/>
        </w:rPr>
        <w:t xml:space="preserve">Gestion des ajustements de clôture</w:t>
      </w:r>
      <w:r>
        <w:t xml:space="preserve"> </w:t>
      </w:r>
      <w:r>
        <w:t xml:space="preserve">: La V1 inclura une possibilité de</w:t>
      </w:r>
      <w:r>
        <w:t xml:space="preserve"> </w:t>
      </w:r>
      <w:r>
        <w:rPr>
          <w:b/>
          <w:bCs/>
        </w:rPr>
        <w:t xml:space="preserve">saisir des écritures d’ajustement</w:t>
      </w:r>
      <w:r>
        <w:t xml:space="preserve"> </w:t>
      </w:r>
      <w:r>
        <w:t xml:space="preserve">ou retraitements directement dans l’outil, si certains ajustements de clôture n’ont pas été passés dans la comptabilité source. Par exemple, provisions complémentaires, corrections d’erreurs, écritures de cut-off. Chaque écriture d’ajustement sera tracée et intégrée au calcul des états financiers. Toutefois, on encouragera de préférence l’ajustement dans le logiciel comptable source puis réimport, pour garder un alignement, mais des cas pratiques justifient une intervention dans l’outil (par ex. retraitements aux normes Swiss GAAP sans impacter la compta statutaire).</w:t>
      </w:r>
    </w:p>
    <w:p>
      <w:pPr>
        <w:numPr>
          <w:ilvl w:val="0"/>
          <w:numId w:val="1003"/>
        </w:numPr>
      </w:pPr>
      <w:r>
        <w:rPr>
          <w:b/>
          <w:bCs/>
        </w:rPr>
        <w:t xml:space="preserve">Multi-entité et consolidation basique (scope V1)</w:t>
      </w:r>
      <w:r>
        <w:t xml:space="preserve"> </w:t>
      </w:r>
      <w:r>
        <w:t xml:space="preserve">: Le SaaS étant multi-clients, une fiduciaire pourra importer les données de</w:t>
      </w:r>
      <w:r>
        <w:t xml:space="preserve"> </w:t>
      </w:r>
      <w:r>
        <w:rPr>
          <w:b/>
          <w:bCs/>
        </w:rPr>
        <w:t xml:space="preserve">plusieurs entités juridiques distinctes</w:t>
      </w:r>
      <w:r>
        <w:t xml:space="preserve">, chacune isolée dans un</w:t>
      </w:r>
      <w:r>
        <w:t xml:space="preserve"> </w:t>
      </w:r>
      <w:r>
        <w:rPr>
          <w:i/>
          <w:iCs/>
        </w:rPr>
        <w:t xml:space="preserve">dossier de clôture</w:t>
      </w:r>
      <w:r>
        <w:t xml:space="preserve">. La V1 ne prévoit pas la consolidation automatisée de groupes (fonctionnalité potentiellement future), mais permet déjà de gérer en parallèle plusieurs mandats indépendants de manière efficace.</w:t>
      </w:r>
    </w:p>
    <w:p>
      <w:pPr>
        <w:pStyle w:val="FirstParagraph"/>
      </w:pPr>
      <w:r>
        <w:t xml:space="preserve">En somme, le module d’import doit offrir un</w:t>
      </w:r>
      <w:r>
        <w:t xml:space="preserve"> </w:t>
      </w:r>
      <w:r>
        <w:rPr>
          <w:b/>
          <w:bCs/>
        </w:rPr>
        <w:t xml:space="preserve">flux rapide et sûr</w:t>
      </w:r>
      <w:r>
        <w:t xml:space="preserve"> </w:t>
      </w:r>
      <w:r>
        <w:t xml:space="preserve">pour démarrer une clôture. L’assistant gagne du temps sur la préparation des données, sans ressaisie manuelle. Les bases étant correctement posées, on peut ensuite passer aux étapes de structuration et de production des comptes annuels.</w:t>
      </w:r>
    </w:p>
    <w:bookmarkEnd w:id="29"/>
    <w:bookmarkStart w:id="31" w:name="X5a5744b31a60f748825948097675327582c7df9"/>
    <w:p>
      <w:pPr>
        <w:pStyle w:val="Heading3"/>
      </w:pPr>
      <w:r>
        <w:t xml:space="preserve">3.2 Mapping du Plan Comptable et Structure des États Financiers</w:t>
      </w:r>
    </w:p>
    <w:p>
      <w:pPr>
        <w:pStyle w:val="FirstParagraph"/>
      </w:pPr>
      <w:r>
        <w:t>Objectif : Assurer la correspondance entre la balance du client et une structure cible exploitable par le produit. Dans la V1 courante, la priorité est le mapping manuel stable, déterministe et survivant au réimport ; les enrichissements de présentation et l’assistance IA viennent après.</w:t>
      </w:r>
    </w:p>
    <w:p>
      <w:pPr>
        <w:numPr>
          <w:ilvl w:val="0"/>
          <w:numId w:val="1004"/>
        </w:numPr>
      </w:pPr>
      <w:r>
        <w:rPr>
          <w:b/>
          <w:bCs/>
        </w:rPr>
        <w:t xml:space="preserve">Templates d’états financiers paramétrables</w:t>
      </w:r>
      <w:r>
        <w:t xml:space="preserve"> </w:t>
      </w:r>
      <w:r>
        <w:t xml:space="preserve">: Le système proposera un</w:t>
      </w:r>
      <w:r>
        <w:t xml:space="preserve"> </w:t>
      </w:r>
      <w:r>
        <w:rPr>
          <w:b/>
          <w:bCs/>
        </w:rPr>
        <w:t xml:space="preserve">modèle standard d’états financiers</w:t>
      </w:r>
      <w:r>
        <w:t xml:space="preserve"> </w:t>
      </w:r>
      <w:r>
        <w:t xml:space="preserve">conforme aux exigences du Code des Obligations (CO) pour les petites et moyennes entreprises (bilan, compte de résultat, et annexe minimale). Il sera possible d’opter pour différentes structures selon le type d’entreprise ou de normes : par exemple,</w:t>
      </w:r>
      <w:r>
        <w:t xml:space="preserve"> </w:t>
      </w:r>
      <w:r>
        <w:rPr>
          <w:i/>
          <w:iCs/>
        </w:rPr>
        <w:t xml:space="preserve">« comptes statutaires CO – présentation minimum »</w:t>
      </w:r>
      <w:r>
        <w:t xml:space="preserve">,</w:t>
      </w:r>
      <w:r>
        <w:t xml:space="preserve"> </w:t>
      </w:r>
      <w:r>
        <w:rPr>
          <w:i/>
          <w:iCs/>
        </w:rPr>
        <w:t xml:space="preserve">« présentation développée »</w:t>
      </w:r>
      <w:r>
        <w:t xml:space="preserve">, voire</w:t>
      </w:r>
      <w:r>
        <w:t xml:space="preserve"> </w:t>
      </w:r>
      <w:r>
        <w:rPr>
          <w:i/>
          <w:iCs/>
        </w:rPr>
        <w:t xml:space="preserve">« norme Swiss GAAP RPC »</w:t>
      </w:r>
      <w:r>
        <w:t xml:space="preserve"> </w:t>
      </w:r>
      <w:r>
        <w:t xml:space="preserve">à terme. En V1, le focus est sur la présentation CO de base (avec rubrique</w:t>
      </w:r>
      <w:r>
        <w:t xml:space="preserve"> </w:t>
      </w:r>
      <w:r>
        <w:rPr>
          <w:i/>
          <w:iCs/>
        </w:rPr>
        <w:t xml:space="preserve">Emploi du bénéfice</w:t>
      </w:r>
      <w:r>
        <w:t xml:space="preserve"> </w:t>
      </w:r>
      <w:r>
        <w:t xml:space="preserve">pour les sociétés de capitaux).</w:t>
      </w:r>
    </w:p>
    <w:p>
      <w:pPr>
        <w:numPr>
          <w:ilvl w:val="0"/>
          <w:numId w:val="1004"/>
        </w:numPr>
      </w:pPr>
      <w:r>
        <w:rPr>
          <w:b/>
          <w:bCs/>
        </w:rPr>
        <w:t xml:space="preserve">Catalogue de rubriques et comptes</w:t>
      </w:r>
      <w:r>
        <w:t xml:space="preserve"> </w:t>
      </w:r>
      <w:r>
        <w:t xml:space="preserve">: Chaque modèle d’EF contient une arborescence de rubriques (postes de bilan, postes de résultats, etc.). Le</w:t>
      </w:r>
      <w:r>
        <w:t xml:space="preserve"> </w:t>
      </w:r>
      <w:r>
        <w:rPr>
          <w:b/>
          <w:bCs/>
        </w:rPr>
        <w:t xml:space="preserve">mapping</w:t>
      </w:r>
      <w:r>
        <w:t xml:space="preserve"> </w:t>
      </w:r>
      <w:r>
        <w:t xml:space="preserve">consiste à affecter chaque compte de la balance importée à la rubrique appropriée de l’état financier. L’outil présentera l’arborescence du bilan et compte de résultat cibles, et permettra de glisser-déposer des comptes ou de sélectionner via un champ de recherche.</w:t>
      </w:r>
    </w:p>
    <w:p>
      <w:pPr>
        <w:numPr>
          <w:ilvl w:val="0"/>
          <w:numId w:val="1004"/>
        </w:numPr>
      </w:pPr>
      <w:r>
        <w:t>Suggestion de mapping par IA : cible de phase ultérieure. Le premier usage IA recommandé reste un mapping assisté evidence-first, human-in-the-loop, sur la dernière balance importée. Ce n’est pas une capacité structurante active du runtime actuel ; le flux manuel doit rester suffisant, clair et fiable sans IA.</w:t>
      </w:r>
    </w:p>
    <w:p>
      <w:pPr>
        <w:numPr>
          <w:ilvl w:val="0"/>
          <w:numId w:val="1004"/>
        </w:numPr>
      </w:pPr>
      <w:r>
        <w:rPr>
          <w:b/>
          <w:bCs/>
        </w:rPr>
        <w:t xml:space="preserve">Personnalisation et réutilisation des mappings</w:t>
      </w:r>
      <w:r>
        <w:t xml:space="preserve"> </w:t>
      </w:r>
      <w:r>
        <w:t xml:space="preserve">: L’utilisateur pourra ajuster la structure des états financiers si nécessaire (par exemple ajouter un sous-total intermédiaire, renommer une rubrique pour qu’elle corresponde à la terminologie du client, regrouper certains comptes différemment). Une fois modifiée, la</w:t>
      </w:r>
      <w:r>
        <w:t xml:space="preserve"> </w:t>
      </w:r>
      <w:r>
        <w:rPr>
          <w:b/>
          <w:bCs/>
        </w:rPr>
        <w:t xml:space="preserve">structure personnalisée</w:t>
      </w:r>
      <w:r>
        <w:t xml:space="preserve"> </w:t>
      </w:r>
      <w:r>
        <w:t xml:space="preserve">peut être enregistrée comme modèle afin de la</w:t>
      </w:r>
      <w:r>
        <w:t xml:space="preserve"> </w:t>
      </w:r>
      <w:r>
        <w:rPr>
          <w:b/>
          <w:bCs/>
        </w:rPr>
        <w:t xml:space="preserve">réutiliser sur un autre mandat</w:t>
      </w:r>
      <w:r>
        <w:t xml:space="preserve"> </w:t>
      </w:r>
      <w:r>
        <w:t xml:space="preserve">ou sur le même mandat l’année suivante, évitant de repartir de zéro</w:t>
      </w:r>
      <w:hyperlink r:id="rId30">
        <w:r>
          <w:rPr>
            <w:rStyle w:val="Hyperlink"/>
          </w:rPr>
          <w:t xml:space="preserve">[7]</w:t>
        </w:r>
      </w:hyperlink>
      <w:r>
        <w:t xml:space="preserve">. Cela est utile pour les fiduciaires qui ont souvent des modèles Excel propres : ils pourront configurer l’EF du SaaS au plus proche de leur modèle préféré.</w:t>
      </w:r>
      <w:r>
        <w:t xml:space="preserve"> </w:t>
      </w:r>
      <w:r>
        <w:rPr>
          <w:i/>
          <w:iCs/>
        </w:rPr>
        <w:t xml:space="preserve">N.B.:</w:t>
      </w:r>
      <w:r>
        <w:t xml:space="preserve"> </w:t>
      </w:r>
      <w:r>
        <w:t xml:space="preserve">La V1 vise une personnalisation raisonnable sans s’éloigner des normes (pas de suppression d’éléments obligatoires de l’annexe par ex.), mais assez flexible pour s’adapter aux secteurs d’activité (p. ex. afficher une rubrique stock si pertinent, etc.).</w:t>
      </w:r>
    </w:p>
    <w:p>
      <w:pPr>
        <w:numPr>
          <w:ilvl w:val="0"/>
          <w:numId w:val="1004"/>
        </w:numPr>
      </w:pPr>
      <w:r>
        <w:rPr>
          <w:b/>
          <w:bCs/>
        </w:rPr>
        <w:t xml:space="preserve">Contrôles de cohérence du mapping</w:t>
      </w:r>
      <w:r>
        <w:t xml:space="preserve"> </w:t>
      </w:r>
      <w:r>
        <w:t xml:space="preserve">: Le système indiquera les comptes</w:t>
      </w:r>
      <w:r>
        <w:t xml:space="preserve"> </w:t>
      </w:r>
      <w:r>
        <w:rPr>
          <w:b/>
          <w:bCs/>
        </w:rPr>
        <w:t xml:space="preserve">non mappés</w:t>
      </w:r>
      <w:r>
        <w:t xml:space="preserve"> </w:t>
      </w:r>
      <w:r>
        <w:t xml:space="preserve">restants (pour qu’aucun compte ne soit oublié hors états) et vérifiera que chaque rubrique requise des états a bien un chiffre (sinon éventuellement marquée nulle ou N/A explicitement). Par exemple, si aucune immobilisation n’est présente et que le modèle exige la note correspondante, l’utilisateur pourra marquer “sans objet”. L’objectif est qu’en fin de mapping,</w:t>
      </w:r>
      <w:r>
        <w:t xml:space="preserve"> </w:t>
      </w:r>
      <w:r>
        <w:rPr>
          <w:b/>
          <w:bCs/>
        </w:rPr>
        <w:t xml:space="preserve">tous les comptes de la balance sont affectés</w:t>
      </w:r>
      <w:r>
        <w:t xml:space="preserve"> </w:t>
      </w:r>
      <w:r>
        <w:t xml:space="preserve">et</w:t>
      </w:r>
      <w:r>
        <w:t xml:space="preserve"> </w:t>
      </w:r>
      <w:r>
        <w:rPr>
          <w:b/>
          <w:bCs/>
        </w:rPr>
        <w:t xml:space="preserve">toutes les rubriques des EF ont une valeur ou une mention N/A</w:t>
      </w:r>
      <w:r>
        <w:t xml:space="preserve">.</w:t>
      </w:r>
    </w:p>
    <w:p>
      <w:pPr>
        <w:numPr>
          <w:ilvl w:val="0"/>
          <w:numId w:val="1004"/>
        </w:numPr>
      </w:pPr>
      <w:r>
        <w:rPr>
          <w:b/>
          <w:bCs/>
        </w:rPr>
        <w:t xml:space="preserve">Mise à jour dynamique</w:t>
      </w:r>
      <w:r>
        <w:t xml:space="preserve"> </w:t>
      </w:r>
      <w:r>
        <w:t xml:space="preserve">: Après mapping, toute modification (ajout d’une écriture d’ajustement, changement de regroupement) met à jour instantanément les états financiers calculés. L’utilisateur peut visualiser à tout moment le</w:t>
      </w:r>
      <w:r>
        <w:t xml:space="preserve"> </w:t>
      </w:r>
      <w:r>
        <w:rPr>
          <w:b/>
          <w:bCs/>
        </w:rPr>
        <w:t xml:space="preserve">bilan et compte de résultat provisoires</w:t>
      </w:r>
      <w:r>
        <w:t xml:space="preserve"> </w:t>
      </w:r>
      <w:r>
        <w:t xml:space="preserve">en l’état, ce qui facilite le contrôle (par ex. vérifier que l’actif égale le passif immédiatement, voir l’impact d’une provision ajoutée sur le résultat, etc.).</w:t>
      </w:r>
    </w:p>
    <w:p>
      <w:pPr>
        <w:pStyle w:val="FirstParagraph"/>
      </w:pPr>
      <w:r>
        <w:t>Le module de mapping est crucial car il constitue déjà un pivot réel du produit. Dans la phase actuelle, sa valeur vient d’abord de la stabilité, de la projection claire sur le dernier import et de la traçabilité ; l’accélération par IA pourra venir ensuite.</w:t>
      </w:r>
    </w:p>
    <w:bookmarkEnd w:id="31"/>
    <w:bookmarkStart w:id="35" w:name="Xee7ae9bffd34d1d780a0ab5d61b2fce63d55545"/>
    <w:p>
      <w:pPr>
        <w:pStyle w:val="Heading3"/>
      </w:pPr>
      <w:r>
        <w:t>3.3 Génération des États Financiers (Bilan, Compte de Résultat, Emploi du Bénéfice) — phase ultérieure</w:t>
      </w:r>
    </w:p>
    <w:p>
      <w:pPr>
        <w:pStyle w:val="FirstParagraph"/>
      </w:pPr>
      <w:r>
        <w:t>Objectif cible : produire automatiquement les États Financiers à partir des données importées et du mapping. Cette capacité ne fait pas partie du noyau exécutable actuel ; elle doit venir après la stabilisation du backbone closing  -&gt;  import  -&gt;  mapping  -&gt;  controls.</w:t>
      </w:r>
    </w:p>
    <w:p>
      <w:pPr>
        <w:numPr>
          <w:ilvl w:val="0"/>
          <w:numId w:val="1005"/>
        </w:numPr>
      </w:pPr>
      <w:r>
        <w:rPr>
          <w:b/>
          <w:bCs/>
        </w:rPr>
        <w:t xml:space="preserve">Bilan et Compte de Résultat automatisés</w:t>
      </w:r>
      <w:r>
        <w:t xml:space="preserve"> </w:t>
      </w:r>
      <w:r>
        <w:t xml:space="preserve">: Sur base du mapping, le système génère le</w:t>
      </w:r>
      <w:r>
        <w:t xml:space="preserve"> </w:t>
      </w:r>
      <w:r>
        <w:rPr>
          <w:b/>
          <w:bCs/>
        </w:rPr>
        <w:t xml:space="preserve">bilan actif/passif</w:t>
      </w:r>
      <w:r>
        <w:t xml:space="preserve"> </w:t>
      </w:r>
      <w:r>
        <w:t xml:space="preserve">et le</w:t>
      </w:r>
      <w:r>
        <w:t xml:space="preserve"> </w:t>
      </w:r>
      <w:r>
        <w:rPr>
          <w:b/>
          <w:bCs/>
        </w:rPr>
        <w:t xml:space="preserve">compte de résultat</w:t>
      </w:r>
      <w:r>
        <w:t xml:space="preserve"> </w:t>
      </w:r>
      <w:r>
        <w:t xml:space="preserve">de l’exercice. Les totaux et sous-totaux sont calculés automatiquement. Les données comparatives (N-1) sont affichées à côté si disponibles. Les EF respectent la structure choisie (par ex. pour les petites entreprises ayant opté pour la présentation abrégée, certaines rubriques agrégées). Des contrôles automatiques garantissent que le</w:t>
      </w:r>
      <w:r>
        <w:t xml:space="preserve"> </w:t>
      </w:r>
      <w:r>
        <w:rPr>
          <w:b/>
          <w:bCs/>
        </w:rPr>
        <w:t xml:space="preserve">bilan balance</w:t>
      </w:r>
      <w:r>
        <w:t xml:space="preserve"> </w:t>
      </w:r>
      <w:r>
        <w:t xml:space="preserve">(Actif = Passif) et que le</w:t>
      </w:r>
      <w:r>
        <w:t xml:space="preserve"> </w:t>
      </w:r>
      <w:r>
        <w:rPr>
          <w:b/>
          <w:bCs/>
        </w:rPr>
        <w:t xml:space="preserve">résultat net</w:t>
      </w:r>
      <w:r>
        <w:t xml:space="preserve"> </w:t>
      </w:r>
      <w:r>
        <w:t xml:space="preserve">du compte de résultat est cohérent avec la variation des fonds propres (voir contrôles en section 3.7).</w:t>
      </w:r>
    </w:p>
    <w:p>
      <w:pPr>
        <w:numPr>
          <w:ilvl w:val="0"/>
          <w:numId w:val="1005"/>
        </w:numPr>
      </w:pPr>
      <w:r>
        <w:rPr>
          <w:b/>
          <w:bCs/>
        </w:rPr>
        <w:t xml:space="preserve">Année précédente &amp; variations</w:t>
      </w:r>
      <w:r>
        <w:t xml:space="preserve"> </w:t>
      </w:r>
      <w:r>
        <w:t xml:space="preserve">: Si la balance de l’année précédente a été fournie, le logiciel affiche chaque ligne avec</w:t>
      </w:r>
      <w:r>
        <w:t xml:space="preserve"> </w:t>
      </w:r>
      <w:r>
        <w:rPr>
          <w:b/>
          <w:bCs/>
        </w:rPr>
        <w:t xml:space="preserve">N et N-1</w:t>
      </w:r>
      <w:r>
        <w:t xml:space="preserve">, et calcule la variation en valeur absolue et en pourcentage. Cela sert de base aux analyses de plausibilité et aux commentaires (on le réutilisera en annexe et pour l’IA de détection d’écarts inhabituels).</w:t>
      </w:r>
    </w:p>
    <w:p>
      <w:pPr>
        <w:numPr>
          <w:ilvl w:val="0"/>
          <w:numId w:val="1005"/>
        </w:numPr>
      </w:pPr>
      <w:r>
        <w:rPr>
          <w:b/>
          <w:bCs/>
        </w:rPr>
        <w:t xml:space="preserve">Tableau d’emploi du bénéfice</w:t>
      </w:r>
      <w:r>
        <w:t xml:space="preserve"> </w:t>
      </w:r>
      <w:r>
        <w:t xml:space="preserve">: Pour les sociétés de capitaux, le module</w:t>
      </w:r>
      <w:r>
        <w:t xml:space="preserve"> </w:t>
      </w:r>
      <w:r>
        <w:rPr>
          <w:b/>
          <w:bCs/>
        </w:rPr>
        <w:t xml:space="preserve">emploi du bénéfice</w:t>
      </w:r>
      <w:r>
        <w:t xml:space="preserve"> </w:t>
      </w:r>
      <w:r>
        <w:t xml:space="preserve">est inclus en V1. Il calcule la répartition du résultat de l’exercice (bénéfice ou perte) conformément aux décisions à prendre : affectation aux réserves légales, report nouveau, dividendes, etc. L’outil peut proposer une affectation par défaut conforme aux règles (par ex. dotation de 5% du bénéfice aux réserves légales jusqu’au seuil réglementaire atteint). Une</w:t>
      </w:r>
      <w:r>
        <w:t xml:space="preserve"> </w:t>
      </w:r>
      <w:r>
        <w:rPr>
          <w:b/>
          <w:bCs/>
        </w:rPr>
        <w:t xml:space="preserve">suggestion automatique</w:t>
      </w:r>
      <w:r>
        <w:t xml:space="preserve"> </w:t>
      </w:r>
      <w:r>
        <w:t xml:space="preserve">pourra indiquer le</w:t>
      </w:r>
      <w:r>
        <w:t xml:space="preserve"> </w:t>
      </w:r>
      <w:r>
        <w:rPr>
          <w:b/>
          <w:bCs/>
        </w:rPr>
        <w:t xml:space="preserve">dividende maximal</w:t>
      </w:r>
      <w:r>
        <w:t xml:space="preserve"> </w:t>
      </w:r>
      <w:r>
        <w:t xml:space="preserve">distribuable en tenant compte des fonds propres disponibles, des liquidités ou des prêts actionnaires (pour éviter un</w:t>
      </w:r>
      <w:r>
        <w:t xml:space="preserve"> </w:t>
      </w:r>
      <w:r>
        <w:rPr>
          <w:i/>
          <w:iCs/>
        </w:rPr>
        <w:t xml:space="preserve">dividende dissimulé</w:t>
      </w:r>
      <w:r>
        <w:t xml:space="preserve">)</w:t>
      </w:r>
      <w:hyperlink r:id="rId32">
        <w:r>
          <w:rPr>
            <w:rStyle w:val="Hyperlink"/>
          </w:rPr>
          <w:t xml:space="preserve">[8]</w:t>
        </w:r>
      </w:hyperlink>
      <w:r>
        <w:t xml:space="preserve">. L’assistant peut ajuster les montants proposés (par ex. décider de distribuer moins que le max). Le tableau d’emploi du bénéfice est ensuite généré dans le format attendu (décision de l’AG, etc.) et intégré aux états financiers.</w:t>
      </w:r>
    </w:p>
    <w:p>
      <w:pPr>
        <w:numPr>
          <w:ilvl w:val="0"/>
          <w:numId w:val="1005"/>
        </w:numPr>
      </w:pPr>
      <w:r>
        <w:rPr>
          <w:b/>
          <w:bCs/>
        </w:rPr>
        <w:t xml:space="preserve">Personnalisation des intitulés et langues</w:t>
      </w:r>
      <w:r>
        <w:t xml:space="preserve"> </w:t>
      </w:r>
      <w:r>
        <w:t xml:space="preserve">: L’outil doit permettre d’éditer certains intitulés si besoin (par ex. renommer une rubrique “Chiffre d’affaires net” en “Ventes nettes” selon l’usage du client). De plus, bien que la V1 soit principalement en français, l’architecture prévoit la localisation ultérieure (anglais, allemand) pour desservir toute la Suisse. Idéalement, les états financiers pourraient être émis en plusieurs langues si requis par les clients (non prioritaire V1, mais à garder en tête pour la structure de données).</w:t>
      </w:r>
    </w:p>
    <w:p>
      <w:pPr>
        <w:numPr>
          <w:ilvl w:val="0"/>
          <w:numId w:val="1005"/>
        </w:numPr>
      </w:pPr>
      <w:r>
        <w:rPr>
          <w:b/>
          <w:bCs/>
        </w:rPr>
        <w:t xml:space="preserve">Multiples normes (futur)</w:t>
      </w:r>
      <w:r>
        <w:t xml:space="preserve"> </w:t>
      </w:r>
      <w:r>
        <w:t xml:space="preserve">: La V1 se concentre sur les comptes statutaires selon le CO. Toutefois, on prépare le terrain pour d’autres référentiels (Swiss GAAP RPC, IFRS) en séparant bien le</w:t>
      </w:r>
      <w:r>
        <w:t xml:space="preserve"> </w:t>
      </w:r>
      <w:r>
        <w:rPr>
          <w:i/>
          <w:iCs/>
        </w:rPr>
        <w:t xml:space="preserve">mapping</w:t>
      </w:r>
      <w:r>
        <w:t xml:space="preserve"> </w:t>
      </w:r>
      <w:r>
        <w:t xml:space="preserve">et les</w:t>
      </w:r>
      <w:r>
        <w:t xml:space="preserve"> </w:t>
      </w:r>
      <w:r>
        <w:rPr>
          <w:i/>
          <w:iCs/>
        </w:rPr>
        <w:t xml:space="preserve">modèles</w:t>
      </w:r>
      <w:r>
        <w:t xml:space="preserve"> </w:t>
      </w:r>
      <w:r>
        <w:t xml:space="preserve">de comptes. Par exemple, le plan comptable paramétrable pourra, à l’avenir, être configuré selon IFRS avec des rubriques supplémentaires. Des tests seront faits pour s’assurer que la structure est extensible sans refonte majeure. (Ces référentiels additionnels seront plutôt V2+, cf. Roadmap).</w:t>
      </w:r>
    </w:p>
    <w:p>
      <w:pPr>
        <w:numPr>
          <w:ilvl w:val="0"/>
          <w:numId w:val="1005"/>
        </w:numPr>
      </w:pPr>
      <w:r>
        <w:rPr>
          <w:b/>
          <w:bCs/>
        </w:rPr>
        <w:t xml:space="preserve">Calculs spécifiques et notes chiffrées</w:t>
      </w:r>
      <w:r>
        <w:t xml:space="preserve"> </w:t>
      </w:r>
      <w:r>
        <w:t xml:space="preserve">: Certaines informations des EF sont calculées automatiquement en coulisse. Par exemple, pour l’annexe, le logiciel peut préparer le</w:t>
      </w:r>
      <w:r>
        <w:t xml:space="preserve"> </w:t>
      </w:r>
      <w:r>
        <w:rPr>
          <w:i/>
          <w:iCs/>
        </w:rPr>
        <w:t xml:space="preserve">tableau des immobilisations</w:t>
      </w:r>
      <w:r>
        <w:t xml:space="preserve"> </w:t>
      </w:r>
      <w:r>
        <w:t xml:space="preserve">(variations des immobilisations corporelles/incorporelles sur l’année) à partir des données importées, ou la ventilation des dettes par échéance si les données détaillées sont fournies. En V1, l’accent est mis sur la récupération des chiffres existants, la génération des totaux, et la cohérence des données. Des</w:t>
      </w:r>
      <w:r>
        <w:t xml:space="preserve"> </w:t>
      </w:r>
      <w:r>
        <w:rPr>
          <w:i/>
          <w:iCs/>
        </w:rPr>
        <w:t xml:space="preserve">next steps</w:t>
      </w:r>
      <w:r>
        <w:t xml:space="preserve"> </w:t>
      </w:r>
      <w:r>
        <w:t xml:space="preserve">pourraient inclure des calculs plus poussés (cash-flow prévisionnel, ratios sectoriels, etc. en version ultérieure</w:t>
      </w:r>
      <w:r>
        <w:t xml:space="preserve"> </w:t>
      </w:r>
      <w:hyperlink r:id="rId33">
        <w:r>
          <w:rPr>
            <w:rStyle w:val="Hyperlink"/>
          </w:rPr>
          <w:t xml:space="preserve">[9]</w:t>
        </w:r>
      </w:hyperlink>
      <w:hyperlink r:id="rId34">
        <w:r>
          <w:rPr>
            <w:rStyle w:val="Hyperlink"/>
          </w:rPr>
          <w:t xml:space="preserve">[10]</w:t>
        </w:r>
      </w:hyperlink>
      <w:r>
        <w:t xml:space="preserve">).</w:t>
      </w:r>
    </w:p>
    <w:p>
      <w:pPr>
        <w:pStyle w:val="FirstParagraph"/>
      </w:pPr>
      <w:r>
        <w:t xml:space="preserve">En bref, le module EF produit en un clic ce que l’assistant compilait manuellement pendant des heures.</w:t>
      </w:r>
      <w:r>
        <w:t xml:space="preserve"> </w:t>
      </w:r>
      <w:r>
        <w:rPr>
          <w:b/>
          <w:bCs/>
        </w:rPr>
        <w:t xml:space="preserve">Le temps gagné</w:t>
      </w:r>
      <w:r>
        <w:t xml:space="preserve"> </w:t>
      </w:r>
      <w:r>
        <w:t xml:space="preserve">est substantiel, d’autant que tout est</w:t>
      </w:r>
      <w:r>
        <w:t xml:space="preserve"> </w:t>
      </w:r>
      <w:r>
        <w:rPr>
          <w:b/>
          <w:bCs/>
        </w:rPr>
        <w:t xml:space="preserve">juste d’emblée</w:t>
      </w:r>
      <w:r>
        <w:t xml:space="preserve"> </w:t>
      </w:r>
      <w:r>
        <w:t xml:space="preserve">(sous réserve d’un mapping correct et de contrôles passés). L’assistant peut alors consacrer plus de temps à l’analyse qualitative qu’à la production de tableaux.</w:t>
      </w:r>
    </w:p>
    <w:bookmarkEnd w:id="35"/>
    <w:bookmarkStart w:id="41" w:name="X0c8c92fdf09a6f5b16fead93f44f4dd5d78dbd2"/>
    <w:p>
      <w:pPr>
        <w:pStyle w:val="Heading3"/>
      </w:pPr>
      <w:r>
        <w:t>3.4 Élaboration de l’Annexe Légale aux Comptes — phase ultérieure</w:t>
      </w:r>
    </w:p>
    <w:p>
      <w:pPr>
        <w:pStyle w:val="FirstParagraph"/>
      </w:pPr>
      <w:r>
        <w:t>Objectif cible : générer et assister la rédaction de l’annexe légale conformément aux obligations suisses. Cette brique doit être lue comme un horizon produit postérieur à la V1 exécutable actuelle, pas comme une capacité déjà présente dans le runtime.</w:t>
      </w:r>
    </w:p>
    <w:p>
      <w:pPr>
        <w:numPr>
          <w:ilvl w:val="0"/>
          <w:numId w:val="1006"/>
        </w:numPr>
      </w:pPr>
      <w:r>
        <w:rPr>
          <w:b/>
          <w:bCs/>
        </w:rPr>
        <w:t xml:space="preserve">Génération initiale de l’annexe</w:t>
      </w:r>
      <w:r>
        <w:t xml:space="preserve"> </w:t>
      </w:r>
      <w:r>
        <w:t xml:space="preserve">: Sur base du modèle d’EF sélectionné et des données importées, le système crée une</w:t>
      </w:r>
      <w:r>
        <w:t xml:space="preserve"> </w:t>
      </w:r>
      <w:r>
        <w:rPr>
          <w:b/>
          <w:bCs/>
        </w:rPr>
        <w:t xml:space="preserve">annexe pré-remplie</w:t>
      </w:r>
      <w:r>
        <w:t xml:space="preserve"> </w:t>
      </w:r>
      <w:r>
        <w:t xml:space="preserve">couvrant les exigences minimales de l’art. 959c CO (principes comptables, informations sur les postes importants, etc.).</w:t>
      </w:r>
      <w:r>
        <w:t xml:space="preserve"> </w:t>
      </w:r>
      <w:r>
        <w:rPr>
          <w:i/>
          <w:iCs/>
        </w:rPr>
        <w:t xml:space="preserve">Rappel :</w:t>
      </w:r>
      <w:r>
        <w:t xml:space="preserve"> </w:t>
      </w:r>
      <w:r>
        <w:rPr>
          <w:i/>
          <w:iCs/>
        </w:rPr>
        <w:t xml:space="preserve">« en Suisse, l’annexe est obligatoire pour les sociétés de capitaux (SARL ou SA) et doit respecter les exigences du Code des Obligations (art. 959c CO) »</w:t>
      </w:r>
      <w:hyperlink r:id="rId36">
        <w:r>
          <w:rPr>
            <w:rStyle w:val="Hyperlink"/>
          </w:rPr>
          <w:t xml:space="preserve">[11]</w:t>
        </w:r>
      </w:hyperlink>
      <w:r>
        <w:t xml:space="preserve">. Le logiciel intègre donc par défaut les sections requises : méthodes comptables appliquées, détails sur les immobilisations, provisions, dettes, nombre d’employés, événements postérieurs, etc., en y insérant les chiffres ou informations déjà disponibles (par ex.</w:t>
      </w:r>
      <w:r>
        <w:t xml:space="preserve"> </w:t>
      </w:r>
      <w:r>
        <w:rPr>
          <w:i/>
          <w:iCs/>
        </w:rPr>
        <w:t xml:space="preserve">« Nombre d’employés : 5 »</w:t>
      </w:r>
      <w:r>
        <w:t xml:space="preserve"> </w:t>
      </w:r>
      <w:r>
        <w:t xml:space="preserve">si fourni,</w:t>
      </w:r>
      <w:r>
        <w:t xml:space="preserve"> </w:t>
      </w:r>
      <w:r>
        <w:rPr>
          <w:i/>
          <w:iCs/>
        </w:rPr>
        <w:t xml:space="preserve">« Engagements conditionnels : néant »</w:t>
      </w:r>
      <w:r>
        <w:t xml:space="preserve"> </w:t>
      </w:r>
      <w:r>
        <w:t xml:space="preserve">si aucune donnée d’engagement n’a été importée).</w:t>
      </w:r>
    </w:p>
    <w:p>
      <w:pPr>
        <w:numPr>
          <w:ilvl w:val="0"/>
          <w:numId w:val="1006"/>
        </w:numPr>
      </w:pPr>
      <w:r>
        <w:rPr>
          <w:b/>
          <w:bCs/>
        </w:rPr>
        <w:t xml:space="preserve">Bibliothèque de textes standard</w:t>
      </w:r>
      <w:r>
        <w:t xml:space="preserve"> </w:t>
      </w:r>
      <w:r>
        <w:t xml:space="preserve">: Pour chaque rubrique de l’annexe, le produit comprend un texte standard/modèle issu de l’expérience fiduciaire (inspiré des modèles Excel utilisés couramment). Par exemple, une phrase type pour décrire les principes d’évaluation des stocks, ou un modèle de note pour les « Réserves latentes » indiquant qu’aucune dissolution significative n’a eu lieu si c’est le cas. Ces</w:t>
      </w:r>
      <w:r>
        <w:t xml:space="preserve"> </w:t>
      </w:r>
      <w:r>
        <w:rPr>
          <w:i/>
          <w:iCs/>
        </w:rPr>
        <w:t xml:space="preserve">propositions de texte</w:t>
      </w:r>
      <w:r>
        <w:t xml:space="preserve"> </w:t>
      </w:r>
      <w:r>
        <w:t xml:space="preserve">sont chargées par défaut</w:t>
      </w:r>
      <w:hyperlink r:id="rId37">
        <w:r>
          <w:rPr>
            <w:rStyle w:val="Hyperlink"/>
          </w:rPr>
          <w:t xml:space="preserve">[12]</w:t>
        </w:r>
      </w:hyperlink>
      <w:r>
        <w:t xml:space="preserve">, l’utilisateur pouvant les éditer à sa convenance ensuite. Cela assure une</w:t>
      </w:r>
      <w:r>
        <w:t xml:space="preserve"> </w:t>
      </w:r>
      <w:r>
        <w:rPr>
          <w:b/>
          <w:bCs/>
        </w:rPr>
        <w:t xml:space="preserve">cohérence</w:t>
      </w:r>
      <w:r>
        <w:t xml:space="preserve"> </w:t>
      </w:r>
      <w:r>
        <w:t xml:space="preserve">et fait gagner du temps en évitant de tout rédiger from scratch.</w:t>
      </w:r>
    </w:p>
    <w:p>
      <w:pPr>
        <w:numPr>
          <w:ilvl w:val="0"/>
          <w:numId w:val="1006"/>
        </w:numPr>
      </w:pPr>
      <w:r>
        <w:rPr>
          <w:b/>
          <w:bCs/>
        </w:rPr>
        <w:t xml:space="preserve">Liens dynamiques entre EF et annexe</w:t>
      </w:r>
      <w:r>
        <w:t xml:space="preserve"> </w:t>
      </w:r>
      <w:r>
        <w:t xml:space="preserve">: L’utilisateur a la possibilité, depuis les écrans des EF, de</w:t>
      </w:r>
      <w:r>
        <w:t xml:space="preserve"> </w:t>
      </w:r>
      <w:r>
        <w:rPr>
          <w:b/>
          <w:bCs/>
        </w:rPr>
        <w:t xml:space="preserve">cocher qu’une rubrique nécessite une mention dans l’annexe</w:t>
      </w:r>
      <w:hyperlink r:id="rId38">
        <w:r>
          <w:rPr>
            <w:rStyle w:val="Hyperlink"/>
          </w:rPr>
          <w:t xml:space="preserve">[13]</w:t>
        </w:r>
      </w:hyperlink>
      <w:r>
        <w:t xml:space="preserve">. Par exemple, si un poste du bilan « Créances sur associés » doit être détaillé, il coche la case correspondante. Le système va alors automatiquement : (a) insérer dans l’annexe une section (ou sous-section) appropriée avec le modèle de texte de base pour cette rubrique, (b) ajouter une référence dans la présentation de l’EF indiquant qu’une note s’y réfère. La numérotation des notes de l’annexe est</w:t>
      </w:r>
      <w:r>
        <w:t xml:space="preserve"> </w:t>
      </w:r>
      <w:r>
        <w:rPr>
          <w:b/>
          <w:bCs/>
        </w:rPr>
        <w:t xml:space="preserve">automatique et dynamique</w:t>
      </w:r>
      <w:r>
        <w:t xml:space="preserve"> </w:t>
      </w:r>
      <w:r>
        <w:t xml:space="preserve">: si on ajoute/enlève des notes, la numérotation se réajuste et les renvois dans les EF se mettent à jour</w:t>
      </w:r>
      <w:hyperlink r:id="rId39">
        <w:r>
          <w:rPr>
            <w:rStyle w:val="Hyperlink"/>
          </w:rPr>
          <w:t xml:space="preserve">[14]</w:t>
        </w:r>
      </w:hyperlink>
      <w:hyperlink r:id="rId40">
        <w:r>
          <w:rPr>
            <w:rStyle w:val="Hyperlink"/>
          </w:rPr>
          <w:t xml:space="preserve">[15]</w:t>
        </w:r>
      </w:hyperlink>
      <w:r>
        <w:t xml:space="preserve">. Cela garantit que l’annexe reste alignée sur l’ordre des références dans les états, sans effort manuel.</w:t>
      </w:r>
    </w:p>
    <w:p>
      <w:pPr>
        <w:numPr>
          <w:ilvl w:val="0"/>
          <w:numId w:val="1006"/>
        </w:numPr>
      </w:pPr>
      <w:r>
        <w:rPr>
          <w:b/>
          <w:bCs/>
        </w:rPr>
        <w:t xml:space="preserve">Contenu adapté à la société</w:t>
      </w:r>
      <w:r>
        <w:t xml:space="preserve"> </w:t>
      </w:r>
      <w:r>
        <w:t xml:space="preserve">: L’annexe reprend les données spécifiques du client de manière automatique. Par exemple, le nom de l’entreprise, sa forme juridique, son siège, l’organe de révision s’il y en a un, etc., seront injectés aux bons endroits du texte (introduction de l’annexe, mention de l’Organe de révision dans la note sur la continuité, etc.). De même, si des éléments chiffrés sont nécessaires dans une note (par ex. montant des dettes envers la caisse de pension), le logiciel peut intégrer la valeur importée correspondante si disponible. L’assistant n’a plus qu’à vérifier et compléter les éléments que le logiciel ne peut deviner.</w:t>
      </w:r>
    </w:p>
    <w:p>
      <w:pPr>
        <w:numPr>
          <w:ilvl w:val="0"/>
          <w:numId w:val="1006"/>
        </w:numPr>
      </w:pPr>
      <w:r>
        <w:rPr>
          <w:b/>
          <w:bCs/>
        </w:rPr>
        <w:t xml:space="preserve">Fonctionnalités “Next Step” IA</w:t>
      </w:r>
      <w:r>
        <w:t xml:space="preserve"> </w:t>
      </w:r>
      <w:r>
        <w:t xml:space="preserve">(prévue dès V1 si possible) : Le système analysera les EF et le mapping afin de détecter d’éventuels éléments nécessitant une note annexe que l’utilisateur aurait omis de cocher. Par exemple, si un poste « Immobilisations » a varié significativement et qu’aucune note de variation n’est présente, l’outil peut</w:t>
      </w:r>
      <w:r>
        <w:t xml:space="preserve"> </w:t>
      </w:r>
      <w:r>
        <w:rPr>
          <w:b/>
          <w:bCs/>
        </w:rPr>
        <w:t xml:space="preserve">suggérer d’ajouter la note</w:t>
      </w:r>
      <w:r>
        <w:t xml:space="preserve"> </w:t>
      </w:r>
      <w:r>
        <w:t xml:space="preserve">correspondante. De même, une</w:t>
      </w:r>
      <w:r>
        <w:t xml:space="preserve"> </w:t>
      </w:r>
      <w:r>
        <w:rPr>
          <w:b/>
          <w:bCs/>
        </w:rPr>
        <w:t xml:space="preserve">analyse par l’IA</w:t>
      </w:r>
      <w:r>
        <w:t xml:space="preserve"> </w:t>
      </w:r>
      <w:r>
        <w:t xml:space="preserve">pourrait proposer des</w:t>
      </w:r>
      <w:r>
        <w:t xml:space="preserve"> </w:t>
      </w:r>
      <w:r>
        <w:rPr>
          <w:b/>
          <w:bCs/>
        </w:rPr>
        <w:t xml:space="preserve">commentaires supplémentaires</w:t>
      </w:r>
      <w:r>
        <w:t xml:space="preserve"> </w:t>
      </w:r>
      <w:r>
        <w:t xml:space="preserve">pour enrichir l’annexe là où elle est vide</w:t>
      </w:r>
      <w:hyperlink r:id="rId32">
        <w:r>
          <w:rPr>
            <w:rStyle w:val="Hyperlink"/>
          </w:rPr>
          <w:t xml:space="preserve">[16]</w:t>
        </w:r>
      </w:hyperlink>
      <w:r>
        <w:t xml:space="preserve">.</w:t>
      </w:r>
      <w:r>
        <w:t xml:space="preserve"> </w:t>
      </w:r>
      <w:r>
        <w:rPr>
          <w:i/>
          <w:iCs/>
        </w:rPr>
        <w:t xml:space="preserve">Exemple :</w:t>
      </w:r>
      <w:r>
        <w:t xml:space="preserve"> </w:t>
      </w:r>
      <w:r>
        <w:rPr>
          <w:i/>
          <w:iCs/>
        </w:rPr>
        <w:t xml:space="preserve">« L’outil a identifié une variation inhabituelle des stocks, souhaitez-vous ajouter une explication dans l’annexe ? »</w:t>
      </w:r>
      <w:r>
        <w:t xml:space="preserve">. L’assistant a alors le choix d’accepter la suggestion (un paragraphe explicatif type serait inséré, à personnaliser) ou de la décliner. Ces suggestions IA se concentrent sur des</w:t>
      </w:r>
      <w:r>
        <w:t xml:space="preserve"> </w:t>
      </w:r>
      <w:r>
        <w:rPr>
          <w:b/>
          <w:bCs/>
        </w:rPr>
        <w:t xml:space="preserve">ROI immédiats</w:t>
      </w:r>
      <w:r>
        <w:t xml:space="preserve"> </w:t>
      </w:r>
      <w:r>
        <w:t xml:space="preserve">en V1 : éviter les oublis qui pourraient être relevés en audit et faire gagner du temps de réflexion à l’assistant.</w:t>
      </w:r>
    </w:p>
    <w:p>
      <w:pPr>
        <w:numPr>
          <w:ilvl w:val="0"/>
          <w:numId w:val="1006"/>
        </w:numPr>
      </w:pPr>
      <w:r>
        <w:rPr>
          <w:b/>
          <w:bCs/>
        </w:rPr>
        <w:t xml:space="preserve">Compliance de l’annexe</w:t>
      </w:r>
      <w:r>
        <w:t xml:space="preserve"> </w:t>
      </w:r>
      <w:r>
        <w:t xml:space="preserve">: Des contrôles garantissent que tous les points obligatoires ont une réponse. Par exemple, si la société est une SARL, l’article 959c CO impose d’indiquer le nombre d’employés moyen : l’outil vérifiera que cette info figure dans l’annexe, sinon alertera l’utilisateur. Idem pour les autres mentions (dissolution de réserves latentes, etc.). Ces contrôles font partie du module global de conformité (voir 3.8) mais sont liés au contenu de l’annexe.</w:t>
      </w:r>
    </w:p>
    <w:p>
      <w:pPr>
        <w:pStyle w:val="FirstParagraph"/>
      </w:pPr>
      <w:r>
        <w:t xml:space="preserve">En résumé, le module Annexe vise une</w:t>
      </w:r>
      <w:r>
        <w:t xml:space="preserve"> </w:t>
      </w:r>
      <w:r>
        <w:rPr>
          <w:b/>
          <w:bCs/>
        </w:rPr>
        <w:t xml:space="preserve">ébauche automatique à 80%</w:t>
      </w:r>
      <w:r>
        <w:t xml:space="preserve"> </w:t>
      </w:r>
      <w:r>
        <w:t xml:space="preserve">de la note légale, que l’utilisateur finalise à 20% (ajustements de texte, compléments narratifs spécifiques). Il s’agit de</w:t>
      </w:r>
      <w:r>
        <w:t xml:space="preserve"> </w:t>
      </w:r>
      <w:r>
        <w:rPr>
          <w:b/>
          <w:bCs/>
        </w:rPr>
        <w:t xml:space="preserve">soulager le travail rédactionnel répétitif</w:t>
      </w:r>
      <w:r>
        <w:t xml:space="preserve"> </w:t>
      </w:r>
      <w:r>
        <w:t xml:space="preserve">et d’assurer qu’aucune mention importante n’est manquante. Le résultat final sera une annexe prête à être jointe aux états financiers définitifs.</w:t>
      </w:r>
    </w:p>
    <w:bookmarkEnd w:id="41"/>
    <w:bookmarkStart w:id="47" w:name="X692abb7706cb019846192267e17398c790922d9"/>
    <w:p>
      <w:pPr>
        <w:pStyle w:val="Heading3"/>
      </w:pPr>
      <w:r>
        <w:t>3.5 Notes de Clôture et Justificatifs (Dossier de travail) — phase ultérieure</w:t>
      </w:r>
    </w:p>
    <w:p>
      <w:pPr>
        <w:pStyle w:val="FirstParagraph"/>
      </w:pPr>
      <w:r>
        <w:t>Objectif cible : fournir un espace structuré de workpapers et justificatifs. Cette capacité est importante pour la proposition de valeur cible, mais elle ne fait pas partie du noyau actuellement aligné dans le repo ; elle doit être introduite après les contrôles déterministes et avec une gouvernance documentaire claire.</w:t>
      </w:r>
    </w:p>
    <w:p>
      <w:pPr>
        <w:pStyle w:val="BodyText"/>
      </w:pPr>
      <w:r>
        <w:t xml:space="preserve">Ce module, distinct de l’annexe légale, correspond au</w:t>
      </w:r>
      <w:r>
        <w:t xml:space="preserve"> </w:t>
      </w:r>
      <w:r>
        <w:rPr>
          <w:b/>
          <w:bCs/>
        </w:rPr>
        <w:t xml:space="preserve">dossier de clôture interne</w:t>
      </w:r>
      <w:r>
        <w:t xml:space="preserve"> </w:t>
      </w:r>
      <w:r>
        <w:t xml:space="preserve">souvent tenu par les fiduciaires (notes de travail, réconciliations, pièces justificatives, etc.). Il est central pour la</w:t>
      </w:r>
      <w:r>
        <w:t xml:space="preserve"> </w:t>
      </w:r>
      <w:r>
        <w:rPr>
          <w:b/>
          <w:bCs/>
        </w:rPr>
        <w:t xml:space="preserve">traçabilité et la qualité</w:t>
      </w:r>
      <w:r>
        <w:t xml:space="preserve"> </w:t>
      </w:r>
      <w:r>
        <w:t xml:space="preserve">du processus.</w:t>
      </w:r>
    </w:p>
    <w:p>
      <w:pPr>
        <w:numPr>
          <w:ilvl w:val="0"/>
          <w:numId w:val="1007"/>
        </w:numPr>
      </w:pPr>
      <w:r>
        <w:rPr>
          <w:b/>
          <w:bCs/>
        </w:rPr>
        <w:t xml:space="preserve">Génération des notes de clôture</w:t>
      </w:r>
      <w:r>
        <w:t xml:space="preserve"> </w:t>
      </w:r>
      <w:r>
        <w:t xml:space="preserve">: À partir du mapping et des EF, l’outil crée une entrée de</w:t>
      </w:r>
      <w:r>
        <w:t xml:space="preserve"> </w:t>
      </w:r>
      <w:r>
        <w:rPr>
          <w:b/>
          <w:bCs/>
        </w:rPr>
        <w:t xml:space="preserve">note de clôture</w:t>
      </w:r>
      <w:r>
        <w:t xml:space="preserve"> </w:t>
      </w:r>
      <w:r>
        <w:t xml:space="preserve">pour chaque poste significatif des états financiers. Par exemple, une note « Caisse » liée à la ligne de bilan Caisse, une note « Clients » pour les débiteurs, etc., ainsi que pour les postes de résultat comme les charges de personnel, etc. Chaque note de clôture est un espace où l’assistant pourra</w:t>
      </w:r>
      <w:r>
        <w:t xml:space="preserve"> </w:t>
      </w:r>
      <w:r>
        <w:rPr>
          <w:b/>
          <w:bCs/>
        </w:rPr>
        <w:t xml:space="preserve">justifier le solde</w:t>
      </w:r>
      <w:r>
        <w:t xml:space="preserve"> </w:t>
      </w:r>
      <w:r>
        <w:t xml:space="preserve">et attacher les</w:t>
      </w:r>
      <w:r>
        <w:t xml:space="preserve"> </w:t>
      </w:r>
      <w:r>
        <w:rPr>
          <w:b/>
          <w:bCs/>
        </w:rPr>
        <w:t xml:space="preserve">preuves</w:t>
      </w:r>
      <w:r>
        <w:t xml:space="preserve"> </w:t>
      </w:r>
      <w:r>
        <w:t xml:space="preserve">correspondantes.</w:t>
      </w:r>
    </w:p>
    <w:p>
      <w:pPr>
        <w:numPr>
          <w:ilvl w:val="0"/>
          <w:numId w:val="1007"/>
        </w:numPr>
      </w:pPr>
      <w:r>
        <w:rPr>
          <w:b/>
          <w:bCs/>
        </w:rPr>
        <w:t xml:space="preserve">Reprise de modèles existants</w:t>
      </w:r>
      <w:r>
        <w:t xml:space="preserve"> </w:t>
      </w:r>
      <w:r>
        <w:t xml:space="preserve">: Si la fiduciaire disposait déjà de notes de travail dans son fichier de clôture Excel, la V1 permet d’</w:t>
      </w:r>
      <w:r>
        <w:rPr>
          <w:b/>
          <w:bCs/>
        </w:rPr>
        <w:t xml:space="preserve">importer ces notes</w:t>
      </w:r>
      <w:r>
        <w:t xml:space="preserve"> </w:t>
      </w:r>
      <w:r>
        <w:t xml:space="preserve">ou de les configurer dans le modèle. Par exemple, s’il y avait un onglet Excel avec la liste des débiteurs et un calcul de provision, l’idée est de ne pas perdre cette information. La V1 ne promet pas l’import automatique de tout un fichier de travail, mais l’</w:t>
      </w:r>
      <w:r>
        <w:rPr>
          <w:b/>
          <w:bCs/>
        </w:rPr>
        <w:t xml:space="preserve">assistant peut copier-coller du texte</w:t>
      </w:r>
      <w:r>
        <w:t xml:space="preserve"> </w:t>
      </w:r>
      <w:r>
        <w:t xml:space="preserve">dans la note ou joindre le fichier Excel en justificatif. L’important est qu’aucune information de travail ne soit perdue en transition vers l’outil.</w:t>
      </w:r>
    </w:p>
    <w:p>
      <w:pPr>
        <w:numPr>
          <w:ilvl w:val="0"/>
          <w:numId w:val="1007"/>
        </w:numPr>
      </w:pPr>
      <w:r>
        <w:rPr>
          <w:b/>
          <w:bCs/>
        </w:rPr>
        <w:t xml:space="preserve">Ajout de pièces justificatives</w:t>
      </w:r>
      <w:r>
        <w:t xml:space="preserve"> </w:t>
      </w:r>
      <w:r>
        <w:t xml:space="preserve">: Pour chaque note de clôture (chaque poste), l’assistant peut</w:t>
      </w:r>
      <w:r>
        <w:t xml:space="preserve"> </w:t>
      </w:r>
      <w:r>
        <w:rPr>
          <w:b/>
          <w:bCs/>
        </w:rPr>
        <w:t xml:space="preserve">uploader des documents</w:t>
      </w:r>
      <w:r>
        <w:t xml:space="preserve"> </w:t>
      </w:r>
      <w:r>
        <w:t xml:space="preserve">(PDF, images, Excel) tels que : relevés bancaires pour justifier le solde banque, décomptes TVA, inventaires, contrats, calculs de provisions, etc. Chaque pièce jointe peut être référencée et nommée. Le système</w:t>
      </w:r>
      <w:r>
        <w:t xml:space="preserve"> </w:t>
      </w:r>
      <w:r>
        <w:rPr>
          <w:b/>
          <w:bCs/>
        </w:rPr>
        <w:t xml:space="preserve">indexe automatiquement</w:t>
      </w:r>
      <w:r>
        <w:t xml:space="preserve"> </w:t>
      </w:r>
      <w:r>
        <w:t xml:space="preserve">ces pièces sous la note correspondante, avec une numérotation ou référence unique. Par exemple, la note « Clients » pourrait contenir</w:t>
      </w:r>
      <w:r>
        <w:t xml:space="preserve"> </w:t>
      </w:r>
      <w:r>
        <w:rPr>
          <w:i/>
          <w:iCs/>
        </w:rPr>
        <w:t xml:space="preserve">« PJ1 – Balance agée des clients.pdf »</w:t>
      </w:r>
      <w:r>
        <w:t xml:space="preserve">,</w:t>
      </w:r>
      <w:r>
        <w:t xml:space="preserve"> </w:t>
      </w:r>
      <w:r>
        <w:rPr>
          <w:i/>
          <w:iCs/>
        </w:rPr>
        <w:t xml:space="preserve">« PJ2 – Confirmation client X.eml »</w:t>
      </w:r>
      <w:r>
        <w:t xml:space="preserve">, etc. Ces pièces seront</w:t>
      </w:r>
      <w:r>
        <w:t xml:space="preserve"> </w:t>
      </w:r>
      <w:r>
        <w:rPr>
          <w:b/>
          <w:bCs/>
        </w:rPr>
        <w:t xml:space="preserve">horodatées</w:t>
      </w:r>
      <w:r>
        <w:t xml:space="preserve"> </w:t>
      </w:r>
      <w:r>
        <w:t xml:space="preserve">(date d’upload, utilisateur). Elles pourront être exportées ensemble pour transmission à l’auditeur (voir 3.8 Compliance).</w:t>
      </w:r>
    </w:p>
    <w:p>
      <w:pPr>
        <w:numPr>
          <w:ilvl w:val="0"/>
          <w:numId w:val="1007"/>
        </w:numPr>
      </w:pPr>
      <w:r>
        <w:rPr>
          <w:b/>
          <w:bCs/>
        </w:rPr>
        <w:t xml:space="preserve">Champs de commentaire et explications</w:t>
      </w:r>
      <w:r>
        <w:t xml:space="preserve"> </w:t>
      </w:r>
      <w:r>
        <w:t xml:space="preserve">: En plus des pièces, chaque note a une zone de</w:t>
      </w:r>
      <w:r>
        <w:t xml:space="preserve"> </w:t>
      </w:r>
      <w:r>
        <w:rPr>
          <w:b/>
          <w:bCs/>
        </w:rPr>
        <w:t xml:space="preserve">commentaire libre</w:t>
      </w:r>
      <w:r>
        <w:t xml:space="preserve"> </w:t>
      </w:r>
      <w:r>
        <w:t xml:space="preserve">pour l’assistant. C’est là qu’il explique le traitement de clôture : par ex.</w:t>
      </w:r>
      <w:r>
        <w:t xml:space="preserve"> </w:t>
      </w:r>
      <w:r>
        <w:rPr>
          <w:i/>
          <w:iCs/>
        </w:rPr>
        <w:t xml:space="preserve">« Le solde Clients a été rapproché avec la balance âgée, une provision de 5k CHF a été comptabilisée pour le client Y en faillite (voir PJ2). »</w:t>
      </w:r>
      <w:r>
        <w:t xml:space="preserve"> </w:t>
      </w:r>
      <w:r>
        <w:t xml:space="preserve">L’assistant peut insérer dans ce texte des</w:t>
      </w:r>
      <w:r>
        <w:t xml:space="preserve"> </w:t>
      </w:r>
      <w:r>
        <w:rPr>
          <w:b/>
          <w:bCs/>
        </w:rPr>
        <w:t xml:space="preserve">références dynamiques</w:t>
      </w:r>
      <w:r>
        <w:t xml:space="preserve"> </w:t>
      </w:r>
      <w:r>
        <w:t xml:space="preserve">aux pièces jointes ou à d’autres notes. Par exemple, dans la note « Capitaux propres », mentionner</w:t>
      </w:r>
      <w:r>
        <w:t xml:space="preserve"> </w:t>
      </w:r>
      <w:r>
        <w:rPr>
          <w:i/>
          <w:iCs/>
        </w:rPr>
        <w:t xml:space="preserve">« cf. note Emploi du bénéfice »</w:t>
      </w:r>
      <w:r>
        <w:t xml:space="preserve"> </w:t>
      </w:r>
      <w:r>
        <w:t xml:space="preserve">qui est une autre note, et si l’ordre change, le lien se mettra à jour</w:t>
      </w:r>
      <w:hyperlink r:id="rId42">
        <w:r>
          <w:rPr>
            <w:rStyle w:val="Hyperlink"/>
          </w:rPr>
          <w:t xml:space="preserve">[17]</w:t>
        </w:r>
      </w:hyperlink>
      <w:r>
        <w:t xml:space="preserve">.</w:t>
      </w:r>
    </w:p>
    <w:p>
      <w:pPr>
        <w:numPr>
          <w:ilvl w:val="0"/>
          <w:numId w:val="1007"/>
        </w:numPr>
      </w:pPr>
      <w:r>
        <w:rPr>
          <w:b/>
          <w:bCs/>
        </w:rPr>
        <w:t xml:space="preserve">Notes spécifiques prédéfinies</w:t>
      </w:r>
      <w:r>
        <w:t xml:space="preserve"> </w:t>
      </w:r>
      <w:r>
        <w:t xml:space="preserve">: Le module inclut également des</w:t>
      </w:r>
      <w:r>
        <w:t xml:space="preserve"> </w:t>
      </w:r>
      <w:r>
        <w:rPr>
          <w:b/>
          <w:bCs/>
        </w:rPr>
        <w:t xml:space="preserve">notes de clôture standard</w:t>
      </w:r>
      <w:r>
        <w:t xml:space="preserve"> </w:t>
      </w:r>
      <w:r>
        <w:t xml:space="preserve">pour des procédures transversales :</w:t>
      </w:r>
    </w:p>
    <w:p>
      <w:pPr>
        <w:pStyle w:val="Compact"/>
        <w:numPr>
          <w:ilvl w:val="0"/>
          <w:numId w:val="1007"/>
        </w:numPr>
      </w:pPr>
      <w:r>
        <w:rPr>
          <w:i/>
          <w:iCs/>
        </w:rPr>
        <w:t xml:space="preserve">Reconciliation salaires</w:t>
      </w:r>
      <w:r>
        <w:t xml:space="preserve"> </w:t>
      </w:r>
      <w:r>
        <w:t xml:space="preserve">(vérifier que les charges de personnel correspondent aux certificats de salaire, etc.),</w:t>
      </w:r>
    </w:p>
    <w:p>
      <w:pPr>
        <w:pStyle w:val="Compact"/>
        <w:numPr>
          <w:ilvl w:val="0"/>
          <w:numId w:val="1007"/>
        </w:numPr>
      </w:pPr>
      <w:r>
        <w:rPr>
          <w:i/>
          <w:iCs/>
        </w:rPr>
        <w:t xml:space="preserve">Reconciliation TVA</w:t>
      </w:r>
      <w:r>
        <w:t xml:space="preserve"> </w:t>
      </w:r>
      <w:r>
        <w:t xml:space="preserve">(vérifier que la TVA due correspond au dernier décompte envoyé),</w:t>
      </w:r>
    </w:p>
    <w:p>
      <w:pPr>
        <w:pStyle w:val="Compact"/>
        <w:numPr>
          <w:ilvl w:val="0"/>
          <w:numId w:val="1007"/>
        </w:numPr>
      </w:pPr>
      <w:r>
        <w:rPr>
          <w:i/>
          <w:iCs/>
        </w:rPr>
        <w:t xml:space="preserve">Contrôle des soldes initiaux</w:t>
      </w:r>
      <w:r>
        <w:t xml:space="preserve"> </w:t>
      </w:r>
      <w:r>
        <w:t xml:space="preserve">(vérifier que le bilan d’ouverture N correspond au bilan clôture N-1),</w:t>
      </w:r>
    </w:p>
    <w:p>
      <w:pPr>
        <w:pStyle w:val="Compact"/>
        <w:numPr>
          <w:ilvl w:val="0"/>
          <w:numId w:val="1007"/>
        </w:numPr>
      </w:pPr>
      <w:r>
        <w:rPr>
          <w:i/>
          <w:iCs/>
        </w:rPr>
        <w:t xml:space="preserve">Suivi des pertes fiscales reportables</w:t>
      </w:r>
      <w:r>
        <w:t xml:space="preserve"> </w:t>
      </w:r>
      <w:r>
        <w:t xml:space="preserve">(si la compta statutaire ne reprend pas tous les ajustements fiscaux, suivre le décalage entre résultat comptable et fiscal),</w:t>
      </w:r>
    </w:p>
    <w:p>
      <w:pPr>
        <w:numPr>
          <w:ilvl w:val="0"/>
          <w:numId w:val="1007"/>
        </w:numPr>
      </w:pPr>
      <w:r>
        <w:rPr>
          <w:i/>
          <w:iCs/>
        </w:rPr>
        <w:t xml:space="preserve">Tableau des immobilisations</w:t>
      </w:r>
      <w:r>
        <w:t xml:space="preserve"> </w:t>
      </w:r>
      <w:r>
        <w:t xml:space="preserve">(liste et vérification des immobilisations et amortissements, y compris les possibilités de remploi d’actifs vendus, etc.).</w:t>
      </w:r>
      <w:r>
        <w:t xml:space="preserve"> </w:t>
      </w:r>
      <w:r>
        <w:t xml:space="preserve">Ces éléments sont mentionnés comme souhaitables</w:t>
      </w:r>
      <w:hyperlink r:id="rId43">
        <w:r>
          <w:rPr>
            <w:rStyle w:val="Hyperlink"/>
          </w:rPr>
          <w:t xml:space="preserve">[18]</w:t>
        </w:r>
      </w:hyperlink>
      <w:r>
        <w:t xml:space="preserve"> </w:t>
      </w:r>
      <w:r>
        <w:t xml:space="preserve">et, dans la mesure du possible, la V1 en proposera certains. Par exemple, un</w:t>
      </w:r>
      <w:r>
        <w:t xml:space="preserve"> </w:t>
      </w:r>
      <w:r>
        <w:rPr>
          <w:b/>
          <w:bCs/>
        </w:rPr>
        <w:t xml:space="preserve">gabarit de note de réconciliation TVA</w:t>
      </w:r>
      <w:r>
        <w:t xml:space="preserve"> </w:t>
      </w:r>
      <w:r>
        <w:t xml:space="preserve">où l’assistant n’a qu’à entrer le total du chiffre d’affaires déclaré et la TVA calculée pour voir s’il y a écart. Ces notes standardisées améliorent la qualité et la cohérence des travaux de clôture.</w:t>
      </w:r>
    </w:p>
    <w:p>
      <w:pPr>
        <w:numPr>
          <w:ilvl w:val="0"/>
          <w:numId w:val="1007"/>
        </w:numPr>
      </w:pPr>
      <w:r>
        <w:rPr>
          <w:b/>
          <w:bCs/>
        </w:rPr>
        <w:t xml:space="preserve">Suivi d’avancement et validation interne</w:t>
      </w:r>
      <w:r>
        <w:t xml:space="preserve"> </w:t>
      </w:r>
      <w:r>
        <w:t xml:space="preserve">: Chaque note de clôture (chaque poste) comporte un petit</w:t>
      </w:r>
      <w:r>
        <w:t xml:space="preserve"> </w:t>
      </w:r>
      <w:r>
        <w:rPr>
          <w:b/>
          <w:bCs/>
        </w:rPr>
        <w:t xml:space="preserve">indicateur d’état</w:t>
      </w:r>
      <w:r>
        <w:t xml:space="preserve"> </w:t>
      </w:r>
      <w:r>
        <w:t xml:space="preserve">et un mécanisme de validation par le reviewer. L’assistant, une fois sa note complétée, peut marquer la note comme</w:t>
      </w:r>
      <w:r>
        <w:t xml:space="preserve"> </w:t>
      </w:r>
      <w:r>
        <w:rPr>
          <w:i/>
          <w:iCs/>
        </w:rPr>
        <w:t xml:space="preserve">« prête pour revue »</w:t>
      </w:r>
      <w:r>
        <w:t xml:space="preserve">. Le reviewer (senior/manager) consultera la note et pourra soit la marquer</w:t>
      </w:r>
      <w:r>
        <w:t xml:space="preserve"> </w:t>
      </w:r>
      <w:r>
        <w:rPr>
          <w:i/>
          <w:iCs/>
        </w:rPr>
        <w:t xml:space="preserve">« contrôlée OK »</w:t>
      </w:r>
      <w:r>
        <w:t xml:space="preserve">, soit</w:t>
      </w:r>
      <w:r>
        <w:t xml:space="preserve"> </w:t>
      </w:r>
      <w:r>
        <w:rPr>
          <w:i/>
          <w:iCs/>
        </w:rPr>
        <w:t xml:space="preserve">« pas OK »</w:t>
      </w:r>
      <w:r>
        <w:t xml:space="preserve"> </w:t>
      </w:r>
      <w:r>
        <w:t xml:space="preserve">en ajoutant un commentaire de correction pour l’assistant</w:t>
      </w:r>
      <w:hyperlink r:id="rId44">
        <w:r>
          <w:rPr>
            <w:rStyle w:val="Hyperlink"/>
          </w:rPr>
          <w:t xml:space="preserve">[19]</w:t>
        </w:r>
      </w:hyperlink>
      <w:hyperlink r:id="rId45">
        <w:r>
          <w:rPr>
            <w:rStyle w:val="Hyperlink"/>
          </w:rPr>
          <w:t xml:space="preserve">[20]</w:t>
        </w:r>
      </w:hyperlink>
      <w:r>
        <w:t xml:space="preserve">. Par exemple :</w:t>
      </w:r>
      <w:r>
        <w:t xml:space="preserve"> </w:t>
      </w:r>
      <w:r>
        <w:rPr>
          <w:i/>
          <w:iCs/>
        </w:rPr>
        <w:t xml:space="preserve">« Pas OK – le détail des fournisseurs manquant, merci d’ajouter »</w:t>
      </w:r>
      <w:r>
        <w:t xml:space="preserve">. Ces statuts ne bloquent pas l’édition (l’assistant peut continuer à modifier même si le reviewer n’a pas encore validé), et il est possible de</w:t>
      </w:r>
      <w:r>
        <w:t xml:space="preserve"> </w:t>
      </w:r>
      <w:r>
        <w:rPr>
          <w:b/>
          <w:bCs/>
        </w:rPr>
        <w:t xml:space="preserve">cocher toutes les notes en bloc</w:t>
      </w:r>
      <w:r>
        <w:t xml:space="preserve"> </w:t>
      </w:r>
      <w:r>
        <w:t xml:space="preserve">si tout est bon d’un coup, mais le suivi détaillé permet de</w:t>
      </w:r>
      <w:r>
        <w:t xml:space="preserve"> </w:t>
      </w:r>
      <w:r>
        <w:rPr>
          <w:b/>
          <w:bCs/>
        </w:rPr>
        <w:t xml:space="preserve">documenter le contrôle</w:t>
      </w:r>
      <w:r>
        <w:t xml:space="preserve"> </w:t>
      </w:r>
      <w:r>
        <w:t xml:space="preserve">effectué par le reviewer, ce qui est important pour le</w:t>
      </w:r>
      <w:r>
        <w:t xml:space="preserve"> </w:t>
      </w:r>
      <w:r>
        <w:rPr>
          <w:i/>
          <w:iCs/>
        </w:rPr>
        <w:t xml:space="preserve">compliance interne</w:t>
      </w:r>
      <w:r>
        <w:t xml:space="preserve">.</w:t>
      </w:r>
    </w:p>
    <w:p>
      <w:pPr>
        <w:numPr>
          <w:ilvl w:val="0"/>
          <w:numId w:val="1007"/>
        </w:numPr>
      </w:pPr>
      <w:r>
        <w:rPr>
          <w:b/>
          <w:bCs/>
        </w:rPr>
        <w:t xml:space="preserve">Indicateurs de complétion</w:t>
      </w:r>
      <w:r>
        <w:t xml:space="preserve"> </w:t>
      </w:r>
      <w:r>
        <w:t xml:space="preserve">: Un code couleur s’affiche pour chaque note afin de visualiser rapidement le statut : par exemple,</w:t>
      </w:r>
      <w:r>
        <w:t xml:space="preserve"> </w:t>
      </w:r>
      <w:r>
        <w:rPr>
          <w:i/>
          <w:iCs/>
        </w:rPr>
        <w:t xml:space="preserve">Orange</w:t>
      </w:r>
      <w:r>
        <w:t xml:space="preserve"> </w:t>
      </w:r>
      <w:r>
        <w:t xml:space="preserve">si la note n’a</w:t>
      </w:r>
      <w:r>
        <w:t xml:space="preserve"> </w:t>
      </w:r>
      <w:r>
        <w:rPr>
          <w:b/>
          <w:bCs/>
        </w:rPr>
        <w:t xml:space="preserve">aucune pièce jointe ni commentaire</w:t>
      </w:r>
      <w:r>
        <w:t xml:space="preserve"> </w:t>
      </w:r>
      <w:r>
        <w:t xml:space="preserve">(donc pas encore documentée),</w:t>
      </w:r>
      <w:r>
        <w:t xml:space="preserve"> </w:t>
      </w:r>
      <w:r>
        <w:rPr>
          <w:i/>
          <w:iCs/>
        </w:rPr>
        <w:t xml:space="preserve">Vert</w:t>
      </w:r>
      <w:r>
        <w:t xml:space="preserve"> </w:t>
      </w:r>
      <w:r>
        <w:t xml:space="preserve">si la note est dûment documentée et marquée</w:t>
      </w:r>
      <w:r>
        <w:t xml:space="preserve"> </w:t>
      </w:r>
      <w:r>
        <w:rPr>
          <w:b/>
          <w:bCs/>
        </w:rPr>
        <w:t xml:space="preserve">OK</w:t>
      </w:r>
      <w:r>
        <w:t xml:space="preserve">,</w:t>
      </w:r>
      <w:r>
        <w:t xml:space="preserve"> </w:t>
      </w:r>
      <w:r>
        <w:rPr>
          <w:i/>
          <w:iCs/>
        </w:rPr>
        <w:t xml:space="preserve">Bleu</w:t>
      </w:r>
      <w:r>
        <w:t xml:space="preserve"> </w:t>
      </w:r>
      <w:r>
        <w:t xml:space="preserve">si la note est marquée</w:t>
      </w:r>
      <w:r>
        <w:t xml:space="preserve"> </w:t>
      </w:r>
      <w:r>
        <w:rPr>
          <w:b/>
          <w:bCs/>
        </w:rPr>
        <w:t xml:space="preserve">N/A</w:t>
      </w:r>
      <w:r>
        <w:t xml:space="preserve"> </w:t>
      </w:r>
      <w:r>
        <w:t xml:space="preserve">(non applicable) manuellement</w:t>
      </w:r>
      <w:hyperlink r:id="rId46">
        <w:r>
          <w:rPr>
            <w:rStyle w:val="Hyperlink"/>
          </w:rPr>
          <w:t xml:space="preserve">[21]</w:t>
        </w:r>
      </w:hyperlink>
      <w:r>
        <w:t xml:space="preserve">. Ces couleurs offrent un</w:t>
      </w:r>
      <w:r>
        <w:t xml:space="preserve"> </w:t>
      </w:r>
      <w:r>
        <w:rPr>
          <w:b/>
          <w:bCs/>
        </w:rPr>
        <w:t xml:space="preserve">tableau de bord du dossier de clôture</w:t>
      </w:r>
      <w:r>
        <w:t xml:space="preserve"> </w:t>
      </w:r>
      <w:r>
        <w:t xml:space="preserve">très visuel, où l’on voit quelles notes sont terminées et lesquelles nécessitent encore du travail ou une validation.</w:t>
      </w:r>
    </w:p>
    <w:p>
      <w:pPr>
        <w:numPr>
          <w:ilvl w:val="0"/>
          <w:numId w:val="1007"/>
        </w:numPr>
      </w:pPr>
      <w:r>
        <w:rPr>
          <w:b/>
          <w:bCs/>
        </w:rPr>
        <w:t xml:space="preserve">Navigation aisée</w:t>
      </w:r>
      <w:r>
        <w:t xml:space="preserve"> </w:t>
      </w:r>
      <w:r>
        <w:t xml:space="preserve">: L’UX permettra de</w:t>
      </w:r>
      <w:r>
        <w:t xml:space="preserve"> </w:t>
      </w:r>
      <w:r>
        <w:rPr>
          <w:b/>
          <w:bCs/>
        </w:rPr>
        <w:t xml:space="preserve">naviguer en cascade</w:t>
      </w:r>
      <w:r>
        <w:t xml:space="preserve"> </w:t>
      </w:r>
      <w:r>
        <w:t xml:space="preserve">du général au détail : depuis un poste du bilan on pourra cliquer pour ouvrir la note de clôture correspondante, puis ouvrir une pièce justificative particulière, et inversement on pourra depuis une pièce remonter à la note puis à la ligne d’EF</w:t>
      </w:r>
      <w:hyperlink r:id="rId32">
        <w:r>
          <w:rPr>
            <w:rStyle w:val="Hyperlink"/>
          </w:rPr>
          <w:t xml:space="preserve">[22]</w:t>
        </w:r>
      </w:hyperlink>
      <w:r>
        <w:t xml:space="preserve">. Ceci afin de faciliter les revues et l’audit : en quelques clics, retrouver l’information liée.</w:t>
      </w:r>
    </w:p>
    <w:p>
      <w:pPr>
        <w:pStyle w:val="FirstParagraph"/>
      </w:pPr>
      <w:r>
        <w:t xml:space="preserve">Ce module “notes de clôture” est fondamental pour assurer que le SaaS</w:t>
      </w:r>
      <w:r>
        <w:t xml:space="preserve"> </w:t>
      </w:r>
      <w:r>
        <w:rPr>
          <w:b/>
          <w:bCs/>
        </w:rPr>
        <w:t xml:space="preserve">couvre la réalité terrain</w:t>
      </w:r>
      <w:r>
        <w:t xml:space="preserve"> </w:t>
      </w:r>
      <w:r>
        <w:t xml:space="preserve">du travail fiduciaire, où chaque chiffre doit être justifié. En digitalisant ce classeur de clôture, on assure une</w:t>
      </w:r>
      <w:r>
        <w:t xml:space="preserve"> </w:t>
      </w:r>
      <w:r>
        <w:rPr>
          <w:b/>
          <w:bCs/>
        </w:rPr>
        <w:t xml:space="preserve">traçabilité impeccable</w:t>
      </w:r>
      <w:r>
        <w:t xml:space="preserve"> </w:t>
      </w:r>
      <w:r>
        <w:t xml:space="preserve">et on prépare la possibilité de contrôles qualité ou audits efficaces.</w:t>
      </w:r>
    </w:p>
    <w:bookmarkEnd w:id="47"/>
    <w:bookmarkStart w:id="61" w:name="X1fed242e3358a15525ffdfa2576c785af0804f6"/>
    <w:p>
      <w:pPr>
        <w:pStyle w:val="Heading3"/>
      </w:pPr>
      <w:r>
        <w:t>3.6 Contrôles déterministes et validation globale — prochaine vague</w:t>
      </w:r>
    </w:p>
    <w:p>
      <w:pPr>
        <w:pStyle w:val="FirstParagraph"/>
      </w:pPr>
      <w:r>
        <w:t>Objectif : intégrer un premier ensemble de contrôles de cohérence et un état de readiness compréhensible. Dans la séquence actuelle, cette capacité est la prochaine vague logique après closing, import et mapping ; elle doit rester déterministe, explicable et utile sans dépendre d’EF riches, de workpapers complets ou d’IA.</w:t>
      </w:r>
    </w:p>
    <w:p>
      <w:pPr>
        <w:pStyle w:val="BodyText"/>
      </w:pPr>
      <w:r>
        <w:t>Contrôles déterministes prioritaires (V1 exécutable) :</w:t>
      </w:r>
    </w:p>
    <w:p>
      <w:pPr>
        <w:numPr>
          <w:ilvl w:val="0"/>
          <w:numId w:val="1008"/>
        </w:numPr>
      </w:pPr>
      <w:r>
        <w:rPr>
          <w:b/>
          <w:bCs/>
        </w:rPr>
        <w:t xml:space="preserve">Équilibre comptable</w:t>
      </w:r>
      <w:r>
        <w:t xml:space="preserve"> </w:t>
      </w:r>
      <w:r>
        <w:t xml:space="preserve">: Vérification que</w:t>
      </w:r>
      <w:r>
        <w:t xml:space="preserve"> </w:t>
      </w:r>
      <w:r>
        <w:rPr>
          <w:i/>
          <w:iCs/>
        </w:rPr>
        <w:t xml:space="preserve">l’Actif = le Passif</w:t>
      </w:r>
      <w:r>
        <w:t xml:space="preserve"> </w:t>
      </w:r>
      <w:r>
        <w:t xml:space="preserve">dans le bilan</w:t>
      </w:r>
      <w:hyperlink r:id="rId48">
        <w:r>
          <w:rPr>
            <w:rStyle w:val="Hyperlink"/>
          </w:rPr>
          <w:t xml:space="preserve">[23]</w:t>
        </w:r>
      </w:hyperlink>
      <w:r>
        <w:t xml:space="preserve">. Toute divergence indique un problème critique (soit de données importées, soit de mapping) à résoudre avant de continuer.</w:t>
      </w:r>
    </w:p>
    <w:p>
      <w:pPr>
        <w:numPr>
          <w:ilvl w:val="0"/>
          <w:numId w:val="1008"/>
        </w:numPr>
      </w:pPr>
      <w:r>
        <w:rPr>
          <w:b/>
          <w:bCs/>
        </w:rPr>
        <w:t xml:space="preserve">Résultat cohérent</w:t>
      </w:r>
      <w:r>
        <w:t xml:space="preserve"> </w:t>
      </w:r>
      <w:r>
        <w:t xml:space="preserve">: Vérification que le</w:t>
      </w:r>
      <w:r>
        <w:t xml:space="preserve"> </w:t>
      </w:r>
      <w:r>
        <w:rPr>
          <w:b/>
          <w:bCs/>
        </w:rPr>
        <w:t xml:space="preserve">résultat net du compte de résultat = variation des fonds propres</w:t>
      </w:r>
      <w:r>
        <w:t xml:space="preserve"> </w:t>
      </w:r>
      <w:r>
        <w:t xml:space="preserve">correspondante (bénéfice affecté ou perte reportée)</w:t>
      </w:r>
      <w:hyperlink r:id="rId49">
        <w:r>
          <w:rPr>
            <w:rStyle w:val="Hyperlink"/>
          </w:rPr>
          <w:t xml:space="preserve">[24]</w:t>
        </w:r>
      </w:hyperlink>
      <w:r>
        <w:t xml:space="preserve">. Ceci s’assure, entre autres, que le tableau d’emploi du bénéfice N-1 correspond bien aux fonds propres de N (contrôle</w:t>
      </w:r>
      <w:r>
        <w:t xml:space="preserve"> </w:t>
      </w:r>
      <w:r>
        <w:rPr>
          <w:i/>
          <w:iCs/>
        </w:rPr>
        <w:t xml:space="preserve">« Emploi bénéfice N-1 = FP N »</w:t>
      </w:r>
      <w:hyperlink r:id="rId50">
        <w:r>
          <w:rPr>
            <w:rStyle w:val="Hyperlink"/>
          </w:rPr>
          <w:t xml:space="preserve">[25]</w:t>
        </w:r>
      </w:hyperlink>
      <w:r>
        <w:t xml:space="preserve">).</w:t>
      </w:r>
    </w:p>
    <w:p>
      <w:pPr>
        <w:numPr>
          <w:ilvl w:val="0"/>
          <w:numId w:val="1008"/>
        </w:numPr>
      </w:pPr>
      <w:r>
        <w:rPr>
          <w:b/>
          <w:bCs/>
        </w:rPr>
        <w:t xml:space="preserve">Totaux de sections</w:t>
      </w:r>
      <w:r>
        <w:t xml:space="preserve"> </w:t>
      </w:r>
      <w:r>
        <w:t xml:space="preserve">: Contrôle que chaque total de section (sous-totaux du bilan ou du compte de résultat) est correct et correspond à la somme de ses sous-éléments</w:t>
      </w:r>
      <w:hyperlink r:id="rId51">
        <w:r>
          <w:rPr>
            <w:rStyle w:val="Hyperlink"/>
          </w:rPr>
          <w:t xml:space="preserve">[26]</w:t>
        </w:r>
      </w:hyperlink>
      <w:r>
        <w:t xml:space="preserve">. Par exemple, Total Actifs circulants = somme des caisses, banques, clients, stocks, etc. L’outil calcule ces sommes de toute façon, mais ce contrôle attrape d’éventuelles erreurs de configuration du modèle.</w:t>
      </w:r>
    </w:p>
    <w:p>
      <w:pPr>
        <w:numPr>
          <w:ilvl w:val="0"/>
          <w:numId w:val="1008"/>
        </w:numPr>
      </w:pPr>
      <w:r>
        <w:rPr>
          <w:b/>
          <w:bCs/>
        </w:rPr>
        <w:t xml:space="preserve">Correspondance des résultats</w:t>
      </w:r>
      <w:r>
        <w:t xml:space="preserve"> </w:t>
      </w:r>
      <w:r>
        <w:t xml:space="preserve">: Le résultat affiché dans les</w:t>
      </w:r>
      <w:r>
        <w:t xml:space="preserve"> </w:t>
      </w:r>
      <w:r>
        <w:rPr>
          <w:b/>
          <w:bCs/>
        </w:rPr>
        <w:t xml:space="preserve">États Financiers</w:t>
      </w:r>
      <w:r>
        <w:t xml:space="preserve"> </w:t>
      </w:r>
      <w:r>
        <w:t xml:space="preserve">doit correspondre exactement au résultat issu de la comptabilité importée</w:t>
      </w:r>
      <w:hyperlink r:id="rId52">
        <w:r>
          <w:rPr>
            <w:rStyle w:val="Hyperlink"/>
          </w:rPr>
          <w:t xml:space="preserve">[27]</w:t>
        </w:r>
      </w:hyperlink>
      <w:r>
        <w:t xml:space="preserve">. Autrement dit, après import et ajustements, le compte de résultat du SaaS ne doit pas diverger du solde du compte de résultat de la balance. Si une différence est détectée, l’application alerte (par ex.</w:t>
      </w:r>
      <w:r>
        <w:t xml:space="preserve"> </w:t>
      </w:r>
      <w:r>
        <w:rPr>
          <w:i/>
          <w:iCs/>
        </w:rPr>
        <w:t xml:space="preserve">« Avertissement : résultat EF (100’500) ≠ résultat balance importée (99’000) »</w:t>
      </w:r>
      <w:r>
        <w:t xml:space="preserve">), car cela signale un écart non documenté (peut-être un problème de mapping ou un ajustement manquant).</w:t>
      </w:r>
    </w:p>
    <w:p>
      <w:pPr>
        <w:numPr>
          <w:ilvl w:val="0"/>
          <w:numId w:val="1008"/>
        </w:numPr>
      </w:pPr>
      <w:r>
        <w:t>Concordance EF vs Annexes/Notes : contrôle cible ultérieur, à activer seulement quand les modules EF, annexe et notes seront effectivement présents. Il ne doit pas être traité comme un prérequis immédiat du noyau courant.</w:t>
      </w:r>
    </w:p>
    <w:p>
      <w:pPr>
        <w:pStyle w:val="FirstParagraph"/>
      </w:pPr>
      <w:r>
        <w:t>Contrôles d’alerte avancés (IA &amp; étapes ultérieures) :</w:t>
      </w:r>
    </w:p>
    <w:p>
      <w:pPr>
        <w:pStyle w:val="BodyText"/>
      </w:pPr>
      <w:r>
        <w:t>En plus des contrôles déterministes du noyau, des contrôles analytiques plus riches pourront être ajoutés par vagues. Ils ne doivent pas retarder la livraison de la lecture de readiness actuelle.</w:t>
      </w:r>
    </w:p>
    <w:p>
      <w:pPr>
        <w:numPr>
          <w:ilvl w:val="0"/>
          <w:numId w:val="1009"/>
        </w:numPr>
      </w:pPr>
      <w:r>
        <w:rPr>
          <w:b/>
          <w:bCs/>
        </w:rPr>
        <w:t xml:space="preserve">Surendettement (art. 725 CO)</w:t>
      </w:r>
      <w:r>
        <w:t xml:space="preserve"> </w:t>
      </w:r>
      <w:r>
        <w:t xml:space="preserve">: Analyse du bilan pour détecter si la société est en situation de</w:t>
      </w:r>
      <w:r>
        <w:t xml:space="preserve"> </w:t>
      </w:r>
      <w:r>
        <w:rPr>
          <w:i/>
          <w:iCs/>
        </w:rPr>
        <w:t xml:space="preserve">perte de capital</w:t>
      </w:r>
      <w:r>
        <w:t xml:space="preserve"> </w:t>
      </w:r>
      <w:r>
        <w:t xml:space="preserve">ou</w:t>
      </w:r>
      <w:r>
        <w:t xml:space="preserve"> </w:t>
      </w:r>
      <w:r>
        <w:rPr>
          <w:i/>
          <w:iCs/>
        </w:rPr>
        <w:t xml:space="preserve">surendettement</w:t>
      </w:r>
      <w:r>
        <w:t xml:space="preserve"> </w:t>
      </w:r>
      <w:r>
        <w:t xml:space="preserve">(fonds propres &lt; 50% capital, ou actifs &lt; passifs). Si oui, l’outil déclenche une alerte</w:t>
      </w:r>
      <w:r>
        <w:t xml:space="preserve"> </w:t>
      </w:r>
      <w:r>
        <w:rPr>
          <w:b/>
          <w:bCs/>
        </w:rPr>
        <w:t xml:space="preserve">critique</w:t>
      </w:r>
      <w:r>
        <w:t xml:space="preserve"> </w:t>
      </w:r>
      <w:r>
        <w:t xml:space="preserve">et rappelle la procédure légale : obligation d’établir un bilan intermédiaire audité et d’aviser le juge si nécessaire. Dans un contexte fiduciaire, cela signifie notifier le manager et enregistrer les actions (postposition de créances, convention spéciale, etc.). Une checklist par étape pourrait être proposée (ex.</w:t>
      </w:r>
      <w:r>
        <w:t xml:space="preserve"> </w:t>
      </w:r>
      <w:r>
        <w:rPr>
          <w:i/>
          <w:iCs/>
        </w:rPr>
        <w:t xml:space="preserve">« Surendettement détecté – Avez-vous obtenu une subordination de créances ? Avez-vous documenté l’analyse de continuité d’exploitation ? »</w:t>
      </w:r>
      <w:r>
        <w:t xml:space="preserve">)</w:t>
      </w:r>
      <w:hyperlink r:id="rId48">
        <w:r>
          <w:rPr>
            <w:rStyle w:val="Hyperlink"/>
          </w:rPr>
          <w:t xml:space="preserve">[29]</w:t>
        </w:r>
      </w:hyperlink>
      <w:r>
        <w:t xml:space="preserve">. Tant que cette situation n’est pas résolue ou commentée, la clôture ne pourra pas être finalisée.</w:t>
      </w:r>
    </w:p>
    <w:p>
      <w:pPr>
        <w:numPr>
          <w:ilvl w:val="0"/>
          <w:numId w:val="1009"/>
        </w:numPr>
      </w:pPr>
      <w:r>
        <w:rPr>
          <w:b/>
          <w:bCs/>
        </w:rPr>
        <w:t xml:space="preserve">Calcul de sous-capitalisation</w:t>
      </w:r>
      <w:r>
        <w:t xml:space="preserve"> </w:t>
      </w:r>
      <w:r>
        <w:t xml:space="preserve">: Sur base des fonds propres et des emprunts liés aux actionnaires, calcul d’un ratio de sous-capitalisation (dette excessive) pour évaluer s’il y a un risque de</w:t>
      </w:r>
      <w:r>
        <w:t xml:space="preserve"> </w:t>
      </w:r>
      <w:r>
        <w:rPr>
          <w:b/>
          <w:bCs/>
        </w:rPr>
        <w:t xml:space="preserve">limitation fiscale des intérêts</w:t>
      </w:r>
      <w:r>
        <w:t xml:space="preserve"> </w:t>
      </w:r>
      <w:r>
        <w:t xml:space="preserve">(règles de thin cap en Suisse). Si le ratio est hors norme, signaler dans la note fiscale de l’annexe ce qu’il en est. Ce contrôle est davantage</w:t>
      </w:r>
      <w:r>
        <w:t xml:space="preserve"> </w:t>
      </w:r>
      <w:r>
        <w:rPr>
          <w:i/>
          <w:iCs/>
        </w:rPr>
        <w:t xml:space="preserve">nice-to-have</w:t>
      </w:r>
      <w:r>
        <w:t xml:space="preserve"> </w:t>
      </w:r>
      <w:r>
        <w:t xml:space="preserve">pour V1</w:t>
      </w:r>
      <w:hyperlink r:id="rId54">
        <w:r>
          <w:rPr>
            <w:rStyle w:val="Hyperlink"/>
          </w:rPr>
          <w:t xml:space="preserve">[30]</w:t>
        </w:r>
      </w:hyperlink>
      <w:r>
        <w:t xml:space="preserve">, mais si les données sont disponibles, il peut être effectué en arrière-plan et simplement mentionné.</w:t>
      </w:r>
    </w:p>
    <w:p>
      <w:pPr>
        <w:numPr>
          <w:ilvl w:val="0"/>
          <w:numId w:val="1009"/>
        </w:numPr>
      </w:pPr>
      <w:r>
        <w:rPr>
          <w:b/>
          <w:bCs/>
        </w:rPr>
        <w:t xml:space="preserve">Écarts fiscalité</w:t>
      </w:r>
      <w:r>
        <w:t xml:space="preserve"> </w:t>
      </w:r>
      <w:r>
        <w:t xml:space="preserve">: Comparaison entre la</w:t>
      </w:r>
      <w:r>
        <w:t xml:space="preserve"> </w:t>
      </w:r>
      <w:r>
        <w:rPr>
          <w:b/>
          <w:bCs/>
        </w:rPr>
        <w:t xml:space="preserve">provision d’impôt</w:t>
      </w:r>
      <w:r>
        <w:t xml:space="preserve"> </w:t>
      </w:r>
      <w:r>
        <w:t xml:space="preserve">comptabilisée et l’impôt effectivement dû d’après la déclaration fiscale (si l’info est fournie ou estimée)</w:t>
      </w:r>
      <w:hyperlink r:id="rId55">
        <w:r>
          <w:rPr>
            <w:rStyle w:val="Hyperlink"/>
          </w:rPr>
          <w:t xml:space="preserve">[31]</w:t>
        </w:r>
      </w:hyperlink>
      <w:r>
        <w:t xml:space="preserve">. Un écart significatif pourrait indiquer un ajustement à passer ou une erreur de calcul de provision.</w:t>
      </w:r>
    </w:p>
    <w:p>
      <w:pPr>
        <w:numPr>
          <w:ilvl w:val="0"/>
          <w:numId w:val="1009"/>
        </w:numPr>
      </w:pPr>
      <w:r>
        <w:rPr>
          <w:b/>
          <w:bCs/>
        </w:rPr>
        <w:t xml:space="preserve">Tableau de plausibilité</w:t>
      </w:r>
      <w:r>
        <w:t xml:space="preserve"> </w:t>
      </w:r>
      <w:r>
        <w:t xml:space="preserve">: Analyse des principaux ratios financiers et marges de l’entreprise, en les comparant soit à l’année précédente (variation N vs N-1) soit à des normes du secteur. Par exemple, alerter si la marge brute a chuté de manière inattendue, si le taux de charges de personnel sur CA est anormalement haut, ou si des ratios comme</w:t>
      </w:r>
      <w:r>
        <w:t xml:space="preserve"> </w:t>
      </w:r>
      <w:r>
        <w:rPr>
          <w:i/>
          <w:iCs/>
        </w:rPr>
        <w:t xml:space="preserve">charges sociales / salaires</w:t>
      </w:r>
      <w:r>
        <w:t xml:space="preserve"> </w:t>
      </w:r>
      <w:r>
        <w:t xml:space="preserve">ne sont pas plausibles (typiquement ~15% en Suisse)</w:t>
      </w:r>
      <w:hyperlink r:id="rId56">
        <w:r>
          <w:rPr>
            <w:rStyle w:val="Hyperlink"/>
          </w:rPr>
          <w:t xml:space="preserve">[32]</w:t>
        </w:r>
      </w:hyperlink>
      <w:r>
        <w:t xml:space="preserve">. Ces alertes apparaissent avec un indicateur et l’outil peut suggérer d’ajouter un commentaire explicatif dans l’annexe ou la note de clôture concernée. L’utilisateur peut marquer l’alerte comme revue en ajoutant un commentaire (ex.</w:t>
      </w:r>
      <w:r>
        <w:t xml:space="preserve"> </w:t>
      </w:r>
      <w:r>
        <w:rPr>
          <w:i/>
          <w:iCs/>
        </w:rPr>
        <w:t xml:space="preserve">« Variation expliquée par acquisition d’une filiale en cours d’exercice »</w:t>
      </w:r>
      <w:r>
        <w:t xml:space="preserve">).</w:t>
      </w:r>
    </w:p>
    <w:p>
      <w:pPr>
        <w:numPr>
          <w:ilvl w:val="0"/>
          <w:numId w:val="1009"/>
        </w:numPr>
      </w:pPr>
      <w:r>
        <w:rPr>
          <w:b/>
          <w:bCs/>
        </w:rPr>
        <w:t xml:space="preserve">Détection d’irrégularités</w:t>
      </w:r>
      <w:r>
        <w:t xml:space="preserve"> </w:t>
      </w:r>
      <w:r>
        <w:t xml:space="preserve">: De façon générale, l’IA surveille les écritures ou soldes inhabituels (doublons d’écritures, montants négatifs suspects, ruptures de tendance). Si identifiés, une</w:t>
      </w:r>
      <w:r>
        <w:t xml:space="preserve"> </w:t>
      </w:r>
      <w:r>
        <w:rPr>
          <w:b/>
          <w:bCs/>
        </w:rPr>
        <w:t xml:space="preserve">alerte</w:t>
      </w:r>
      <w:r>
        <w:t xml:space="preserve"> </w:t>
      </w:r>
      <w:r>
        <w:t xml:space="preserve">est émise et éventuellement un</w:t>
      </w:r>
      <w:r>
        <w:t xml:space="preserve"> </w:t>
      </w:r>
      <w:r>
        <w:rPr>
          <w:b/>
          <w:bCs/>
        </w:rPr>
        <w:t xml:space="preserve">workflow de validation</w:t>
      </w:r>
      <w:r>
        <w:t xml:space="preserve"> </w:t>
      </w:r>
      <w:r>
        <w:t xml:space="preserve">est proposé</w:t>
      </w:r>
      <w:hyperlink r:id="rId57">
        <w:r>
          <w:rPr>
            <w:rStyle w:val="Hyperlink"/>
          </w:rPr>
          <w:t xml:space="preserve">[33]</w:t>
        </w:r>
      </w:hyperlink>
      <w:r>
        <w:t xml:space="preserve">. Par exemple,</w:t>
      </w:r>
      <w:r>
        <w:t xml:space="preserve"> </w:t>
      </w:r>
      <w:r>
        <w:rPr>
          <w:i/>
          <w:iCs/>
        </w:rPr>
        <w:t xml:space="preserve">« Alerte : écriture d’amortissement manquante ce trimestre par rapport aux habitudes »</w:t>
      </w:r>
      <w:r>
        <w:t xml:space="preserve">. Ces anomalies devront être soit corrigées, soit justifiées/confirmées comme intentionnelles.</w:t>
      </w:r>
    </w:p>
    <w:p>
      <w:pPr>
        <w:pStyle w:val="FirstParagraph"/>
      </w:pPr>
      <w:r>
        <w:t>Ces contrôles avancés ont vocation à compléter la trajectoire, pas à définir le seuil d’entrée de la V1 exécutable. Le tableau de bord actuel doit d’abord répondre à trois questions : est-ce prêt, qu’est-ce qui bloque, et où agir ensuite.</w:t>
      </w:r>
    </w:p>
    <w:p>
      <w:pPr>
        <w:pStyle w:val="BodyText"/>
      </w:pPr>
      <w:r>
        <w:rPr>
          <w:b/>
          <w:bCs/>
        </w:rPr>
        <w:t xml:space="preserve">Workflow de validation par étapes :</w:t>
      </w:r>
    </w:p>
    <w:p>
      <w:pPr>
        <w:pStyle w:val="BodyText"/>
      </w:pPr>
      <w:r>
        <w:t>Parallèlement aux contrôles techniques, le produit doit offrir un workflow humain simple et lisible. Dans la phase actuelle, il doit au minimum couvrir les statuts de dossier, d’import, de mapping et de readiness ; la boucle complète assistant/reviewer/compliance pourra s’étoffer ensuite.</w:t>
      </w:r>
    </w:p>
    <w:p>
      <w:pPr>
        <w:numPr>
          <w:ilvl w:val="0"/>
          <w:numId w:val="1010"/>
        </w:numPr>
      </w:pPr>
      <w:r>
        <w:t>Les grandes étapes effectivement pertinentes à court terme sont : Closing, Import, Mapping, Controls, puis archivage ou passage aux vagues suivantes. Les étapes liées aux EF, annexes, notes de clôture ou exports doivent être introduites quand ces capacités existent réellement, pas avant.</w:t>
      </w:r>
    </w:p>
    <w:p>
      <w:pPr>
        <w:numPr>
          <w:ilvl w:val="0"/>
          <w:numId w:val="1010"/>
        </w:numPr>
      </w:pPr>
      <w:r>
        <w:t xml:space="preserve">À chaque étape, si le reviewer met</w:t>
      </w:r>
      <w:r>
        <w:t xml:space="preserve"> </w:t>
      </w:r>
      <w:r>
        <w:rPr>
          <w:i/>
          <w:iCs/>
        </w:rPr>
        <w:t xml:space="preserve">Rouge (pas OK)</w:t>
      </w:r>
      <w:r>
        <w:t xml:space="preserve">, il doit ajouter un</w:t>
      </w:r>
      <w:r>
        <w:t xml:space="preserve"> </w:t>
      </w:r>
      <w:r>
        <w:rPr>
          <w:b/>
          <w:bCs/>
        </w:rPr>
        <w:t xml:space="preserve">commentaire</w:t>
      </w:r>
      <w:r>
        <w:t xml:space="preserve"> </w:t>
      </w:r>
      <w:r>
        <w:t xml:space="preserve">précisant le problème à corriger. L’assistant voit alors ce commentaire dans sa liste de tâches et, une fois la correction faite, peut remettre l’étape en</w:t>
      </w:r>
      <w:r>
        <w:t xml:space="preserve"> </w:t>
      </w:r>
      <w:r>
        <w:rPr>
          <w:i/>
          <w:iCs/>
        </w:rPr>
        <w:t xml:space="preserve">Orange</w:t>
      </w:r>
      <w:r>
        <w:t xml:space="preserve"> </w:t>
      </w:r>
      <w:r>
        <w:t xml:space="preserve">(traité en attente de revérification) ou</w:t>
      </w:r>
      <w:r>
        <w:t xml:space="preserve"> </w:t>
      </w:r>
      <w:r>
        <w:rPr>
          <w:i/>
          <w:iCs/>
        </w:rPr>
        <w:t xml:space="preserve">Vert</w:t>
      </w:r>
      <w:r>
        <w:t xml:space="preserve"> </w:t>
      </w:r>
      <w:r>
        <w:t xml:space="preserve">directement si d’accord avec le reviewer. Ce mécanisme introduit une</w:t>
      </w:r>
      <w:r>
        <w:t xml:space="preserve"> </w:t>
      </w:r>
      <w:r>
        <w:rPr>
          <w:b/>
          <w:bCs/>
        </w:rPr>
        <w:t xml:space="preserve">boucle de feedback continue</w:t>
      </w:r>
      <w:r>
        <w:t xml:space="preserve"> </w:t>
      </w:r>
      <w:r>
        <w:t xml:space="preserve">entre l’assistant et le reviewer intégrée dans l’outil même, plutôt que via emails séparés.</w:t>
      </w:r>
    </w:p>
    <w:p>
      <w:pPr>
        <w:numPr>
          <w:ilvl w:val="0"/>
          <w:numId w:val="1010"/>
        </w:numPr>
      </w:pPr>
      <w:r>
        <w:t>Le dossier ne doit être considéré comme prêt que lorsque les contrôles déterministes disponibles sont passés ou explicitement commentés. En revanche, la phase actuelle ne doit pas dépendre d’une checklist exhaustive de modules encore absents.</w:t>
      </w:r>
    </w:p>
    <w:p>
      <w:pPr>
        <w:pStyle w:val="FirstParagraph"/>
      </w:pPr>
      <w:r>
        <w:t xml:space="preserve">Ce suivi par étapes et couleurs agit comme une</w:t>
      </w:r>
      <w:r>
        <w:t xml:space="preserve"> </w:t>
      </w:r>
      <w:r>
        <w:rPr>
          <w:b/>
          <w:bCs/>
        </w:rPr>
        <w:t xml:space="preserve">checklist dynamique</w:t>
      </w:r>
      <w:r>
        <w:t xml:space="preserve"> </w:t>
      </w:r>
      <w:r>
        <w:t xml:space="preserve">à double signature. Il apporte rigueur et visibilité, sans empêcher la flexibilité : à tout moment, on peut re-ouvrir une étape déjà validée si un ajustement s’impose (la couleur repasse alors en orange ou rouge selon le cas). L’historique des validations et changements d’état est bien sûr</w:t>
      </w:r>
      <w:r>
        <w:t xml:space="preserve"> </w:t>
      </w:r>
      <w:r>
        <w:rPr>
          <w:b/>
          <w:bCs/>
        </w:rPr>
        <w:t xml:space="preserve">journalisé</w:t>
      </w:r>
      <w:r>
        <w:t xml:space="preserve"> </w:t>
      </w:r>
      <w:r>
        <w:t xml:space="preserve">pour traçabilité.</w:t>
      </w:r>
    </w:p>
    <w:p>
      <w:pPr>
        <w:pStyle w:val="BodyText"/>
      </w:pPr>
      <w:r>
        <w:t>En synthèse, le module Contrôles &amp; Validation doit d’abord jouer un rôle de cockpit déterministe : rendre l’état du dossier lisible, prioriser les blocages et préparer les vagues suivantes sans brouiller la lecture de la V1.</w:t>
      </w:r>
    </w:p>
    <w:bookmarkEnd w:id="61"/>
    <w:bookmarkStart w:id="71" w:name="Xb04eabf598cf62409bf310ca232d0fe8aefeeaf"/>
    <w:p>
      <w:pPr>
        <w:pStyle w:val="Heading3"/>
      </w:pPr>
      <w:r>
        <w:t xml:space="preserve">3.7 Processus de Compliance et Exigences Fiduciaires</w:t>
      </w:r>
    </w:p>
    <w:p>
      <w:pPr>
        <w:pStyle w:val="FirstParagraph"/>
      </w:pPr>
      <w:r>
        <w:rPr>
          <w:b/>
          <w:bCs/>
        </w:rPr>
        <w:t xml:space="preserve">Objectif :</w:t>
      </w:r>
      <w:r>
        <w:t xml:space="preserve"> </w:t>
      </w:r>
      <w:r>
        <w:t xml:space="preserve">Intégrer dans la plateforme les</w:t>
      </w:r>
      <w:r>
        <w:t xml:space="preserve"> </w:t>
      </w:r>
      <w:r>
        <w:rPr>
          <w:b/>
          <w:bCs/>
        </w:rPr>
        <w:t xml:space="preserve">exigences de conformité spécifiques</w:t>
      </w:r>
      <w:r>
        <w:t xml:space="preserve"> </w:t>
      </w:r>
      <w:r>
        <w:t xml:space="preserve">au contexte suisse fiduciaire, afin que la clôture ne soit pas seulement comptablement correcte, mais aussi</w:t>
      </w:r>
      <w:r>
        <w:t xml:space="preserve"> </w:t>
      </w:r>
      <w:r>
        <w:rPr>
          <w:b/>
          <w:bCs/>
        </w:rPr>
        <w:t xml:space="preserve">audit-proof</w:t>
      </w:r>
      <w:r>
        <w:t xml:space="preserve"> </w:t>
      </w:r>
      <w:r>
        <w:t xml:space="preserve">et alignée avec les obligations réglementaires et normatives.</w:t>
      </w:r>
    </w:p>
    <w:p>
      <w:pPr>
        <w:pStyle w:val="BodyText"/>
      </w:pPr>
      <w:r>
        <w:t xml:space="preserve">Les fonctionnalités clés de ce domaine incluent :</w:t>
      </w:r>
    </w:p>
    <w:p>
      <w:pPr>
        <w:pStyle w:val="Compact"/>
        <w:numPr>
          <w:ilvl w:val="0"/>
          <w:numId w:val="1011"/>
        </w:numPr>
      </w:pPr>
      <w:r>
        <w:rPr>
          <w:b/>
          <w:bCs/>
        </w:rPr>
        <w:t xml:space="preserve">Gestion des validations réglementaires</w:t>
      </w:r>
      <w:r>
        <w:t xml:space="preserve"> </w:t>
      </w:r>
      <w:r>
        <w:t xml:space="preserve">: Certaines pièces justificatives ou validations sont légalement ou déontologiquement requises avant de pouvoir considérer la clôture terminée. La plateforme fera en sorte de les</w:t>
      </w:r>
      <w:r>
        <w:t xml:space="preserve"> </w:t>
      </w:r>
      <w:r>
        <w:rPr>
          <w:b/>
          <w:bCs/>
        </w:rPr>
        <w:t xml:space="preserve">recueillir et contrôler</w:t>
      </w:r>
      <w:r>
        <w:t xml:space="preserve"> </w:t>
      </w:r>
      <w:r>
        <w:t xml:space="preserve">systématiquement :</w:t>
      </w:r>
    </w:p>
    <w:p>
      <w:pPr>
        <w:pStyle w:val="Compact"/>
        <w:numPr>
          <w:ilvl w:val="0"/>
          <w:numId w:val="1011"/>
        </w:numPr>
      </w:pPr>
      <w:r>
        <w:rPr>
          <w:b/>
          <w:bCs/>
        </w:rPr>
        <w:t xml:space="preserve">Lettre d’engagement (EL)</w:t>
      </w:r>
      <w:r>
        <w:t xml:space="preserve"> </w:t>
      </w:r>
      <w:r>
        <w:t xml:space="preserve">: Vérifier qu’une</w:t>
      </w:r>
      <w:r>
        <w:t xml:space="preserve"> </w:t>
      </w:r>
      <w:r>
        <w:rPr>
          <w:b/>
          <w:bCs/>
        </w:rPr>
        <w:t xml:space="preserve">lettre de mission/engagement</w:t>
      </w:r>
      <w:r>
        <w:t xml:space="preserve"> </w:t>
      </w:r>
      <w:r>
        <w:t xml:space="preserve">à jour, couvrant l’exercice clôturé, est signée et archivée. L’outil demandera à l’utilisateur de confirmer que l’EL est en ordre et d’uploader le document signé dans le dossier de clôture le cas échéant</w:t>
      </w:r>
      <w:hyperlink r:id="rId62">
        <w:r>
          <w:rPr>
            <w:rStyle w:val="Hyperlink"/>
          </w:rPr>
          <w:t xml:space="preserve">[37]</w:t>
        </w:r>
      </w:hyperlink>
      <w:r>
        <w:t xml:space="preserve">. Si l’EL n’est pas fournie, une alerte compliance demeure (car pour une fiduciaire, travailler sans lettre de mission à jour pose un risque).</w:t>
      </w:r>
    </w:p>
    <w:p>
      <w:pPr>
        <w:pStyle w:val="Compact"/>
        <w:numPr>
          <w:ilvl w:val="0"/>
          <w:numId w:val="1011"/>
        </w:numPr>
      </w:pPr>
      <w:r>
        <w:rPr>
          <w:b/>
          <w:bCs/>
        </w:rPr>
        <w:t xml:space="preserve">Déclaration d’intégralité</w:t>
      </w:r>
      <w:r>
        <w:t xml:space="preserve"> </w:t>
      </w:r>
      <w:r>
        <w:t xml:space="preserve">: C’est la déclaration écrite du client confirmant qu’il a remis toutes les informations nécessaires (</w:t>
      </w:r>
      <w:r>
        <w:rPr>
          <w:i/>
          <w:iCs/>
        </w:rPr>
        <w:t xml:space="preserve">“management representation”</w:t>
      </w:r>
      <w:r>
        <w:t xml:space="preserve">). Le logiciel devra enregistrer la réception de la</w:t>
      </w:r>
      <w:r>
        <w:t xml:space="preserve"> </w:t>
      </w:r>
      <w:r>
        <w:rPr>
          <w:b/>
          <w:bCs/>
        </w:rPr>
        <w:t xml:space="preserve">déclaration d’intégralité signée</w:t>
      </w:r>
      <w:r>
        <w:t xml:space="preserve">. Concrètement, l’assistant coche une case</w:t>
      </w:r>
      <w:r>
        <w:t xml:space="preserve"> </w:t>
      </w:r>
      <w:r>
        <w:rPr>
          <w:i/>
          <w:iCs/>
        </w:rPr>
        <w:t xml:space="preserve">« Déclaration d’intégralité reçue et archivée »</w:t>
      </w:r>
      <w:r>
        <w:t xml:space="preserve"> </w:t>
      </w:r>
      <w:r>
        <w:t xml:space="preserve">et attache le scan du document</w:t>
      </w:r>
      <w:hyperlink r:id="rId63">
        <w:r>
          <w:rPr>
            <w:rStyle w:val="Hyperlink"/>
          </w:rPr>
          <w:t xml:space="preserve">[38]</w:t>
        </w:r>
      </w:hyperlink>
      <w:r>
        <w:t xml:space="preserve">. On peut choisir de rendre cette pièce</w:t>
      </w:r>
      <w:r>
        <w:t xml:space="preserve"> </w:t>
      </w:r>
      <w:r>
        <w:rPr>
          <w:b/>
          <w:bCs/>
        </w:rPr>
        <w:t xml:space="preserve">bloquante pour l’export définitif des EF</w:t>
      </w:r>
      <w:r>
        <w:t xml:space="preserve"> </w:t>
      </w:r>
      <w:r>
        <w:t xml:space="preserve">(c’est-à-dire qu’on ne pourra générer la version finale PDF “définitive” qu’une fois la déclaration fournie), ou au moins fortement alerter s’il manque (warning persistant).</w:t>
      </w:r>
    </w:p>
    <w:p>
      <w:pPr>
        <w:numPr>
          <w:ilvl w:val="0"/>
          <w:numId w:val="1011"/>
        </w:numPr>
      </w:pPr>
      <w:r>
        <w:rPr>
          <w:b/>
          <w:bCs/>
        </w:rPr>
        <w:t xml:space="preserve">Analyse de continuance du mandat</w:t>
      </w:r>
      <w:r>
        <w:t xml:space="preserve"> </w:t>
      </w:r>
      <w:r>
        <w:t xml:space="preserve">: Pour les fiduciaires/auditeurs, il est obligatoire d’évaluer la</w:t>
      </w:r>
      <w:r>
        <w:t xml:space="preserve"> </w:t>
      </w:r>
      <w:r>
        <w:rPr>
          <w:b/>
          <w:bCs/>
        </w:rPr>
        <w:t xml:space="preserve">continuité du mandat</w:t>
      </w:r>
      <w:r>
        <w:t xml:space="preserve"> </w:t>
      </w:r>
      <w:r>
        <w:t xml:space="preserve">(poursuite ou non de la collaboration avec le client) après chaque clôture, en particulier si des éléments problématiques sont apparus. L’outil ne peut pas la faire à la place du humain, mais il inclut un rappel et un champ pour consigner que cette analyse a été effectuée (ex:</w:t>
      </w:r>
      <w:r>
        <w:t xml:space="preserve"> </w:t>
      </w:r>
      <w:r>
        <w:rPr>
          <w:i/>
          <w:iCs/>
        </w:rPr>
        <w:t xml:space="preserve">« Continuance du mandat analysée le 15.02.2026 par Mme X, ok pour poursuite »</w:t>
      </w:r>
      <w:r>
        <w:t xml:space="preserve">)</w:t>
      </w:r>
      <w:hyperlink r:id="rId63">
        <w:r>
          <w:rPr>
            <w:rStyle w:val="Hyperlink"/>
          </w:rPr>
          <w:t xml:space="preserve">[38]</w:t>
        </w:r>
      </w:hyperlink>
      <w:r>
        <w:t xml:space="preserve">. Tant que ce point n’est pas complété, le processus de clôture reste ouvert sur le volet compliance.</w:t>
      </w:r>
    </w:p>
    <w:p>
      <w:pPr>
        <w:numPr>
          <w:ilvl w:val="0"/>
          <w:numId w:val="1011"/>
        </w:numPr>
      </w:pPr>
      <w:r>
        <w:rPr>
          <w:b/>
          <w:bCs/>
        </w:rPr>
        <w:t xml:space="preserve">Journalisation des échanges et contrôles</w:t>
      </w:r>
      <w:r>
        <w:t xml:space="preserve"> </w:t>
      </w:r>
      <w:r>
        <w:t xml:space="preserve">: Tout ce qui relève de la</w:t>
      </w:r>
      <w:r>
        <w:t xml:space="preserve"> </w:t>
      </w:r>
      <w:r>
        <w:rPr>
          <w:b/>
          <w:bCs/>
        </w:rPr>
        <w:t xml:space="preserve">communication interne de clôture</w:t>
      </w:r>
      <w:r>
        <w:t xml:space="preserve"> </w:t>
      </w:r>
      <w:r>
        <w:t xml:space="preserve">(commentaires du reviewer, réponses de l’assistant, validations, etc.) sera</w:t>
      </w:r>
      <w:r>
        <w:t xml:space="preserve"> </w:t>
      </w:r>
      <w:r>
        <w:rPr>
          <w:b/>
          <w:bCs/>
        </w:rPr>
        <w:t xml:space="preserve">documenté avec horodatage</w:t>
      </w:r>
      <w:hyperlink r:id="rId64">
        <w:r>
          <w:rPr>
            <w:rStyle w:val="Hyperlink"/>
          </w:rPr>
          <w:t xml:space="preserve">[39]</w:t>
        </w:r>
      </w:hyperlink>
      <w:r>
        <w:t xml:space="preserve">. Ainsi, on peut a posteriori démontrer qui a fait quelle vérification et quand. Ceci répond aux exigences de</w:t>
      </w:r>
      <w:r>
        <w:t xml:space="preserve"> </w:t>
      </w:r>
      <w:r>
        <w:rPr>
          <w:b/>
          <w:bCs/>
        </w:rPr>
        <w:t xml:space="preserve">Qualité et Risk Management (QRM)</w:t>
      </w:r>
      <w:r>
        <w:t xml:space="preserve"> </w:t>
      </w:r>
      <w:r>
        <w:t xml:space="preserve">des cabinets fiduciaires</w:t>
      </w:r>
      <w:hyperlink r:id="rId65">
        <w:r>
          <w:rPr>
            <w:rStyle w:val="Hyperlink"/>
          </w:rPr>
          <w:t xml:space="preserve">[40]</w:t>
        </w:r>
      </w:hyperlink>
      <w:r>
        <w:t xml:space="preserve">. Par exemple, un audit interne pourra vérifier que pour chaque dossier, la revue par un deuxième pair a bien eu lieu et est tracée dans l’outil.</w:t>
      </w:r>
    </w:p>
    <w:p>
      <w:pPr>
        <w:numPr>
          <w:ilvl w:val="0"/>
          <w:numId w:val="1011"/>
        </w:numPr>
      </w:pPr>
      <w:r>
        <w:rPr>
          <w:b/>
          <w:bCs/>
        </w:rPr>
        <w:t xml:space="preserve">Accès auditeur externe</w:t>
      </w:r>
      <w:r>
        <w:t xml:space="preserve"> </w:t>
      </w:r>
      <w:r>
        <w:t xml:space="preserve">: Une fois la clôture terminée et validée en interne, la plateforme permettra de</w:t>
      </w:r>
      <w:r>
        <w:t xml:space="preserve"> </w:t>
      </w:r>
      <w:r>
        <w:rPr>
          <w:b/>
          <w:bCs/>
        </w:rPr>
        <w:t xml:space="preserve">donner un accès temporaire à un auditeur externe</w:t>
      </w:r>
      <w:r>
        <w:t xml:space="preserve"> </w:t>
      </w:r>
      <w:r>
        <w:t xml:space="preserve">(ou réviseur interne qualité)</w:t>
      </w:r>
      <w:hyperlink r:id="rId66">
        <w:r>
          <w:rPr>
            <w:rStyle w:val="Hyperlink"/>
          </w:rPr>
          <w:t xml:space="preserve">[41]</w:t>
        </w:r>
      </w:hyperlink>
      <w:r>
        <w:t xml:space="preserve">. Cet accès “Auditeur” sera en lecture seule sur l’ensemble du dossier de clôture, éventuellement restreint à certaines sections si nécessaire. Alternativement (ou en complément), il sera possible d’</w:t>
      </w:r>
      <w:r>
        <w:rPr>
          <w:b/>
          <w:bCs/>
        </w:rPr>
        <w:t xml:space="preserve">exporter les notes de clôture avec leurs justificatifs</w:t>
      </w:r>
      <w:r>
        <w:t xml:space="preserve"> </w:t>
      </w:r>
      <w:r>
        <w:t xml:space="preserve">en un pack structuré</w:t>
      </w:r>
      <w:hyperlink r:id="rId66">
        <w:r>
          <w:rPr>
            <w:rStyle w:val="Hyperlink"/>
          </w:rPr>
          <w:t xml:space="preserve">[41]</w:t>
        </w:r>
      </w:hyperlink>
      <w:r>
        <w:t xml:space="preserve">. Par exemple, génération d’un dossier zip contenant : les EF définitifs, l’annexe, et un dossier par note de clôture avec le commentaire et les pièces attachées. Cela</w:t>
      </w:r>
      <w:r>
        <w:t xml:space="preserve"> </w:t>
      </w:r>
      <w:r>
        <w:rPr>
          <w:b/>
          <w:bCs/>
        </w:rPr>
        <w:t xml:space="preserve">simplifiera grandement l’audit</w:t>
      </w:r>
      <w:r>
        <w:t xml:space="preserve"> </w:t>
      </w:r>
      <w:r>
        <w:t xml:space="preserve">: plus besoin d’envoyer des dizaines de mails ou de partager un gros classeur Excel, tout est accessible en ligne ou en un export unique. L’auditeur peut ainsi faire son travail plus efficacement, ce qui in fine</w:t>
      </w:r>
      <w:r>
        <w:t xml:space="preserve"> </w:t>
      </w:r>
      <w:r>
        <w:rPr>
          <w:b/>
          <w:bCs/>
        </w:rPr>
        <w:t xml:space="preserve">réduit la durée et le coût des audits</w:t>
      </w:r>
      <w:hyperlink r:id="rId57">
        <w:r>
          <w:rPr>
            <w:rStyle w:val="Hyperlink"/>
          </w:rPr>
          <w:t xml:space="preserve">[33]</w:t>
        </w:r>
      </w:hyperlink>
      <w:r>
        <w:t xml:space="preserve">.</w:t>
      </w:r>
    </w:p>
    <w:p>
      <w:pPr>
        <w:numPr>
          <w:ilvl w:val="0"/>
          <w:numId w:val="1011"/>
        </w:numPr>
      </w:pPr>
      <w:r>
        <w:rPr>
          <w:b/>
          <w:bCs/>
        </w:rPr>
        <w:t xml:space="preserve">Checklist compliance finale</w:t>
      </w:r>
      <w:r>
        <w:t xml:space="preserve"> </w:t>
      </w:r>
      <w:r>
        <w:t xml:space="preserve">: La fin du processus inclura une checklist où le reviewer doit confirmer certains points propres aux fiduciaires suisses :</w:t>
      </w:r>
    </w:p>
    <w:p>
      <w:pPr>
        <w:pStyle w:val="Compact"/>
        <w:numPr>
          <w:ilvl w:val="0"/>
          <w:numId w:val="1011"/>
        </w:numPr>
      </w:pPr>
      <w:r>
        <w:rPr>
          <w:i/>
          <w:iCs/>
        </w:rPr>
        <w:t xml:space="preserve">« Surendettement vérifié et traité le cas échéant »</w:t>
      </w:r>
      <w:r>
        <w:t xml:space="preserve">,</w:t>
      </w:r>
    </w:p>
    <w:p>
      <w:pPr>
        <w:pStyle w:val="Compact"/>
        <w:numPr>
          <w:ilvl w:val="0"/>
          <w:numId w:val="1011"/>
        </w:numPr>
      </w:pPr>
      <w:r>
        <w:rPr>
          <w:i/>
          <w:iCs/>
        </w:rPr>
        <w:t xml:space="preserve">« Déclaration d’intégralité signée reçue »</w:t>
      </w:r>
      <w:r>
        <w:t xml:space="preserve">,</w:t>
      </w:r>
    </w:p>
    <w:p>
      <w:pPr>
        <w:pStyle w:val="Compact"/>
        <w:numPr>
          <w:ilvl w:val="0"/>
          <w:numId w:val="1011"/>
        </w:numPr>
      </w:pPr>
      <w:r>
        <w:rPr>
          <w:i/>
          <w:iCs/>
        </w:rPr>
        <w:t xml:space="preserve">« Clôture facturée au client »</w:t>
      </w:r>
      <w:r>
        <w:t xml:space="preserve"> </w:t>
      </w:r>
      <w:r>
        <w:t xml:space="preserve">(ou prête à facturer) – la plateforme pourrait afficher un pop-up</w:t>
      </w:r>
      <w:r>
        <w:t xml:space="preserve"> </w:t>
      </w:r>
      <w:r>
        <w:rPr>
          <w:i/>
          <w:iCs/>
        </w:rPr>
        <w:t xml:space="preserve">« Processus terminé =&gt; facturation ? »</w:t>
      </w:r>
      <w:r>
        <w:t xml:space="preserve"> </w:t>
      </w:r>
      <w:r>
        <w:t xml:space="preserve">pour rappeler au chargé de dossier d’émettre la facture de mandat, ou demander de commenter si non fait</w:t>
      </w:r>
      <w:hyperlink r:id="rId67">
        <w:r>
          <w:rPr>
            <w:rStyle w:val="Hyperlink"/>
          </w:rPr>
          <w:t xml:space="preserve">[42]</w:t>
        </w:r>
      </w:hyperlink>
      <w:r>
        <w:t xml:space="preserve">,</w:t>
      </w:r>
    </w:p>
    <w:p>
      <w:pPr>
        <w:pStyle w:val="Compact"/>
        <w:numPr>
          <w:ilvl w:val="0"/>
          <w:numId w:val="1011"/>
        </w:numPr>
      </w:pPr>
      <w:r>
        <w:rPr>
          <w:i/>
          <w:iCs/>
        </w:rPr>
        <w:t xml:space="preserve">« Dossier de clôture archivé »</w:t>
      </w:r>
      <w:r>
        <w:t xml:space="preserve"> </w:t>
      </w:r>
      <w:r>
        <w:t xml:space="preserve">(si export papier requis ou archivage externe),</w:t>
      </w:r>
    </w:p>
    <w:p>
      <w:pPr>
        <w:numPr>
          <w:ilvl w:val="0"/>
          <w:numId w:val="1011"/>
        </w:numPr>
      </w:pPr>
      <w:r>
        <w:t xml:space="preserve">etc. Le logiciel s’assure que tous ces items soient</w:t>
      </w:r>
      <w:r>
        <w:t xml:space="preserve"> </w:t>
      </w:r>
      <w:r>
        <w:rPr>
          <w:i/>
          <w:iCs/>
        </w:rPr>
        <w:t xml:space="preserve">OK</w:t>
      </w:r>
      <w:r>
        <w:t xml:space="preserve"> </w:t>
      </w:r>
      <w:r>
        <w:t xml:space="preserve">ou renseignés avant de marquer le dossier clos.</w:t>
      </w:r>
    </w:p>
    <w:p>
      <w:pPr>
        <w:numPr>
          <w:ilvl w:val="0"/>
          <w:numId w:val="1011"/>
        </w:numPr>
      </w:pPr>
      <w:r>
        <w:rPr>
          <w:b/>
          <w:bCs/>
        </w:rPr>
        <w:t xml:space="preserve">Non-blocking but visible</w:t>
      </w:r>
      <w:r>
        <w:t xml:space="preserve"> </w:t>
      </w:r>
      <w:r>
        <w:t xml:space="preserve">: Comme mentionné, aucune de ces tâches compliance ne bloque totalement l’utilisation de l’outil, mais elles sont</w:t>
      </w:r>
      <w:r>
        <w:t xml:space="preserve"> </w:t>
      </w:r>
      <w:r>
        <w:rPr>
          <w:b/>
          <w:bCs/>
        </w:rPr>
        <w:t xml:space="preserve">mises en évidence</w:t>
      </w:r>
      <w:r>
        <w:t xml:space="preserve"> </w:t>
      </w:r>
      <w:r>
        <w:t xml:space="preserve">tant qu’incomplètes et requièrent soit d’être effectuées, soit d’être justifiées si omises</w:t>
      </w:r>
      <w:hyperlink r:id="rId59">
        <w:r>
          <w:rPr>
            <w:rStyle w:val="Hyperlink"/>
          </w:rPr>
          <w:t xml:space="preserve">[35]</w:t>
        </w:r>
      </w:hyperlink>
      <w:r>
        <w:t xml:space="preserve">. Par exemple, si la déclaration d’intégralité n’est pas encore reçue mais que le client a promis de l’envoyer sous peu, le reviewer peut clore en ajoutant</w:t>
      </w:r>
      <w:r>
        <w:t xml:space="preserve"> </w:t>
      </w:r>
      <w:r>
        <w:rPr>
          <w:i/>
          <w:iCs/>
        </w:rPr>
        <w:t xml:space="preserve">« en attente du document, relancé le ... »</w:t>
      </w:r>
      <w:r>
        <w:t xml:space="preserve"> </w:t>
      </w:r>
      <w:r>
        <w:t xml:space="preserve">– le dossier pourra être fermé provisoirement mais ce commentaire restera dans le rapport de clôture.</w:t>
      </w:r>
    </w:p>
    <w:p>
      <w:pPr>
        <w:numPr>
          <w:ilvl w:val="0"/>
          <w:numId w:val="1011"/>
        </w:numPr>
      </w:pPr>
      <w:r>
        <w:rPr>
          <w:b/>
          <w:bCs/>
        </w:rPr>
        <w:t xml:space="preserve">Planification des clôtures</w:t>
      </w:r>
      <w:r>
        <w:t xml:space="preserve"> </w:t>
      </w:r>
      <w:r>
        <w:t xml:space="preserve">(Next Step) : Au-delà de la V1, l’outil pourrait incorporer un</w:t>
      </w:r>
      <w:r>
        <w:t xml:space="preserve"> </w:t>
      </w:r>
      <w:r>
        <w:rPr>
          <w:b/>
          <w:bCs/>
        </w:rPr>
        <w:t xml:space="preserve">tableau de suivi global des mandats</w:t>
      </w:r>
      <w:r>
        <w:t xml:space="preserve"> </w:t>
      </w:r>
      <w:r>
        <w:t xml:space="preserve">de la fiduciaire avec les deadlines de clôture, pour aider à planifier la charge (ex: visualiser toutes les clôtures à rendre d’ici telle date)</w:t>
      </w:r>
      <w:hyperlink r:id="rId68">
        <w:r>
          <w:rPr>
            <w:rStyle w:val="Hyperlink"/>
          </w:rPr>
          <w:t xml:space="preserve">[43]</w:t>
        </w:r>
      </w:hyperlink>
      <w:r>
        <w:t xml:space="preserve">. Ce n’est pas le cœur du produit V1, mais les données étant là, on pourra aisément rajouter une vue calendrier / planning dans une version ultérieure.</w:t>
      </w:r>
    </w:p>
    <w:p>
      <w:pPr>
        <w:numPr>
          <w:ilvl w:val="0"/>
          <w:numId w:val="1011"/>
        </w:numPr>
      </w:pPr>
      <w:r>
        <w:rPr>
          <w:b/>
          <w:bCs/>
        </w:rPr>
        <w:t xml:space="preserve">Génération de documents corporate</w:t>
      </w:r>
      <w:r>
        <w:t xml:space="preserve"> </w:t>
      </w:r>
      <w:r>
        <w:t xml:space="preserve">(Next Step) : Faciliter l’établissement des documents juridiques liés à la clôture : par exemple générer un</w:t>
      </w:r>
      <w:r>
        <w:t xml:space="preserve"> </w:t>
      </w:r>
      <w:r>
        <w:rPr>
          <w:b/>
          <w:bCs/>
        </w:rPr>
        <w:t xml:space="preserve">procès-verbal d’assemblée générale</w:t>
      </w:r>
      <w:r>
        <w:t xml:space="preserve"> </w:t>
      </w:r>
      <w:r>
        <w:t xml:space="preserve">approuvant les comptes, avec des champs à remplir (dates, participants) et quelques points standards</w:t>
      </w:r>
      <w:hyperlink r:id="rId69">
        <w:r>
          <w:rPr>
            <w:rStyle w:val="Hyperlink"/>
          </w:rPr>
          <w:t xml:space="preserve">[44]</w:t>
        </w:r>
      </w:hyperlink>
      <w:r>
        <w:t xml:space="preserve">. De même, préparer les</w:t>
      </w:r>
      <w:r>
        <w:t xml:space="preserve"> </w:t>
      </w:r>
      <w:r>
        <w:rPr>
          <w:b/>
          <w:bCs/>
        </w:rPr>
        <w:t xml:space="preserve">formulaires officiels</w:t>
      </w:r>
      <w:r>
        <w:t xml:space="preserve"> </w:t>
      </w:r>
      <w:r>
        <w:t xml:space="preserve">(p. ex. formulaires fiscaux de déclaration, références F106, F110... évoquées dans le doc source) automatiquement pourrait être un plus futur</w:t>
      </w:r>
      <w:hyperlink r:id="rId69">
        <w:r>
          <w:rPr>
            <w:rStyle w:val="Hyperlink"/>
          </w:rPr>
          <w:t xml:space="preserve">[44]</w:t>
        </w:r>
      </w:hyperlink>
      <w:r>
        <w:t xml:space="preserve">. Ces éléments sont notés en souhaits pour la roadmap mais ne font pas partie du périmètre V1 strict, sauf éventuellement un modèle de PV basique en téléchargement pour rendre service.</w:t>
      </w:r>
    </w:p>
    <w:p>
      <w:pPr>
        <w:pStyle w:val="FirstParagraph"/>
      </w:pPr>
      <w:r>
        <w:t xml:space="preserve">En intégrant ces aspects compliance dès la conception, le SaaS garantit que la</w:t>
      </w:r>
      <w:r>
        <w:t xml:space="preserve"> </w:t>
      </w:r>
      <w:r>
        <w:rPr>
          <w:b/>
          <w:bCs/>
        </w:rPr>
        <w:t xml:space="preserve">clôture réalisée via l’outil sera conforme aux meilleures pratiques fiduciaires suisses et prête pour toute inspection ou audit</w:t>
      </w:r>
      <w:r>
        <w:t xml:space="preserve">. La confiance est au cœur de l’adoption : les fiduciaires doivent pouvoir prouver que le passage au numérique</w:t>
      </w:r>
      <w:r>
        <w:t xml:space="preserve"> </w:t>
      </w:r>
      <w:r>
        <w:rPr>
          <w:b/>
          <w:bCs/>
        </w:rPr>
        <w:t xml:space="preserve">renforce</w:t>
      </w:r>
      <w:r>
        <w:t xml:space="preserve"> </w:t>
      </w:r>
      <w:r>
        <w:t xml:space="preserve">leur maîtrise du risque et de la réglementation, ce à quoi ce module contribue largement. Comme le souligne un guide,</w:t>
      </w:r>
      <w:r>
        <w:t xml:space="preserve"> </w:t>
      </w:r>
      <w:r>
        <w:rPr>
          <w:i/>
          <w:iCs/>
        </w:rPr>
        <w:t xml:space="preserve">« chaque modification, chaque accès et chaque export de données est enregistré et horodaté »</w:t>
      </w:r>
      <w:r>
        <w:t xml:space="preserve"> </w:t>
      </w:r>
      <w:r>
        <w:t xml:space="preserve">ce qui fait que</w:t>
      </w:r>
      <w:r>
        <w:t xml:space="preserve"> </w:t>
      </w:r>
      <w:r>
        <w:rPr>
          <w:i/>
          <w:iCs/>
        </w:rPr>
        <w:t xml:space="preserve">« les contrôles de conformité gagnent en rapidité »</w:t>
      </w:r>
      <w:r>
        <w:t xml:space="preserve"> </w:t>
      </w:r>
      <w:r>
        <w:t xml:space="preserve">et les recommandations des auditeurs peuvent être suivies facilement</w:t>
      </w:r>
      <w:hyperlink r:id="rId70">
        <w:r>
          <w:rPr>
            <w:rStyle w:val="Hyperlink"/>
          </w:rPr>
          <w:t xml:space="preserve">[45]</w:t>
        </w:r>
      </w:hyperlink>
      <w:r>
        <w:t xml:space="preserve">.</w:t>
      </w:r>
    </w:p>
    <w:bookmarkEnd w:id="71"/>
    <w:bookmarkStart w:id="73" w:name="export-des-livrables-de-clôture"/>
    <w:p>
      <w:pPr>
        <w:pStyle w:val="Heading3"/>
      </w:pPr>
      <w:r>
        <w:t xml:space="preserve">3.8 Export des Livrables de Clôture</w:t>
      </w:r>
    </w:p>
    <w:p>
      <w:pPr>
        <w:pStyle w:val="FirstParagraph"/>
      </w:pPr>
      <w:r>
        <w:rPr>
          <w:b/>
          <w:bCs/>
        </w:rPr>
        <w:t xml:space="preserve">Objectif :</w:t>
      </w:r>
      <w:r>
        <w:t xml:space="preserve"> </w:t>
      </w:r>
      <w:r>
        <w:t xml:space="preserve">Permettre l’extraction aisée de tous les éléments de la clôture pour diffusion aux parties prenantes (clients, auditeurs, autorités si besoin), dans des formats professionnels.</w:t>
      </w:r>
    </w:p>
    <w:p>
      <w:pPr>
        <w:numPr>
          <w:ilvl w:val="0"/>
          <w:numId w:val="1012"/>
        </w:numPr>
      </w:pPr>
      <w:r>
        <w:rPr>
          <w:b/>
          <w:bCs/>
        </w:rPr>
        <w:t xml:space="preserve">États Financiers PDF</w:t>
      </w:r>
      <w:r>
        <w:t xml:space="preserve"> </w:t>
      </w:r>
      <w:r>
        <w:t xml:space="preserve">: La V1 permettra de</w:t>
      </w:r>
      <w:r>
        <w:t xml:space="preserve"> </w:t>
      </w:r>
      <w:r>
        <w:rPr>
          <w:b/>
          <w:bCs/>
        </w:rPr>
        <w:t xml:space="preserve">générer les États Financiers complets en PDF</w:t>
      </w:r>
      <w:r>
        <w:t xml:space="preserve"> </w:t>
      </w:r>
      <w:r>
        <w:t xml:space="preserve">prêt à être remis au client ou aux actionnaires. Ce PDF comprendra : le bilan, le compte de résultat, le tableau d’emploi du bénéfice, et l’annexe, présentés de manière mise en page soignée (logo du fiduciaire ou du client, en-tête avec raison sociale, etc. paramétrables). Il sera conforme aux usages (par ex. mention « pour approbation par l’Assemblée Générale » si brouillon, ou signature possible). L’utilisateur pourra choisir de marquer le PDF comme</w:t>
      </w:r>
      <w:r>
        <w:t xml:space="preserve"> </w:t>
      </w:r>
      <w:r>
        <w:rPr>
          <w:i/>
          <w:iCs/>
        </w:rPr>
        <w:t xml:space="preserve">brouillon</w:t>
      </w:r>
      <w:r>
        <w:t xml:space="preserve"> </w:t>
      </w:r>
      <w:r>
        <w:t xml:space="preserve">ou</w:t>
      </w:r>
      <w:r>
        <w:t xml:space="preserve"> </w:t>
      </w:r>
      <w:r>
        <w:rPr>
          <w:i/>
          <w:iCs/>
        </w:rPr>
        <w:t xml:space="preserve">définitif</w:t>
      </w:r>
      <w:r>
        <w:t xml:space="preserve">. En version définitive, un</w:t>
      </w:r>
      <w:r>
        <w:t xml:space="preserve"> </w:t>
      </w:r>
      <w:r>
        <w:rPr>
          <w:b/>
          <w:bCs/>
        </w:rPr>
        <w:t xml:space="preserve">filigrane ou signature numérique</w:t>
      </w:r>
      <w:r>
        <w:t xml:space="preserve"> </w:t>
      </w:r>
      <w:r>
        <w:t xml:space="preserve">du fiduciaire pourrait être apposé pour garantir l’authenticité.</w:t>
      </w:r>
    </w:p>
    <w:p>
      <w:pPr>
        <w:numPr>
          <w:ilvl w:val="0"/>
          <w:numId w:val="1012"/>
        </w:numPr>
      </w:pPr>
      <w:r>
        <w:rPr>
          <w:b/>
          <w:bCs/>
        </w:rPr>
        <w:t xml:space="preserve">Export du dossier de clôture</w:t>
      </w:r>
      <w:r>
        <w:t xml:space="preserve"> </w:t>
      </w:r>
      <w:r>
        <w:t xml:space="preserve">: Au-delà des EF eux-mêmes, il sera possible d’</w:t>
      </w:r>
      <w:r>
        <w:rPr>
          <w:b/>
          <w:bCs/>
        </w:rPr>
        <w:t xml:space="preserve">exporter l’ensemble du dossier de clôture</w:t>
      </w:r>
      <w:r>
        <w:t xml:space="preserve"> </w:t>
      </w:r>
      <w:r>
        <w:t xml:space="preserve">(notes de clôture et pièces) soit via un accès auditeur (cf. supra), soit via un fichier. Par exemple, un</w:t>
      </w:r>
      <w:r>
        <w:t xml:space="preserve"> </w:t>
      </w:r>
      <w:r>
        <w:rPr>
          <w:b/>
          <w:bCs/>
        </w:rPr>
        <w:t xml:space="preserve">fichier ZIP</w:t>
      </w:r>
      <w:r>
        <w:t xml:space="preserve"> </w:t>
      </w:r>
      <w:r>
        <w:t xml:space="preserve">contenant : le PDF des EF, un PDF ou DOC de l’annexe séparé si besoin, un fichier PDF ou Excel récapitulant toutes les notes de clôture (avec leurs commentaires), et un dossier de pièces jointes classées par note. Ceci afin de conserver un archive hors du système si nécessaire (certaines fiduciaires impriment un classeur complet pour leur archivage légal de 10 ans).</w:t>
      </w:r>
    </w:p>
    <w:p>
      <w:pPr>
        <w:numPr>
          <w:ilvl w:val="0"/>
          <w:numId w:val="1012"/>
        </w:numPr>
      </w:pPr>
      <w:r>
        <w:rPr>
          <w:b/>
          <w:bCs/>
        </w:rPr>
        <w:t xml:space="preserve">Exports vers logiciels externes</w:t>
      </w:r>
      <w:r>
        <w:t xml:space="preserve"> </w:t>
      </w:r>
      <w:r>
        <w:t xml:space="preserve">: La V1 priorise l’import de données comptables, mais en export, on peut envisager de</w:t>
      </w:r>
      <w:r>
        <w:t xml:space="preserve"> </w:t>
      </w:r>
      <w:r>
        <w:rPr>
          <w:b/>
          <w:bCs/>
        </w:rPr>
        <w:t xml:space="preserve">renvoyer les écritures d’ajustement</w:t>
      </w:r>
      <w:r>
        <w:t xml:space="preserve"> </w:t>
      </w:r>
      <w:r>
        <w:t xml:space="preserve">vers le logiciel comptable source (via un fichier d’écritures ou API) pour que la compta du client soit mise à jour conformément aux ajustements faits dans le SaaS. Par exemple, si l’assistant a passé une provision supplémentaire dans l’outil, celui-ci pourrait générer un</w:t>
      </w:r>
      <w:r>
        <w:t xml:space="preserve"> </w:t>
      </w:r>
      <w:r>
        <w:rPr>
          <w:b/>
          <w:bCs/>
        </w:rPr>
        <w:t xml:space="preserve">fichier d’écriture</w:t>
      </w:r>
      <w:r>
        <w:t xml:space="preserve"> </w:t>
      </w:r>
      <w:r>
        <w:t xml:space="preserve">à ré-importer dans Crésus pour aligner la compta. Ce mécanisme évite les doubles saisies et assure la synchronicité post-clôture. C’est une fonctionnalité utile mais secondaire pour V1 (dépend du degré d’intégration possible avec chaque système source).</w:t>
      </w:r>
    </w:p>
    <w:p>
      <w:pPr>
        <w:numPr>
          <w:ilvl w:val="0"/>
          <w:numId w:val="1012"/>
        </w:numPr>
      </w:pPr>
      <w:r>
        <w:rPr>
          <w:b/>
          <w:bCs/>
        </w:rPr>
        <w:t xml:space="preserve">Rapports analytiques (option)</w:t>
      </w:r>
      <w:r>
        <w:t xml:space="preserve"> </w:t>
      </w:r>
      <w:r>
        <w:t xml:space="preserve">: Le SaaS pourra proposer en export certains</w:t>
      </w:r>
      <w:r>
        <w:t xml:space="preserve"> </w:t>
      </w:r>
      <w:r>
        <w:rPr>
          <w:b/>
          <w:bCs/>
        </w:rPr>
        <w:t xml:space="preserve">rapports complémentaires</w:t>
      </w:r>
      <w:r>
        <w:t xml:space="preserve"> </w:t>
      </w:r>
      <w:r>
        <w:t xml:space="preserve">appréciés par les clients, par exemple un tableau de bord graphique de l’année écoulée, des ratios clés, etc. Bien que ce ne soit pas le cœur du cahier des charges, c’est un bonus possible pour différencier l’offre (génération automatique d’un</w:t>
      </w:r>
      <w:r>
        <w:t xml:space="preserve"> </w:t>
      </w:r>
      <w:r>
        <w:rPr>
          <w:i/>
          <w:iCs/>
        </w:rPr>
        <w:t xml:space="preserve">executive summary</w:t>
      </w:r>
      <w:r>
        <w:t xml:space="preserve"> </w:t>
      </w:r>
      <w:r>
        <w:t xml:space="preserve">de la santé financière de l’entreprise à partir des données de clôture). Cela s’inscrit dans la vision de faire de la clôture non pas juste une obligation légale, mais un moment de</w:t>
      </w:r>
      <w:r>
        <w:t xml:space="preserve"> </w:t>
      </w:r>
      <w:r>
        <w:rPr>
          <w:b/>
          <w:bCs/>
        </w:rPr>
        <w:t xml:space="preserve">pilotage de performance</w:t>
      </w:r>
      <w:r>
        <w:t xml:space="preserve"> </w:t>
      </w:r>
      <w:r>
        <w:t xml:space="preserve">pour l’entreprise</w:t>
      </w:r>
      <w:hyperlink r:id="rId72">
        <w:r>
          <w:rPr>
            <w:rStyle w:val="Hyperlink"/>
          </w:rPr>
          <w:t xml:space="preserve">[46]</w:t>
        </w:r>
      </w:hyperlink>
      <w:r>
        <w:t xml:space="preserve">.</w:t>
      </w:r>
    </w:p>
    <w:p>
      <w:pPr>
        <w:numPr>
          <w:ilvl w:val="0"/>
          <w:numId w:val="1012"/>
        </w:numPr>
      </w:pPr>
      <w:r>
        <w:rPr>
          <w:b/>
          <w:bCs/>
        </w:rPr>
        <w:t xml:space="preserve">Formats de données</w:t>
      </w:r>
      <w:r>
        <w:t xml:space="preserve"> </w:t>
      </w:r>
      <w:r>
        <w:t xml:space="preserve">: Prévoir également des exports en</w:t>
      </w:r>
      <w:r>
        <w:t xml:space="preserve"> </w:t>
      </w:r>
      <w:r>
        <w:rPr>
          <w:b/>
          <w:bCs/>
        </w:rPr>
        <w:t xml:space="preserve">formats structurés</w:t>
      </w:r>
      <w:r>
        <w:t xml:space="preserve"> </w:t>
      </w:r>
      <w:r>
        <w:t xml:space="preserve">: CSV, JSON ou XML, notamment pour les intégrer à d’autres outils (consolidation, analyses BI, etc.), ou pour répondre à d’éventuelles obligations de dépôt électronique (par ex. format eCDF, XBRL si un jour requis en Suisse). La V1 peut simplement offrir l’export CSV de la balance ajustée et du mapping, en attendant mieux.</w:t>
      </w:r>
    </w:p>
    <w:p>
      <w:pPr>
        <w:numPr>
          <w:ilvl w:val="0"/>
          <w:numId w:val="1012"/>
        </w:numPr>
      </w:pPr>
      <w:r>
        <w:rPr>
          <w:b/>
          <w:bCs/>
        </w:rPr>
        <w:t xml:space="preserve">Confidentialité des exports</w:t>
      </w:r>
      <w:r>
        <w:t xml:space="preserve"> </w:t>
      </w:r>
      <w:r>
        <w:t xml:space="preserve">: Chaque export doit respecter la confidentialité multi-client. Par exemple, si un utilisateur télécharge un ZIP du dossier, il ne doit contenir que les données de</w:t>
      </w:r>
      <w:r>
        <w:t xml:space="preserve"> </w:t>
      </w:r>
      <w:r>
        <w:rPr>
          <w:b/>
          <w:bCs/>
        </w:rPr>
        <w:t xml:space="preserve">son client</w:t>
      </w:r>
      <w:r>
        <w:t xml:space="preserve">. Des garde-fous seront en place pour éviter toute fuite de données d’un client à l’autre. De plus, les exports sensibles (contenant toutes les pièces) pourraient être protégés par mot de passe ou nécessiter une confirmation. L’audit trail notera qui a exporté quoi et quand (traçabilité).</w:t>
      </w:r>
    </w:p>
    <w:p>
      <w:pPr>
        <w:pStyle w:val="FirstParagraph"/>
      </w:pPr>
      <w:r>
        <w:t xml:space="preserve">Le résultat attendu est que le fiduciaire puisse, en fin de processus,</w:t>
      </w:r>
      <w:r>
        <w:t xml:space="preserve"> </w:t>
      </w:r>
      <w:r>
        <w:rPr>
          <w:b/>
          <w:bCs/>
        </w:rPr>
        <w:t xml:space="preserve">remettre au client un pack complet</w:t>
      </w:r>
      <w:r>
        <w:t xml:space="preserve"> </w:t>
      </w:r>
      <w:r>
        <w:t xml:space="preserve">de clôture avec une</w:t>
      </w:r>
      <w:r>
        <w:t xml:space="preserve"> </w:t>
      </w:r>
      <w:r>
        <w:rPr>
          <w:b/>
          <w:bCs/>
        </w:rPr>
        <w:t xml:space="preserve">présentation professionnelle</w:t>
      </w:r>
      <w:r>
        <w:t xml:space="preserve"> </w:t>
      </w:r>
      <w:r>
        <w:t xml:space="preserve">sans effort supplémentaire de mise en page ou de compilation. Tout doit sortir de l’outil prêt à l’emploi, renforçant l’image de qualité et de modernité du fiduciaire auprès de ses clients.</w:t>
      </w:r>
    </w:p>
    <w:bookmarkEnd w:id="73"/>
    <w:bookmarkEnd w:id="74"/>
    <w:bookmarkStart w:id="75" w:name="X1b463c1f6d58f932b0ddead61895b37e53ad622"/>
    <w:p>
      <w:pPr>
        <w:pStyle w:val="Heading2"/>
      </w:pPr>
      <w:r>
        <w:t>4. IA : posture V1 et activations ultérieures</w:t>
      </w:r>
    </w:p>
    <w:p>
      <w:pPr>
        <w:pStyle w:val="FirstParagraph"/>
      </w:pPr>
      <w:r>
        <w:t>L’IA fait partie de la trajectoire produit, mais elle n’est pas encore une proposition de valeur structurante du runtime actuel. La bonne lecture de cette section est donc la suivante : ce qui est préparé maintenant, ce qui constitue un premier candidat crédible d’activation, et ce qui relève encore d’une cible ultérieure.</w:t>
      </w:r>
    </w:p>
    <w:p>
      <w:pPr>
        <w:numPr>
          <w:ilvl w:val="0"/>
          <w:numId w:val="1013"/>
        </w:numPr>
      </w:pPr>
      <w:r>
        <w:t>Copilote de Mapping Comptable : premier candidat crédible pour une activation future. Le modèle devra proposer une rubrique cible, un score de confiance, une justification et des éléments de preuve ; l’utilisateur acceptera, rejettera ou corrigera. Tant que cette capacité n’est pas activée avec gouvernance, le mapping manuel reste la référence.</w:t>
      </w:r>
    </w:p>
    <w:p>
      <w:pPr>
        <w:numPr>
          <w:ilvl w:val="0"/>
          <w:numId w:val="1013"/>
        </w:numPr>
      </w:pPr>
      <w:r>
        <w:t>Détection d’anomalies et d’écarts : capacité cible ultérieure, à introduire après stabilisation des contrôles déterministes et des jeux d’évaluation. Elle ne doit pas être présumée comme active dans la V1 courante.</w:t>
      </w:r>
    </w:p>
    <w:p>
      <w:pPr>
        <w:numPr>
          <w:ilvl w:val="0"/>
          <w:numId w:val="1013"/>
        </w:numPr>
      </w:pPr>
      <w:r>
        <w:t>Suggestions de commentaires : capacité postérieure, pertinente seulement quand les modules annexe et notes de clôture existent réellement et qu’un cadre evidence-first évite les formulations opaques ou non auditables.</w:t>
      </w:r>
    </w:p>
    <w:p>
      <w:pPr>
        <w:numPr>
          <w:ilvl w:val="0"/>
          <w:numId w:val="1013"/>
        </w:numPr>
      </w:pPr>
      <w:r>
        <w:t>Réconciliation automatique : sujet d’évolution potentielle, mais non structurant dans la phase actuelle. Le produit doit d’abord fiabiliser les flux manuels et la lecture de readiness.</w:t>
      </w:r>
    </w:p>
    <w:p>
      <w:pPr>
        <w:numPr>
          <w:ilvl w:val="0"/>
          <w:numId w:val="1013"/>
        </w:numPr>
      </w:pPr>
      <w:r>
        <w:t>Priorisation des tâches : la hiérarchisation utilisateur doit d’abord reposer sur l’état déterministe du dossier. Une aide IA pourra venir plus tard, mais ne doit pas masquer la logique métier ni devenir la condition de compréhension du produit.</w:t>
      </w:r>
    </w:p>
    <w:p>
      <w:pPr>
        <w:numPr>
          <w:ilvl w:val="0"/>
          <w:numId w:val="1013"/>
        </w:numPr>
      </w:pPr>
      <w:r>
        <w:t>Discipline de coût et de gouvernance : toute future capacité IA devra rester feature-flagged, structurée, auditable, tenant-scoped et désactivable sans casser le workflow.</w:t>
      </w:r>
    </w:p>
    <w:p>
      <w:pPr>
        <w:numPr>
          <w:ilvl w:val="0"/>
          <w:numId w:val="1013"/>
        </w:numPr>
      </w:pPr>
      <w:r>
        <w:t>Traçabilité des décisions IA : quand des suggestions IA seront activées, leur acceptation ou leur rejet devra être corrélé, journalisé et explicable. En l’état, cette règle relève d’une préparation de gouvernance plus que d’une capacité déjà visible.</w:t>
      </w:r>
    </w:p>
    <w:p>
      <w:pPr>
        <w:pStyle w:val="FirstParagraph"/>
      </w:pPr>
      <w:r>
        <w:t>En somme, la V1 actuelle est AI-ready, pas AI-led : elle prépare un copilote fiable sans laisser l’IA définir le cœur métier avant que le backbone déterministe soit stable.</w:t>
      </w:r>
    </w:p>
    <w:bookmarkEnd w:id="75"/>
    <w:bookmarkStart w:id="81" w:name="rôles-droits-sécurité-et-traçabilité"/>
    <w:p>
      <w:pPr>
        <w:pStyle w:val="Heading2"/>
      </w:pPr>
      <w:r>
        <w:t xml:space="preserve">5. Rôles, Droits, Sécurité et Traçabilité</w:t>
      </w:r>
    </w:p>
    <w:p>
      <w:pPr>
        <w:pStyle w:val="FirstParagraph"/>
      </w:pPr>
      <w:r>
        <w:t>La section ci-dessous mélange volontairement socle actuel et cible de durcissement. La vérité exécutable de la V1 actuelle est la suivante : JWT/OIDC resource server, rôles persistés via app_user et tenant_membership, tenant actif porté par X-Tenant-Id, audit append-only sur mutations significatives. Les raffinements plus poussés — MFA généralisée, ABAC complet, accès auditeur élaboré, granularité fine étendue — doivent être lus comme target state ou hardening progressif.</w:t>
      </w:r>
    </w:p>
    <w:bookmarkStart w:id="76" w:name="rôles-et-permissions"/>
    <w:p>
      <w:pPr>
        <w:pStyle w:val="Heading3"/>
      </w:pPr>
      <w:r>
        <w:t xml:space="preserve">Rôles et Permissions</w:t>
      </w:r>
    </w:p>
    <w:p>
      <w:pPr>
        <w:numPr>
          <w:ilvl w:val="0"/>
          <w:numId w:val="1014"/>
        </w:numPr>
      </w:pPr>
      <w:r>
        <w:rPr>
          <w:b/>
          <w:bCs/>
        </w:rPr>
        <w:t xml:space="preserve">Multi-tenancy</w:t>
      </w:r>
      <w:r>
        <w:t xml:space="preserve"> </w:t>
      </w:r>
      <w:r>
        <w:t xml:space="preserve">: Chaque</w:t>
      </w:r>
      <w:r>
        <w:t xml:space="preserve"> </w:t>
      </w:r>
      <w:r>
        <w:rPr>
          <w:b/>
          <w:bCs/>
        </w:rPr>
        <w:t xml:space="preserve">tenant</w:t>
      </w:r>
      <w:r>
        <w:t xml:space="preserve"> </w:t>
      </w:r>
      <w:r>
        <w:t xml:space="preserve">représente une organisation cliente (typiquement une fiduciaire, ou éventuellement une PME utilisant l’outil en direct). Un utilisateur appartient à une ou plusieurs organisations, avec des droits circonscrits à celles-ci. Aucune donnée ne doit être partageable entre tenants, sauf via les mécanismes d’export explicitement consentis (par exemple en donnant accès à un auditeur externe, voir plus bas).</w:t>
      </w:r>
    </w:p>
    <w:p>
      <w:pPr>
        <w:numPr>
          <w:ilvl w:val="0"/>
          <w:numId w:val="1014"/>
        </w:numPr>
      </w:pPr>
      <w:r>
        <w:rPr>
          <w:b/>
          <w:bCs/>
        </w:rPr>
        <w:t xml:space="preserve">Rôles de base</w:t>
      </w:r>
      <w:r>
        <w:t xml:space="preserve"> </w:t>
      </w:r>
      <w:r>
        <w:t xml:space="preserve">: On distingue au moins les rôles suivants au sein d’un tenant :</w:t>
      </w:r>
    </w:p>
    <w:p>
      <w:pPr>
        <w:pStyle w:val="Compact"/>
        <w:numPr>
          <w:ilvl w:val="0"/>
          <w:numId w:val="1014"/>
        </w:numPr>
      </w:pPr>
      <w:r>
        <w:rPr>
          <w:b/>
          <w:bCs/>
        </w:rPr>
        <w:t xml:space="preserve">Administrateur Tenant</w:t>
      </w:r>
      <w:r>
        <w:t xml:space="preserve"> </w:t>
      </w:r>
      <w:r>
        <w:t xml:space="preserve">: généralement le responsable informatique ou associé de la fiduciaire. Il peut gérer les utilisateurs de son organisation, créer de nouveaux dossiers de clôture pour des clients, paramétrer certaines préférences globales (charte graphique PDF, etc.). Ce rôle a tous les droits au sein de son tenant mais ne voit rien en dehors.</w:t>
      </w:r>
    </w:p>
    <w:p>
      <w:pPr>
        <w:pStyle w:val="Compact"/>
        <w:numPr>
          <w:ilvl w:val="0"/>
          <w:numId w:val="1014"/>
        </w:numPr>
      </w:pPr>
      <w:r>
        <w:rPr>
          <w:b/>
          <w:bCs/>
        </w:rPr>
        <w:t xml:space="preserve">Assistant/Préparateur</w:t>
      </w:r>
      <w:r>
        <w:t xml:space="preserve"> </w:t>
      </w:r>
      <w:r>
        <w:t xml:space="preserve">: utilisateur chargé de la réalisation de la clôture pour un mandat donné. Il a les droits de</w:t>
      </w:r>
      <w:r>
        <w:t xml:space="preserve"> </w:t>
      </w:r>
      <w:r>
        <w:rPr>
          <w:b/>
          <w:bCs/>
        </w:rPr>
        <w:t xml:space="preserve">création/édition</w:t>
      </w:r>
      <w:r>
        <w:t xml:space="preserve"> </w:t>
      </w:r>
      <w:r>
        <w:t xml:space="preserve">sur les données de clôture (importer, mapper, ajouter notes, pièces, etc.) pour les dossiers qui lui sont assignés. Il marque les étapes terminées, mais</w:t>
      </w:r>
      <w:r>
        <w:t xml:space="preserve"> </w:t>
      </w:r>
      <w:r>
        <w:rPr>
          <w:b/>
          <w:bCs/>
        </w:rPr>
        <w:t xml:space="preserve">ne peut pas</w:t>
      </w:r>
      <w:r>
        <w:t xml:space="preserve"> </w:t>
      </w:r>
      <w:r>
        <w:t xml:space="preserve">valider finaliser seul une étape sans revue (sauf si petite structure sans reviewer distinct, voir plus bas).</w:t>
      </w:r>
    </w:p>
    <w:p>
      <w:pPr>
        <w:pStyle w:val="Compact"/>
        <w:numPr>
          <w:ilvl w:val="0"/>
          <w:numId w:val="1014"/>
        </w:numPr>
      </w:pPr>
      <w:r>
        <w:rPr>
          <w:b/>
          <w:bCs/>
        </w:rPr>
        <w:t xml:space="preserve">Reviewer/Manager</w:t>
      </w:r>
      <w:r>
        <w:t xml:space="preserve"> </w:t>
      </w:r>
      <w:r>
        <w:t xml:space="preserve">: utilisateur responsable de la</w:t>
      </w:r>
      <w:r>
        <w:t xml:space="preserve"> </w:t>
      </w:r>
      <w:r>
        <w:rPr>
          <w:b/>
          <w:bCs/>
        </w:rPr>
        <w:t xml:space="preserve">revue et validation</w:t>
      </w:r>
      <w:r>
        <w:t xml:space="preserve">. Il a accès en lecture à l’ensemble du dossier et en écriture aux champs de validation (commentaires de review, statuts). Il peut retourner des étapes à l’assistant avec commentaires. Le reviewer peut typiquement également effectuer des modifications dans le dossier si besoin (par ex. corriger un mapping), mais cela sera signalé pour traçabilité afin que l’assistant en soit conscient.</w:t>
      </w:r>
    </w:p>
    <w:p>
      <w:pPr>
        <w:pStyle w:val="Compact"/>
        <w:numPr>
          <w:ilvl w:val="0"/>
          <w:numId w:val="1014"/>
        </w:numPr>
      </w:pPr>
      <w:r>
        <w:rPr>
          <w:b/>
          <w:bCs/>
        </w:rPr>
        <w:t xml:space="preserve">Auditeur Externe (accès temporaire)</w:t>
      </w:r>
      <w:r>
        <w:t xml:space="preserve"> </w:t>
      </w:r>
      <w:r>
        <w:t xml:space="preserve">: utilisateur créé avec un profil</w:t>
      </w:r>
      <w:r>
        <w:t xml:space="preserve"> </w:t>
      </w:r>
      <w:r>
        <w:rPr>
          <w:b/>
          <w:bCs/>
        </w:rPr>
        <w:t xml:space="preserve">lecture seule</w:t>
      </w:r>
      <w:r>
        <w:t xml:space="preserve"> </w:t>
      </w:r>
      <w:r>
        <w:t xml:space="preserve">sur un ou plusieurs dossiers, et avec une</w:t>
      </w:r>
      <w:r>
        <w:t xml:space="preserve"> </w:t>
      </w:r>
      <w:r>
        <w:rPr>
          <w:b/>
          <w:bCs/>
        </w:rPr>
        <w:t xml:space="preserve">durée limitée</w:t>
      </w:r>
      <w:r>
        <w:t xml:space="preserve"> </w:t>
      </w:r>
      <w:r>
        <w:t xml:space="preserve">(par ex. accès valable 1 mois). Il peut consulter tous les documents, exporter, mais ne peut rien modifier. Ce rôle est attribué à des comptes externes (p. ex.</w:t>
      </w:r>
      <w:r>
        <w:t xml:space="preserve"> </w:t>
      </w:r>
      <w:r>
        <w:rPr>
          <w:i/>
          <w:iCs/>
        </w:rPr>
        <w:t xml:space="preserve">prenom.nom@bureau-audit.ch</w:t>
      </w:r>
      <w:r>
        <w:t xml:space="preserve">) invités par un administrateur ou manager.</w:t>
      </w:r>
    </w:p>
    <w:p>
      <w:pPr>
        <w:numPr>
          <w:ilvl w:val="0"/>
          <w:numId w:val="1014"/>
        </w:numPr>
      </w:pPr>
      <w:r>
        <w:rPr>
          <w:b/>
          <w:bCs/>
        </w:rPr>
        <w:t xml:space="preserve">Autres</w:t>
      </w:r>
      <w:r>
        <w:t xml:space="preserve"> </w:t>
      </w:r>
      <w:r>
        <w:t xml:space="preserve">: On peut envisager un rôle</w:t>
      </w:r>
      <w:r>
        <w:t xml:space="preserve"> </w:t>
      </w:r>
      <w:r>
        <w:rPr>
          <w:b/>
          <w:bCs/>
        </w:rPr>
        <w:t xml:space="preserve">« Invité client »</w:t>
      </w:r>
      <w:r>
        <w:t xml:space="preserve"> </w:t>
      </w:r>
      <w:r>
        <w:t xml:space="preserve">si la PME cliente veut jeter un œil ou collaborer (bien que souvent, le client se contente du résultat final, certaines fiduciaires impliquent les clients dans la préparation de certaines notes). V1 n’impose pas ce rôle, mais l’architecture le prévoit pour plus tard (par ex. permettre au client de déposer lui-même sa déclaration d’impôts signée dans l’espace, etc.).</w:t>
      </w:r>
    </w:p>
    <w:p>
      <w:pPr>
        <w:numPr>
          <w:ilvl w:val="0"/>
          <w:numId w:val="1014"/>
        </w:numPr>
      </w:pPr>
      <w:r>
        <w:rPr>
          <w:b/>
          <w:bCs/>
        </w:rPr>
        <w:t xml:space="preserve">Granularité des droits</w:t>
      </w:r>
      <w:r>
        <w:t xml:space="preserve"> </w:t>
      </w:r>
      <w:r>
        <w:t xml:space="preserve">: Le système permettra de paramétrer certains droits de manière fine si requis, par exemple :</w:t>
      </w:r>
    </w:p>
    <w:p>
      <w:pPr>
        <w:pStyle w:val="Compact"/>
        <w:numPr>
          <w:ilvl w:val="0"/>
          <w:numId w:val="1014"/>
        </w:numPr>
      </w:pPr>
      <w:r>
        <w:t xml:space="preserve">Droit de</w:t>
      </w:r>
      <w:r>
        <w:t xml:space="preserve"> </w:t>
      </w:r>
      <w:r>
        <w:rPr>
          <w:b/>
          <w:bCs/>
        </w:rPr>
        <w:t xml:space="preserve">valider des étapes</w:t>
      </w:r>
      <w:r>
        <w:t xml:space="preserve"> </w:t>
      </w:r>
      <w:r>
        <w:t xml:space="preserve">réservé aux reviewers.</w:t>
      </w:r>
    </w:p>
    <w:p>
      <w:pPr>
        <w:pStyle w:val="Compact"/>
        <w:numPr>
          <w:ilvl w:val="0"/>
          <w:numId w:val="1014"/>
        </w:numPr>
      </w:pPr>
      <w:r>
        <w:t xml:space="preserve">Droit de</w:t>
      </w:r>
      <w:r>
        <w:t xml:space="preserve"> </w:t>
      </w:r>
      <w:r>
        <w:rPr>
          <w:b/>
          <w:bCs/>
        </w:rPr>
        <w:t xml:space="preserve">supprimer</w:t>
      </w:r>
      <w:r>
        <w:t xml:space="preserve"> </w:t>
      </w:r>
      <w:r>
        <w:t xml:space="preserve">un dossier de clôture peut être limité aux administrateurs (et potentiellement en cascade supprimer toutes données, avec confirmation multiple).</w:t>
      </w:r>
    </w:p>
    <w:p>
      <w:pPr>
        <w:pStyle w:val="Compact"/>
        <w:numPr>
          <w:ilvl w:val="0"/>
          <w:numId w:val="1014"/>
        </w:numPr>
      </w:pPr>
      <w:r>
        <w:t xml:space="preserve">Droit d’</w:t>
      </w:r>
      <w:r>
        <w:rPr>
          <w:b/>
          <w:bCs/>
        </w:rPr>
        <w:t xml:space="preserve">exporter</w:t>
      </w:r>
      <w:r>
        <w:t xml:space="preserve"> </w:t>
      </w:r>
      <w:r>
        <w:t xml:space="preserve">l’ensemble des données potentiellement réservé aux reviewers/managers.</w:t>
      </w:r>
    </w:p>
    <w:p>
      <w:pPr>
        <w:numPr>
          <w:ilvl w:val="0"/>
          <w:numId w:val="1014"/>
        </w:numPr>
      </w:pPr>
      <w:r>
        <w:rPr>
          <w:b/>
          <w:bCs/>
        </w:rPr>
        <w:t xml:space="preserve">Visibilité par dossier</w:t>
      </w:r>
      <w:r>
        <w:t xml:space="preserve"> </w:t>
      </w:r>
      <w:r>
        <w:t xml:space="preserve">: Au sein d’une même fiduciaire, on pourra gérer quelles équipes voient quels clients. Par défaut, tous les collaborateurs de la fiduciaire peuvent voir tous les dossiers, mais dans certains cas, cloisonner par bureau régional ou par équipe est souhaité. La V1 permettra d’assigner des utilisateurs à un dossier et éventuellement restreindre les autres (ceci peut être une feature simple de</w:t>
      </w:r>
      <w:r>
        <w:t xml:space="preserve"> </w:t>
      </w:r>
      <w:r>
        <w:rPr>
          <w:i/>
          <w:iCs/>
        </w:rPr>
        <w:t xml:space="preserve">tagging</w:t>
      </w:r>
      <w:r>
        <w:t xml:space="preserve"> </w:t>
      </w:r>
      <w:r>
        <w:t xml:space="preserve">d’équipe sur le dossier).</w:t>
      </w:r>
    </w:p>
    <w:p>
      <w:pPr>
        <w:numPr>
          <w:ilvl w:val="0"/>
          <w:numId w:val="1014"/>
        </w:numPr>
      </w:pPr>
      <w:r>
        <w:rPr>
          <w:b/>
          <w:bCs/>
        </w:rPr>
        <w:t xml:space="preserve">Séparation des tâches &amp; conflits d’intérêts</w:t>
      </w:r>
      <w:r>
        <w:t xml:space="preserve"> </w:t>
      </w:r>
      <w:r>
        <w:t xml:space="preserve">: Si une même personne cumule les rôles (par ex. dans une petite PME qui utilise l’outil sans fiduciaire, une seule personne peut tout faire), le système doit le permettre tout en loggant que la même personne a préparé et approuvé. Pour les fiduciaires, l’outil encourage la règle du double contrôle (maker-checker), mais ne l’impose pas si l’organisation décide qu’une validation n’est pas nécessaire sur un petit mandat. Un paramètre tenant pourrait activer ou non l’exigence de double validation.</w:t>
      </w:r>
    </w:p>
    <w:bookmarkEnd w:id="76"/>
    <w:bookmarkStart w:id="79" w:name="sécurité"/>
    <w:p>
      <w:pPr>
        <w:pStyle w:val="Heading3"/>
      </w:pPr>
      <w:r>
        <w:t xml:space="preserve">Sécurité</w:t>
      </w:r>
    </w:p>
    <w:p>
      <w:pPr>
        <w:numPr>
          <w:ilvl w:val="0"/>
          <w:numId w:val="1015"/>
        </w:numPr>
      </w:pPr>
      <w:r>
        <w:t>Authentification : le socle actuel repose sur un resource server JWT/OIDC et une autorisation qui ne s’appuie jamais sur les seuls claims du token. Les rôles métiers vivent dans les données persistées. MFA généralisée, SSO avancé ou SwissID relèvent d’un durcissement futur, pas d’un invariant déjà actif de la V1 courante.</w:t>
      </w:r>
    </w:p>
    <w:p>
      <w:pPr>
        <w:numPr>
          <w:ilvl w:val="0"/>
          <w:numId w:val="1015"/>
        </w:numPr>
      </w:pPr>
      <w:r>
        <w:rPr>
          <w:b/>
          <w:bCs/>
        </w:rPr>
        <w:t xml:space="preserve">Chiffrement &amp; Hébergement sécurisé</w:t>
      </w:r>
      <w:r>
        <w:t xml:space="preserve"> </w:t>
      </w:r>
      <w:r>
        <w:t xml:space="preserve">: Toutes les données sensibles sont</w:t>
      </w:r>
      <w:r>
        <w:t xml:space="preserve"> </w:t>
      </w:r>
      <w:r>
        <w:rPr>
          <w:b/>
          <w:bCs/>
        </w:rPr>
        <w:t xml:space="preserve">chiffrées au repos et en transit</w:t>
      </w:r>
      <w:r>
        <w:t xml:space="preserve">. Base de données chiffrée disque (AES-256), communications HTTPS TLS 1.3. Les backups éventuels sont chiffrés également. Les serveurs seront hébergés dans des datacenters</w:t>
      </w:r>
      <w:r>
        <w:t xml:space="preserve"> </w:t>
      </w:r>
      <w:r>
        <w:rPr>
          <w:b/>
          <w:bCs/>
        </w:rPr>
        <w:t xml:space="preserve">suisses ou européens hautement sécurisés</w:t>
      </w:r>
      <w:r>
        <w:t xml:space="preserve">, conformes ISO 27001 ou équivalent. L’hébergement peut être sur une infrastructure certifiée (ex: AWS région EU ou un cloud suisse comme Infomaniak pour les données sensibles, comme Compteo affiche</w:t>
      </w:r>
      <w:r>
        <w:t xml:space="preserve"> </w:t>
      </w:r>
      <w:r>
        <w:rPr>
          <w:i/>
          <w:iCs/>
        </w:rPr>
        <w:t xml:space="preserve">“Infomaniak Hosted”</w:t>
      </w:r>
      <w:hyperlink r:id="rId78">
        <w:r>
          <w:rPr>
            <w:rStyle w:val="Hyperlink"/>
          </w:rPr>
          <w:t xml:space="preserve">[48]</w:t>
        </w:r>
      </w:hyperlink>
      <w:r>
        <w:t xml:space="preserve">).</w:t>
      </w:r>
    </w:p>
    <w:p>
      <w:pPr>
        <w:numPr>
          <w:ilvl w:val="0"/>
          <w:numId w:val="1015"/>
        </w:numPr>
      </w:pPr>
      <w:r>
        <w:t>Isolation multi-tenant : la stratégie actuelle est application-scoping first. Toutes les requêtes et tables métier tenant-scopées passent par tenant_id et par les règles de tenant_membership. La RLS peut venir ensuite comme couche de hardening, lorsque les surfaces critiques seront stabilisées et testées.</w:t>
      </w:r>
    </w:p>
    <w:p>
      <w:pPr>
        <w:numPr>
          <w:ilvl w:val="0"/>
          <w:numId w:val="1015"/>
        </w:numPr>
      </w:pPr>
      <w:r>
        <w:rPr>
          <w:b/>
          <w:bCs/>
        </w:rPr>
        <w:t xml:space="preserve">Contrôles d’accès et monitoring</w:t>
      </w:r>
      <w:r>
        <w:t xml:space="preserve"> </w:t>
      </w:r>
      <w:r>
        <w:t xml:space="preserve">: On implémente des protections contre les accès non autorisés : limitation du nombre d’essais de mot de passe (anti-bruteforce), captcha si nécessaire, déconnexion automatique après X minutes d’inactivité, détection d’IP/source inhabituelle avec alerte (</w:t>
      </w:r>
      <w:r>
        <w:rPr>
          <w:b/>
          <w:bCs/>
        </w:rPr>
        <w:t xml:space="preserve">détection d’intrusion</w:t>
      </w:r>
      <w:r>
        <w:t xml:space="preserve">)</w:t>
      </w:r>
      <w:hyperlink r:id="rId24">
        <w:r>
          <w:rPr>
            <w:rStyle w:val="Hyperlink"/>
          </w:rPr>
          <w:t xml:space="preserve">[49]</w:t>
        </w:r>
      </w:hyperlink>
      <w:r>
        <w:t xml:space="preserve">. Toute tentative de violation (ex: un utilisateur cherchant à forcer un ID de dossier d’un autre tenant) sera bloquée et tracée.</w:t>
      </w:r>
    </w:p>
    <w:p>
      <w:pPr>
        <w:numPr>
          <w:ilvl w:val="0"/>
          <w:numId w:val="1015"/>
        </w:numPr>
      </w:pPr>
      <w:r>
        <w:rPr>
          <w:b/>
          <w:bCs/>
        </w:rPr>
        <w:t xml:space="preserve">Permissions sur fichiers</w:t>
      </w:r>
      <w:r>
        <w:t xml:space="preserve"> </w:t>
      </w:r>
      <w:r>
        <w:t xml:space="preserve">: Les documents uploadés (justificatifs, PDF générés) seront stockés de manière sécurisée, idéalement dans un stockage objet privé. Aucune URL publique non protégée ne doit permettre d’y accéder. Le download ne sera possible que via l’application authentifiée, ce qui évite les fuites via liens.</w:t>
      </w:r>
    </w:p>
    <w:p>
      <w:pPr>
        <w:numPr>
          <w:ilvl w:val="0"/>
          <w:numId w:val="1015"/>
        </w:numPr>
      </w:pPr>
      <w:r>
        <w:rPr>
          <w:b/>
          <w:bCs/>
        </w:rPr>
        <w:t xml:space="preserve">Tests de pénétration &amp; audits</w:t>
      </w:r>
      <w:r>
        <w:t xml:space="preserve"> </w:t>
      </w:r>
      <w:r>
        <w:t xml:space="preserve">: Avant la mise en prod, des tests de sécurité (pentests) seront réalisés pour s’assurer qu’aucune vulnérabilité évidente (injection SQL, XSS, CSRF, etc.) ne subsiste. La culture “banque-grade” impose une vigilance constante sur la sécurité.</w:t>
      </w:r>
    </w:p>
    <w:bookmarkEnd w:id="79"/>
    <w:bookmarkStart w:id="80" w:name="traçabilité-et-audit-logging"/>
    <w:p>
      <w:pPr>
        <w:pStyle w:val="Heading3"/>
      </w:pPr>
      <w:r>
        <w:t xml:space="preserve">Traçabilité et Audit Logging</w:t>
      </w:r>
    </w:p>
    <w:p>
      <w:pPr>
        <w:numPr>
          <w:ilvl w:val="0"/>
          <w:numId w:val="1016"/>
        </w:numPr>
      </w:pPr>
      <w:r>
        <w:t>Journal d’audit détaillé : le cœur actuel d’audit est append-only via audit_event. Les mutations métier significatives produisent un audit structuré ; les lectures et les refus n’écrivent pas dans cette table. Les enrichissements futurs pourront compléter la couverture sans brouiller cette règle.</w:t>
      </w:r>
    </w:p>
    <w:p>
      <w:pPr>
        <w:numPr>
          <w:ilvl w:val="0"/>
          <w:numId w:val="1016"/>
        </w:numPr>
      </w:pPr>
      <w:r>
        <w:t>Historique des versions : utile pour les futures surfaces textuelles et documentaires, mais à lire comme une évolution progressive. Le noyau actuel priorise d’abord les versions d’import et les changements métier significatifs.</w:t>
      </w:r>
    </w:p>
    <w:p>
      <w:pPr>
        <w:numPr>
          <w:ilvl w:val="0"/>
          <w:numId w:val="1016"/>
        </w:numPr>
      </w:pPr>
      <w:r>
        <w:t>Traçabilité des suggestions IA : exigence de gouvernance future. Elle s’appliquera quand des suggestions IA seront réellement activées ; elle ne doit pas être lue comme une capacité déjà présente au cœur du runtime.</w:t>
      </w:r>
    </w:p>
    <w:p>
      <w:pPr>
        <w:numPr>
          <w:ilvl w:val="0"/>
          <w:numId w:val="1016"/>
        </w:numPr>
      </w:pPr>
      <w:r>
        <w:t>Exports et accès : la traçabilité complète des exports prendra tout son sens lorsque les modules de livrables et de dossier documentaire seront activés. Dans l’état actuel, cette logique relève d’une cible cohérente mais non encore centrale.</w:t>
      </w:r>
    </w:p>
    <w:p>
      <w:pPr>
        <w:numPr>
          <w:ilvl w:val="0"/>
          <w:numId w:val="1016"/>
        </w:numPr>
      </w:pPr>
      <w:r>
        <w:rPr>
          <w:b/>
          <w:bCs/>
        </w:rPr>
        <w:t xml:space="preserve">Conformité RGPD</w:t>
      </w:r>
      <w:r>
        <w:t xml:space="preserve"> </w:t>
      </w:r>
      <w:r>
        <w:t xml:space="preserve">: Puisque des données (y compris possiblement des données personnelles dans les pièces justificatives) sont stockées, le SaaS doit se conformer au RGPD et aux lois suisses de protection des données. Un journal des consentements, suppression de données sur demande, etc., sera mis en place au niveau global (CGU du service). Ce point sort du périmètre direct du produit, mais influence la manière dont on traite la traçabilité (ex: logs limités dans le temps pour les données personnelles, etc.).</w:t>
      </w:r>
    </w:p>
    <w:p>
      <w:pPr>
        <w:pStyle w:val="FirstParagraph"/>
      </w:pPr>
      <w:r>
        <w:t>En combinant ce socle et cette trajectoire de durcissement, l’application vise une confiance totale sans confondre sécurité réellement active et options futures. Les bons interlocuteurs voient les bonnes données, le tenant reste explicite et l’audit garde une logique simple et exploitable.</w:t>
      </w:r>
    </w:p>
    <w:bookmarkEnd w:id="80"/>
    <w:bookmarkEnd w:id="81"/>
    <w:bookmarkStart w:id="82" w:name="architecture-cible-high-level"/>
    <w:p>
      <w:pPr>
        <w:pStyle w:val="Heading2"/>
      </w:pPr>
      <w:r>
        <w:t>6. Architecture exécutable V1 et cible technique</w:t>
      </w:r>
    </w:p>
    <w:p>
      <w:pPr>
        <w:pStyle w:val="FirstParagraph"/>
      </w:pPr>
      <w:r>
        <w:t>L’architecture doit maintenant être lue en distinguant clairement la réalité exécutable de la V1 et la cible technique ultérieure. Le socle déjà aligné est : monolithe modulaire Kotlin/Spring Boot, REST-first, PostgreSQL/Cloud SQL, Cloud Run, audit append-only, multi-tenancy applicative d’abord, no-Docker local, IA préparée mais non structurante.</w:t>
      </w:r>
    </w:p>
    <w:p>
      <w:pPr>
        <w:numPr>
          <w:ilvl w:val="0"/>
          <w:numId w:val="1017"/>
        </w:numPr>
      </w:pPr>
      <w:r>
        <w:rPr>
          <w:b/>
          <w:bCs/>
        </w:rPr>
        <w:t xml:space="preserve">Monolithe modulaire</w:t>
      </w:r>
      <w:r>
        <w:t xml:space="preserve"> </w:t>
      </w:r>
      <w:r>
        <w:t xml:space="preserve">: La V1 sera développée comme une application monolithique, ce qui simplifie le déploiement initial, mais structurée en modules internes bien séparés correspondant aux domaines fonctionnels (Import, Mapping, États Financiers, Annexes, Notes, Contrôles, Compliance, Utilisateurs). Chaque module aura des couches claires (API, service métier, accès aux données) et pourra évoluer indépendamment des autres sans couplage excessif. Cette modularité facilitera d’éventuelles extractions en microservices dans le futur si la charge ou l’organisation l’exigent, mais en V1 le monolithe garantit une</w:t>
      </w:r>
      <w:r>
        <w:t xml:space="preserve"> </w:t>
      </w:r>
      <w:r>
        <w:rPr>
          <w:b/>
          <w:bCs/>
        </w:rPr>
        <w:t xml:space="preserve">faible complexité de déploiement</w:t>
      </w:r>
      <w:r>
        <w:t xml:space="preserve"> </w:t>
      </w:r>
      <w:r>
        <w:t xml:space="preserve">et une cohérence transactionnelle.</w:t>
      </w:r>
    </w:p>
    <w:p>
      <w:pPr>
        <w:numPr>
          <w:ilvl w:val="0"/>
          <w:numId w:val="1017"/>
        </w:numPr>
      </w:pPr>
      <w:r>
        <w:t>Technologie Kotlin/Spring Boot : ce socle porte l’application backend réelle. Le repo backend constitue la source de vérité ; les modules s’organisent autour du cœur closing, des imports, du mapping et des contrôles à venir.</w:t>
      </w:r>
    </w:p>
    <w:p>
      <w:pPr>
        <w:numPr>
          <w:ilvl w:val="0"/>
          <w:numId w:val="1017"/>
        </w:numPr>
      </w:pPr>
      <w:r>
        <w:rPr>
          <w:b/>
          <w:bCs/>
        </w:rPr>
        <w:t xml:space="preserve">Base de données relationnelle</w:t>
      </w:r>
      <w:r>
        <w:t xml:space="preserve"> </w:t>
      </w:r>
      <w:r>
        <w:t xml:space="preserve">: Pour garantir la cohérence forte des données financières (transactions ACID indispensables, par ex. on ne veut pas qu’une écriture d’ajustement soit enregistrée sans son impact sur balances), on optera pour une base SQL (PostgreSQL ou MySQL/MariaDB). PostgreSQL est pressenti pour sa robustesse et ses fonctionnalités avancées (JSON support si besoin pour stocker certaines structures flexibles comme l’annexe ou les notes de clôture). Le schéma sera multi-tenant, probablement avec une colonne TenantID sur chaque table (ou schémas séparés). Des index et optimisations sont prévus pour assurer la performance même avec des milliers de comptes ou de pièces jointes (stockage des documents possiblement déporté sur S3 ou équivalent, avec références en base).</w:t>
      </w:r>
    </w:p>
    <w:p>
      <w:pPr>
        <w:numPr>
          <w:ilvl w:val="0"/>
          <w:numId w:val="1017"/>
        </w:numPr>
      </w:pPr>
      <w:r>
        <w:t>API REST-first : la surface publique actuelle privilégie des workflows lisibles et auditables. GraphQL n’est pas un composant actif du runtime V1 courant ; il ne deviendra pertinent que si le coût de composition des lectures frontend le justifie réellement.</w:t>
      </w:r>
    </w:p>
    <w:p>
      <w:pPr>
        <w:numPr>
          <w:ilvl w:val="0"/>
          <w:numId w:val="1017"/>
        </w:numPr>
      </w:pPr>
      <w:r>
        <w:t>Front-end riche : la trajectoire UX peut aller vers une surface web plus large et plus riche, mais la phase actuelle reste backend-first et desktop-first. Les futures surfaces frontend doivent refléter le chemin dossier  -&gt;  import  -&gt;  mapping  -&gt;  controls avant d’élargir le cockpit.</w:t>
      </w:r>
    </w:p>
    <w:p>
      <w:pPr>
        <w:numPr>
          <w:ilvl w:val="0"/>
          <w:numId w:val="1017"/>
        </w:numPr>
      </w:pPr>
      <w:r>
        <w:rPr>
          <w:b/>
          <w:bCs/>
        </w:rPr>
        <w:t xml:space="preserve">Sécurité et Observabilité</w:t>
      </w:r>
      <w:r>
        <w:t xml:space="preserve"> </w:t>
      </w:r>
      <w:r>
        <w:t xml:space="preserve">: Comme déjà évoqué, la sécurité est un pilier non négociable de l’architecture. On intègre dès le départ la gestion centralisée des utilisateurs/permissions dans le module core. L’observabilité quant à elle sera implémentée via des</w:t>
      </w:r>
      <w:r>
        <w:t xml:space="preserve"> </w:t>
      </w:r>
      <w:r>
        <w:rPr>
          <w:b/>
          <w:bCs/>
        </w:rPr>
        <w:t xml:space="preserve">outils de monitoring</w:t>
      </w:r>
      <w:r>
        <w:t xml:space="preserve"> </w:t>
      </w:r>
      <w:r>
        <w:t xml:space="preserve">standard : logs applicatifs (format JSON structuré) vers un agrégateur (ELK stack ou cloud monitor), métriques (ex: nombre d’alertes IA générées, temps de réponse moyen des endpoints) exposées via Actuator/Prometheus, et traçage éventuellement via Sleuth/Zipkin si des opérations complexes requièrent du tracing (bien que monolithique, mais utile pour debug d’une suite d’actions). En cas d’erreur applicative, des alertes seront envoyées à l’équipe technique, et l’application continuera de fonctionner de manière dégradée si possible.</w:t>
      </w:r>
    </w:p>
    <w:p>
      <w:pPr>
        <w:numPr>
          <w:ilvl w:val="0"/>
          <w:numId w:val="1017"/>
        </w:numPr>
      </w:pPr>
      <w:r>
        <w:rPr>
          <w:b/>
          <w:bCs/>
        </w:rPr>
        <w:t xml:space="preserve">Scalabilité</w:t>
      </w:r>
      <w:r>
        <w:t xml:space="preserve"> </w:t>
      </w:r>
      <w:r>
        <w:t xml:space="preserve">: Une application de clôture sera utilisée intensivement à certaines périodes (début d’année pour les clôtures annuelles, ou fin de trimestre si certains l’utilisent pour trimestriel). L’architecture monolithique sera</w:t>
      </w:r>
      <w:r>
        <w:t xml:space="preserve"> </w:t>
      </w:r>
      <w:r>
        <w:rPr>
          <w:b/>
          <w:bCs/>
        </w:rPr>
        <w:t xml:space="preserve">évolutive horizontalement</w:t>
      </w:r>
      <w:r>
        <w:t xml:space="preserve"> </w:t>
      </w:r>
      <w:r>
        <w:t xml:space="preserve">: on pourra lancer plusieurs instances derrière un load balancer pour absorber la charge, grâce au fait qu’elle est sans état (stateless) côté serveur pour les sessions (on utilisera JWT ou sessions stockées en cache distribué si nécessaire). La base de données pourra être montée en cluster ou répliquée en lecture si besoin. Le choix cloud natif assure qu’on peut augmenter les ressources rapidement lors des pics (échelle automatisée).</w:t>
      </w:r>
    </w:p>
    <w:p>
      <w:pPr>
        <w:numPr>
          <w:ilvl w:val="0"/>
          <w:numId w:val="1017"/>
        </w:numPr>
      </w:pPr>
      <w:r>
        <w:t>Intégration de l’IA : la V1 n’impose pas de runtime IA séparé ni de microservice dédié. Les futures capacités IA devront entrer par des contrats backend explicites, avec human-in-the-loop et evidence-first. Un service dédié ne deviendra justifié que si les triggers opérationnels sont réunis.</w:t>
      </w:r>
    </w:p>
    <w:p>
      <w:pPr>
        <w:numPr>
          <w:ilvl w:val="0"/>
          <w:numId w:val="1017"/>
        </w:numPr>
      </w:pPr>
      <w:r>
        <w:rPr>
          <w:b/>
          <w:bCs/>
        </w:rPr>
        <w:t xml:space="preserve">Système de fichiers / stockage</w:t>
      </w:r>
      <w:r>
        <w:t xml:space="preserve"> </w:t>
      </w:r>
      <w:r>
        <w:t xml:space="preserve">: Les fichiers uploadés (justificatifs) seront stockés de manière durable dans un</w:t>
      </w:r>
      <w:r>
        <w:t xml:space="preserve"> </w:t>
      </w:r>
      <w:r>
        <w:rPr>
          <w:b/>
          <w:bCs/>
        </w:rPr>
        <w:t xml:space="preserve">stockage objet</w:t>
      </w:r>
      <w:r>
        <w:t xml:space="preserve"> </w:t>
      </w:r>
      <w:r>
        <w:t xml:space="preserve">(ex: Amazon S3 ou équivalent, ou serveur de fichiers monté). Le lien entre la note de clôture et le fichier sera en base (chemin ou clé). On mettra en place un service de gestion documentaire basique pour gérer versioning de fichiers éventuellement, et nettoyage (ex: suppression d’un fichier si la note correspondante est supprimée).</w:t>
      </w:r>
    </w:p>
    <w:p>
      <w:pPr>
        <w:numPr>
          <w:ilvl w:val="0"/>
          <w:numId w:val="1017"/>
        </w:numPr>
      </w:pPr>
      <w:r>
        <w:t>Approche “bank-grade” : la rigueur vient d’abord d’un delivery discipliné — migrations Flyway immuables, tests tenant-scopés, audit structuré, observabilité, validation PostgreSQL explicite et simplicité locale sans Docker imposé — avant toute sophistication distributive.</w:t>
      </w:r>
    </w:p>
    <w:p>
      <w:pPr>
        <w:pStyle w:val="FirstParagraph"/>
      </w:pPr>
      <w:r>
        <w:t>En résumé, l’architecture réalignée privilégie la vérité présente : un cœur sobre, testable et gouvernable aujourd’hui, capable d’accueillir plus tard des surfaces frontend plus riches, des modules documentaires et des capacités IA sans refonte majeure.</w:t>
      </w:r>
    </w:p>
    <w:bookmarkEnd w:id="82"/>
    <w:bookmarkStart w:id="84" w:name="ux-attendue-expérience-utilisateur"/>
    <w:p>
      <w:pPr>
        <w:pStyle w:val="Heading2"/>
      </w:pPr>
      <w:r>
        <w:t>7. UX attendue : noyau V1 et cible long terme</w:t>
      </w:r>
    </w:p>
    <w:p>
      <w:pPr>
        <w:pStyle w:val="FirstParagraph"/>
      </w:pPr>
      <w:r>
        <w:t>L’ambition UX premium reste intacte, mais elle doit être lue à travers le cadrage 1.4. La phase actuelle est backend-first, desktop-first et centrée sur un workbench de clôture clair : dossier, import, mapping, puis controls/readiness. Les paragraphes suivants décrivent un mélange de non-négociables immédiats et de trajectoire cible, sans laisser croire que toute la surface finale existe déjà.</w:t>
      </w:r>
    </w:p>
    <w:p>
      <w:pPr>
        <w:numPr>
          <w:ilvl w:val="0"/>
          <w:numId w:val="1018"/>
        </w:numPr>
      </w:pPr>
      <w:r>
        <w:t>Prise en main ultra-rapide : à court terme, cela signifie surtout une navigation courte, un contexte tenant/dossier toujours visible, des états vides/loading/erreur explicites et une seule action primaire claire par écran.</w:t>
      </w:r>
    </w:p>
    <w:p>
      <w:pPr>
        <w:numPr>
          <w:ilvl w:val="0"/>
          <w:numId w:val="1018"/>
        </w:numPr>
      </w:pPr>
      <w:r>
        <w:rPr>
          <w:b/>
          <w:bCs/>
        </w:rPr>
        <w:t xml:space="preserve">Design moderne et premium</w:t>
      </w:r>
      <w:r>
        <w:t xml:space="preserve"> </w:t>
      </w:r>
      <w:r>
        <w:t xml:space="preserve">: Visuellement, l’UI sera moderne, avec une</w:t>
      </w:r>
      <w:r>
        <w:t xml:space="preserve"> </w:t>
      </w:r>
      <w:r>
        <w:rPr>
          <w:b/>
          <w:bCs/>
        </w:rPr>
        <w:t xml:space="preserve">charte graphique professionnelle</w:t>
      </w:r>
      <w:r>
        <w:t xml:space="preserve"> </w:t>
      </w:r>
      <w:r>
        <w:t xml:space="preserve">(couleurs sobres mais agréables, possiblement personnalisables aux couleurs de la fiduciaire pour sentiment d’appropriation). L’interface multi-device implique une adaptation responsive soignée : sur un grand écran, afficher par exemple le bilan et compte de résultat côte à côte, tandis que sur tablette, empiler verticalement. Les composants UI (boutons, tableaux, formulaires) suivront les standards actuels en termes de look &amp; feel (inspiration Material Design ou Ant Design, etc.). On inclura un</w:t>
      </w:r>
      <w:r>
        <w:t xml:space="preserve"> </w:t>
      </w:r>
      <w:r>
        <w:rPr>
          <w:b/>
          <w:bCs/>
        </w:rPr>
        <w:t xml:space="preserve">Dark Mode / Light Mode</w:t>
      </w:r>
      <w:r>
        <w:t xml:space="preserve"> </w:t>
      </w:r>
      <w:r>
        <w:t xml:space="preserve">comme cela devient une attente standard</w:t>
      </w:r>
      <w:hyperlink r:id="rId83">
        <w:r>
          <w:rPr>
            <w:rStyle w:val="Hyperlink"/>
          </w:rPr>
          <w:t xml:space="preserve">[50]</w:t>
        </w:r>
      </w:hyperlink>
      <w:r>
        <w:t xml:space="preserve">, pour le confort visuel des utilisateurs travaillant tard sur la clôture.</w:t>
      </w:r>
    </w:p>
    <w:p>
      <w:pPr>
        <w:numPr>
          <w:ilvl w:val="0"/>
          <w:numId w:val="1018"/>
        </w:numPr>
      </w:pPr>
      <w:r>
        <w:t>Fluidité et réactivité : priorité aux parcours actuels et data-heavy sur desktop. Les mises à jour en temps réel ou raffinements plus larges ne doivent être introduits que lorsqu’ils améliorent réellement le cockpit V1, sans masquer la logique métier.</w:t>
      </w:r>
    </w:p>
    <w:p>
      <w:pPr>
        <w:numPr>
          <w:ilvl w:val="0"/>
          <w:numId w:val="1018"/>
        </w:numPr>
      </w:pPr>
      <w:r>
        <w:rPr>
          <w:b/>
          <w:bCs/>
        </w:rPr>
        <w:t xml:space="preserve">Guidage et “moments de clarté”</w:t>
      </w:r>
      <w:r>
        <w:t xml:space="preserve"> </w:t>
      </w:r>
      <w:r>
        <w:t xml:space="preserve">: L’UX intégrera des</w:t>
      </w:r>
      <w:r>
        <w:t xml:space="preserve"> </w:t>
      </w:r>
      <w:r>
        <w:rPr>
          <w:b/>
          <w:bCs/>
        </w:rPr>
        <w:t xml:space="preserve">indices visuels</w:t>
      </w:r>
      <w:r>
        <w:t xml:space="preserve"> </w:t>
      </w:r>
      <w:r>
        <w:t xml:space="preserve">forts pour guider l’utilisateur à chaque étape clé, évitant toute confusion. Par exemple :</w:t>
      </w:r>
    </w:p>
    <w:p>
      <w:pPr>
        <w:pStyle w:val="Compact"/>
        <w:numPr>
          <w:ilvl w:val="0"/>
          <w:numId w:val="1018"/>
        </w:numPr>
      </w:pPr>
      <w:r>
        <w:t xml:space="preserve">Après un import, afficher un</w:t>
      </w:r>
      <w:r>
        <w:t xml:space="preserve"> </w:t>
      </w:r>
      <w:r>
        <w:rPr>
          <w:b/>
          <w:bCs/>
        </w:rPr>
        <w:t xml:space="preserve">récap visuel</w:t>
      </w:r>
      <w:r>
        <w:t xml:space="preserve"> </w:t>
      </w:r>
      <w:r>
        <w:t xml:space="preserve">(un petit dashboard avec total actif/passif, résultat, nb de comptes importés) pour que l’utilisateur confirme d’un coup d’œil que c’est correct –</w:t>
      </w:r>
      <w:r>
        <w:t xml:space="preserve"> </w:t>
      </w:r>
      <w:r>
        <w:rPr>
          <w:i/>
          <w:iCs/>
        </w:rPr>
        <w:t xml:space="preserve">moment de clarté :</w:t>
      </w:r>
      <w:r>
        <w:t xml:space="preserve"> </w:t>
      </w:r>
      <w:r>
        <w:t xml:space="preserve">il sait que la base est saine.</w:t>
      </w:r>
    </w:p>
    <w:p>
      <w:pPr>
        <w:pStyle w:val="Compact"/>
        <w:numPr>
          <w:ilvl w:val="0"/>
          <w:numId w:val="1018"/>
        </w:numPr>
      </w:pPr>
      <w:r>
        <w:t xml:space="preserve">Durant le mapping, afficher un compteur de comptes restant à mapper et un pourcentage d’avancement. Le but est que l’utilisateur voie clairement quand il a fini (100% mappé).</w:t>
      </w:r>
    </w:p>
    <w:p>
      <w:pPr>
        <w:pStyle w:val="Compact"/>
        <w:numPr>
          <w:ilvl w:val="0"/>
          <w:numId w:val="1018"/>
        </w:numPr>
      </w:pPr>
      <w:r>
        <w:t xml:space="preserve">Le suivi d’avancement global par couleurs (vert/orange/rouge) des étapes est lui-même un pilier UX de clarté :</w:t>
      </w:r>
      <w:r>
        <w:t xml:space="preserve"> </w:t>
      </w:r>
      <w:r>
        <w:rPr>
          <w:b/>
          <w:bCs/>
        </w:rPr>
        <w:t xml:space="preserve">en un écran, on voit où on en est</w:t>
      </w:r>
      <w:r>
        <w:t xml:space="preserve">.</w:t>
      </w:r>
    </w:p>
    <w:p>
      <w:pPr>
        <w:pStyle w:val="Compact"/>
        <w:numPr>
          <w:ilvl w:val="0"/>
          <w:numId w:val="1018"/>
        </w:numPr>
      </w:pPr>
      <w:r>
        <w:t xml:space="preserve">Lorsqu’il ne reste que des tâches mineures, on peut afficher un message</w:t>
      </w:r>
      <w:r>
        <w:t xml:space="preserve"> </w:t>
      </w:r>
      <w:r>
        <w:rPr>
          <w:i/>
          <w:iCs/>
        </w:rPr>
        <w:t xml:space="preserve">“Votre clôture est presque prête : 2 notes de clôture à documenter et 1 contrôle à valider.”</w:t>
      </w:r>
      <w:r>
        <w:t xml:space="preserve"> </w:t>
      </w:r>
      <w:r>
        <w:t xml:space="preserve">– cela motive et indique précisément quoi faire.</w:t>
      </w:r>
    </w:p>
    <w:p>
      <w:pPr>
        <w:numPr>
          <w:ilvl w:val="0"/>
          <w:numId w:val="1018"/>
        </w:numPr>
      </w:pPr>
      <w:r>
        <w:t xml:space="preserve">Enfin, une fois tout terminé, un écran de</w:t>
      </w:r>
      <w:r>
        <w:t xml:space="preserve"> </w:t>
      </w:r>
      <w:r>
        <w:rPr>
          <w:b/>
          <w:bCs/>
        </w:rPr>
        <w:t xml:space="preserve">félicitations</w:t>
      </w:r>
      <w:r>
        <w:t xml:space="preserve"> </w:t>
      </w:r>
      <w:r>
        <w:t xml:space="preserve">ou un indicateur “Clôture prête à être finalisée” apporte un</w:t>
      </w:r>
      <w:r>
        <w:t xml:space="preserve"> </w:t>
      </w:r>
      <w:r>
        <w:rPr>
          <w:i/>
          <w:iCs/>
        </w:rPr>
        <w:t xml:space="preserve">moment de satisfaction</w:t>
      </w:r>
      <w:r>
        <w:t xml:space="preserve"> </w:t>
      </w:r>
      <w:r>
        <w:t xml:space="preserve">à l’utilisateur, renforçant la sensation d’accomplissement.</w:t>
      </w:r>
    </w:p>
    <w:p>
      <w:pPr>
        <w:numPr>
          <w:ilvl w:val="0"/>
          <w:numId w:val="1018"/>
        </w:numPr>
      </w:pPr>
      <w:r>
        <w:rPr>
          <w:b/>
          <w:bCs/>
        </w:rPr>
        <w:t xml:space="preserve">Comportements non négociables</w:t>
      </w:r>
      <w:r>
        <w:t xml:space="preserve"> </w:t>
      </w:r>
      <w:r>
        <w:t xml:space="preserve">: Certains aspects de l’UX seront traités comme des invariants de qualité :</w:t>
      </w:r>
    </w:p>
    <w:p>
      <w:pPr>
        <w:pStyle w:val="Compact"/>
        <w:numPr>
          <w:ilvl w:val="0"/>
          <w:numId w:val="1018"/>
        </w:numPr>
      </w:pPr>
      <w:r>
        <w:rPr>
          <w:b/>
          <w:bCs/>
        </w:rPr>
        <w:t xml:space="preserve">Sauvegarde automatique</w:t>
      </w:r>
      <w:r>
        <w:t xml:space="preserve"> </w:t>
      </w:r>
      <w:r>
        <w:t xml:space="preserve">des modifications : aucune chance de perdre du travail en cas de fermeture inopinée du navigateur. Chaque champ de texte important (annexe, note) sera soit enregistré en live, soit l’utilisateur averti si des changements non sauvegardés.</w:t>
      </w:r>
    </w:p>
    <w:p>
      <w:pPr>
        <w:pStyle w:val="Compact"/>
        <w:numPr>
          <w:ilvl w:val="0"/>
          <w:numId w:val="1018"/>
        </w:numPr>
      </w:pPr>
      <w:r>
        <w:rPr>
          <w:b/>
          <w:bCs/>
        </w:rPr>
        <w:t xml:space="preserve">Annulation / Undo</w:t>
      </w:r>
      <w:r>
        <w:t xml:space="preserve"> </w:t>
      </w:r>
      <w:r>
        <w:t xml:space="preserve">: Offrir la possibilité d’annuler les dernières actions courantes (par ex. si on supprime par mégarde une pièce jointe ou qu’on applique un mapping par erreur). Au minimum, demander confirmation pour les actions destructrices (suppression de fichier, réinitialisation d’un mapping).</w:t>
      </w:r>
    </w:p>
    <w:p>
      <w:pPr>
        <w:pStyle w:val="Compact"/>
        <w:numPr>
          <w:ilvl w:val="0"/>
          <w:numId w:val="1018"/>
        </w:numPr>
      </w:pPr>
      <w:r>
        <w:rPr>
          <w:b/>
          <w:bCs/>
        </w:rPr>
        <w:t xml:space="preserve">Cohérence de navigation</w:t>
      </w:r>
      <w:r>
        <w:t xml:space="preserve"> </w:t>
      </w:r>
      <w:r>
        <w:t xml:space="preserve">: Toutes les pages auront une structure cohérente (même en-tête, menus au mêmes endroits). Par exemple, un menu latéral peut lister les sections Import, Mapping, EF, etc., avec des icônes et libellés explicites, de sorte que l’utilisateur peut aisément naviguer entre étapes sans se perdre.</w:t>
      </w:r>
    </w:p>
    <w:p>
      <w:pPr>
        <w:numPr>
          <w:ilvl w:val="0"/>
          <w:numId w:val="1018"/>
        </w:numPr>
      </w:pPr>
      <w:r>
        <w:rPr>
          <w:b/>
          <w:bCs/>
        </w:rPr>
        <w:t xml:space="preserve">Pas de blocage UI inutile</w:t>
      </w:r>
      <w:r>
        <w:t xml:space="preserve"> </w:t>
      </w:r>
      <w:r>
        <w:t xml:space="preserve">: L’utilisateur doit pouvoir effectuer plusieurs tâches en parallèle si ça a du sens (ex: pendant l’import d’un gros fichier, il pourrait remplir déjà des infos textuelles de l’annexe – on gère ça avec des opérations asynchrones). On évite les</w:t>
      </w:r>
      <w:r>
        <w:t xml:space="preserve"> </w:t>
      </w:r>
      <w:r>
        <w:rPr>
          <w:i/>
          <w:iCs/>
        </w:rPr>
        <w:t xml:space="preserve">loadings</w:t>
      </w:r>
      <w:r>
        <w:t xml:space="preserve"> </w:t>
      </w:r>
      <w:r>
        <w:t xml:space="preserve">plein écran trop longs, en préférant indiquer le statut en arrière-plan et prévenir quand c’est fini.</w:t>
      </w:r>
    </w:p>
    <w:p>
      <w:pPr>
        <w:numPr>
          <w:ilvl w:val="0"/>
          <w:numId w:val="1018"/>
        </w:numPr>
      </w:pPr>
      <w:r>
        <w:rPr>
          <w:b/>
          <w:bCs/>
        </w:rPr>
        <w:t xml:space="preserve">Interactivité et feedback immédiat</w:t>
      </w:r>
      <w:r>
        <w:t xml:space="preserve"> </w:t>
      </w:r>
      <w:r>
        <w:t xml:space="preserve">: L’application fournira du feedback immédiat aux actions de l’utilisateur. Exemples : lorsque l’assistant change un mapping, une coche “enregistré ✓” apparaît brièvement pour confirmer. Si un contrôle détecte une incohérence, un</w:t>
      </w:r>
      <w:r>
        <w:t xml:space="preserve"> </w:t>
      </w:r>
      <w:r>
        <w:rPr>
          <w:b/>
          <w:bCs/>
        </w:rPr>
        <w:t xml:space="preserve">toast message</w:t>
      </w:r>
      <w:r>
        <w:t xml:space="preserve"> </w:t>
      </w:r>
      <w:r>
        <w:t xml:space="preserve">ou une mention rouge apparaît dès la saisie (ex: si l’utilisateur tente de valider une étape alors qu’un contrôle critique est rouge, un message “Attention : contrôle X non passé – ajoutez un commentaire pour valider en conscience”). Ce feedback en temps réel évite de laisser l’utilisateur découvrir les problèmes bien plus tard.</w:t>
      </w:r>
    </w:p>
    <w:p>
      <w:pPr>
        <w:numPr>
          <w:ilvl w:val="0"/>
          <w:numId w:val="1018"/>
        </w:numPr>
      </w:pPr>
      <w:r>
        <w:t>Accessibilité et multi-device : la promesse multi-device est conservée, mais la phase actuelle n’est pas mobile-driven. Le mobile peut rester consultatif ou opportuniste ; le cœur productif du workbench reste desktop.</w:t>
      </w:r>
    </w:p>
    <w:p>
      <w:pPr>
        <w:numPr>
          <w:ilvl w:val="0"/>
          <w:numId w:val="1018"/>
        </w:numPr>
      </w:pPr>
      <w:r>
        <w:rPr>
          <w:b/>
          <w:bCs/>
        </w:rPr>
        <w:t xml:space="preserve">Personnalisation UX</w:t>
      </w:r>
      <w:r>
        <w:t xml:space="preserve"> </w:t>
      </w:r>
      <w:r>
        <w:t xml:space="preserve">: Offrir quelques réglages à l’utilisateur pour son confort : densité d’affichage (compact vs spacieux), tri des listes (par nom de compte, par montant), filtres (afficher que les notes non validées, etc.). Ces petites options permettent à chacun d’adapter l’outil à sa façon de travailler sans complexité.</w:t>
      </w:r>
    </w:p>
    <w:p>
      <w:pPr>
        <w:numPr>
          <w:ilvl w:val="0"/>
          <w:numId w:val="1018"/>
        </w:numPr>
      </w:pPr>
      <w:r>
        <w:rPr>
          <w:b/>
          <w:bCs/>
        </w:rPr>
        <w:t xml:space="preserve">Confiance by design</w:t>
      </w:r>
      <w:r>
        <w:t xml:space="preserve"> </w:t>
      </w:r>
      <w:r>
        <w:t xml:space="preserve">: L’UX doit inspirer la confiance par sa transparence et son professionnalisme. Cela passe par :</w:t>
      </w:r>
    </w:p>
    <w:p>
      <w:pPr>
        <w:pStyle w:val="Compact"/>
        <w:numPr>
          <w:ilvl w:val="0"/>
          <w:numId w:val="1018"/>
        </w:numPr>
      </w:pPr>
      <w:r>
        <w:t xml:space="preserve">La</w:t>
      </w:r>
      <w:r>
        <w:t xml:space="preserve"> </w:t>
      </w:r>
      <w:r>
        <w:rPr>
          <w:b/>
          <w:bCs/>
        </w:rPr>
        <w:t xml:space="preserve">visibilité de la traçabilité</w:t>
      </w:r>
      <w:r>
        <w:t xml:space="preserve"> </w:t>
      </w:r>
      <w:r>
        <w:t xml:space="preserve">: par ex, un petit encart</w:t>
      </w:r>
      <w:r>
        <w:t xml:space="preserve"> </w:t>
      </w:r>
      <w:r>
        <w:rPr>
          <w:i/>
          <w:iCs/>
        </w:rPr>
        <w:t xml:space="preserve">« dernière modification par X le 12.01 à 14:32 »</w:t>
      </w:r>
      <w:r>
        <w:t xml:space="preserve"> </w:t>
      </w:r>
      <w:r>
        <w:t xml:space="preserve">sur une note de clôture, ça rassure quant au suivi.</w:t>
      </w:r>
    </w:p>
    <w:p>
      <w:pPr>
        <w:pStyle w:val="Compact"/>
        <w:numPr>
          <w:ilvl w:val="0"/>
          <w:numId w:val="1018"/>
        </w:numPr>
      </w:pPr>
      <w:r>
        <w:t xml:space="preserve">La disponibilité de l’</w:t>
      </w:r>
      <w:r>
        <w:rPr>
          <w:b/>
          <w:bCs/>
        </w:rPr>
        <w:t xml:space="preserve">aide contextuelle</w:t>
      </w:r>
      <w:r>
        <w:t xml:space="preserve"> </w:t>
      </w:r>
      <w:r>
        <w:t xml:space="preserve">: icon “?” cliquable donnant des explications sur une étape ou un calcul (ex: comment est calculé le ratio de surendettement). L’utilisateur ne se sent jamais perdu ou dans une “boîte noire”.</w:t>
      </w:r>
    </w:p>
    <w:p>
      <w:pPr>
        <w:pStyle w:val="Compact"/>
        <w:numPr>
          <w:ilvl w:val="0"/>
          <w:numId w:val="1018"/>
        </w:numPr>
      </w:pPr>
      <w:r>
        <w:t xml:space="preserve">Des</w:t>
      </w:r>
      <w:r>
        <w:t xml:space="preserve"> </w:t>
      </w:r>
      <w:r>
        <w:rPr>
          <w:b/>
          <w:bCs/>
        </w:rPr>
        <w:t xml:space="preserve">résultats toujours explicables</w:t>
      </w:r>
      <w:r>
        <w:t xml:space="preserve"> </w:t>
      </w:r>
      <w:r>
        <w:t xml:space="preserve">: par ex, pouvoir cliquer sur un chiffre du bilan pour voir le détail des comptes qui le composent (ce drill-down est important pour confiance :</w:t>
      </w:r>
      <w:r>
        <w:t xml:space="preserve"> </w:t>
      </w:r>
      <w:r>
        <w:rPr>
          <w:i/>
          <w:iCs/>
        </w:rPr>
        <w:t xml:space="preserve">le chiffre n’est pas magique, il vient de la somme de X, Y, Z</w:t>
      </w:r>
      <w:r>
        <w:t xml:space="preserve">).</w:t>
      </w:r>
    </w:p>
    <w:p>
      <w:pPr>
        <w:numPr>
          <w:ilvl w:val="0"/>
          <w:numId w:val="1018"/>
        </w:numPr>
      </w:pPr>
      <w:r>
        <w:t xml:space="preserve">Éviter les</w:t>
      </w:r>
      <w:r>
        <w:t xml:space="preserve"> </w:t>
      </w:r>
      <w:r>
        <w:rPr>
          <w:b/>
          <w:bCs/>
        </w:rPr>
        <w:t xml:space="preserve">erreurs irréversibles</w:t>
      </w:r>
      <w:r>
        <w:t xml:space="preserve"> </w:t>
      </w:r>
      <w:r>
        <w:t xml:space="preserve">: la peur de se tromper et de ne pas pouvoir revenir en arrière est un frein. Donc on permet d’éditer à nouveau, de re-générer un PDF si besoin, ou d’annuler un statut validé (avec trace). Le message est :</w:t>
      </w:r>
      <w:r>
        <w:t xml:space="preserve"> </w:t>
      </w:r>
      <w:r>
        <w:rPr>
          <w:i/>
          <w:iCs/>
        </w:rPr>
        <w:t xml:space="preserve">vous avez le contrôle en tout temps sur vos données</w:t>
      </w:r>
      <w:r>
        <w:t xml:space="preserve">.</w:t>
      </w:r>
    </w:p>
    <w:p>
      <w:pPr>
        <w:numPr>
          <w:ilvl w:val="0"/>
          <w:numId w:val="1018"/>
        </w:numPr>
      </w:pPr>
      <w:r>
        <w:rPr>
          <w:b/>
          <w:bCs/>
        </w:rPr>
        <w:t xml:space="preserve">Moments “wow”</w:t>
      </w:r>
      <w:r>
        <w:t xml:space="preserve"> </w:t>
      </w:r>
      <w:r>
        <w:t xml:space="preserve">: Pour surprendre positivement l’utilisateur, on peut ajouter des touches de finition : par ex, lorsque tous les voyants passent au vert (clôture terminée), afficher une petite animation confettis ou un badge “Clôture terminée !”. Ou bien, lors d’un import réussi, afficher</w:t>
      </w:r>
      <w:r>
        <w:t xml:space="preserve"> </w:t>
      </w:r>
      <w:r>
        <w:rPr>
          <w:i/>
          <w:iCs/>
        </w:rPr>
        <w:t xml:space="preserve">« Import réussi – 120 comptes importés, Actif=Passif, tout est prêt pour l’étape suivante. »</w:t>
      </w:r>
      <w:r>
        <w:t xml:space="preserve"> </w:t>
      </w:r>
      <w:r>
        <w:t xml:space="preserve">avec une icône de check. Ces petits détails contribuent à un ressenti global exceptionnel, que l’utilisateur aura envie de partager (bouche-à-oreille).</w:t>
      </w:r>
    </w:p>
    <w:p>
      <w:pPr>
        <w:pStyle w:val="FirstParagraph"/>
      </w:pPr>
      <w:r>
        <w:t>En résumé, l’UX attendue doit d’abord rendre le produit évident sur son chemin critique : fluide, lisible, fiable et rassurante. Le premium vient ici de la clarté et de la confiance avant de venir d’une couverture fonctionnelle déjà exhaustive.</w:t>
      </w:r>
    </w:p>
    <w:bookmarkEnd w:id="84"/>
    <w:bookmarkStart w:id="94" w:name="X70d856ca1c53612bb18fae5bcab47b778abff42"/>
    <w:p>
      <w:pPr>
        <w:pStyle w:val="Heading2"/>
      </w:pPr>
      <w:r>
        <w:t xml:space="preserve">8. Contraintes Réglementaires et Exigences Fiduciaires Suisses</w:t>
      </w:r>
    </w:p>
    <w:p>
      <w:pPr>
        <w:pStyle w:val="FirstParagraph"/>
      </w:pPr>
      <w:r>
        <w:t xml:space="preserve">Le produit sera conçu en conformité étroite avec le</w:t>
      </w:r>
      <w:r>
        <w:t xml:space="preserve"> </w:t>
      </w:r>
      <w:r>
        <w:rPr>
          <w:b/>
          <w:bCs/>
        </w:rPr>
        <w:t xml:space="preserve">cadre réglementaire suisse</w:t>
      </w:r>
      <w:r>
        <w:t xml:space="preserve"> </w:t>
      </w:r>
      <w:r>
        <w:t xml:space="preserve">applicable à la comptabilité et à la révision, ainsi qu’avec les attentes métiers des fiduciaires locales. Voici les principaux aspects à prendre en compte :</w:t>
      </w:r>
    </w:p>
    <w:p>
      <w:pPr>
        <w:numPr>
          <w:ilvl w:val="0"/>
          <w:numId w:val="1019"/>
        </w:numPr>
      </w:pPr>
      <w:r>
        <w:rPr>
          <w:b/>
          <w:bCs/>
        </w:rPr>
        <w:t xml:space="preserve">Code des Obligations (CO) – Comptabilité et Présentation des comptes</w:t>
      </w:r>
      <w:r>
        <w:t xml:space="preserve"> </w:t>
      </w:r>
      <w:r>
        <w:t xml:space="preserve">: Les articles 957 à 963b CO définissent les obligations comptables pour les entreprises suisses. En particulier, l’art. 958 et suivants requièrent l’établissement d’un</w:t>
      </w:r>
      <w:r>
        <w:t xml:space="preserve"> </w:t>
      </w:r>
      <w:r>
        <w:rPr>
          <w:b/>
          <w:bCs/>
        </w:rPr>
        <w:t xml:space="preserve">bilan, compte de résultat et annexe</w:t>
      </w:r>
      <w:r>
        <w:t xml:space="preserve"> </w:t>
      </w:r>
      <w:r>
        <w:t xml:space="preserve">conformes. L’art. 959a CO définit les structures minimales du bilan et du résultat, et</w:t>
      </w:r>
      <w:r>
        <w:t xml:space="preserve"> </w:t>
      </w:r>
      <w:r>
        <w:rPr>
          <w:b/>
          <w:bCs/>
        </w:rPr>
        <w:t xml:space="preserve">l’art. 959c CO liste les informations minimales à fournir dans l’annexe</w:t>
      </w:r>
      <w:hyperlink r:id="rId85">
        <w:r>
          <w:rPr>
            <w:rStyle w:val="Hyperlink"/>
          </w:rPr>
          <w:t xml:space="preserve">[51]</w:t>
        </w:r>
      </w:hyperlink>
      <w:r>
        <w:t xml:space="preserve">. Notre outil intègre ces exigences en standard (voir module Annexe), de sorte qu’une PME typique respectera la loi en utilisant le modèle par défaut. Par exemple, la mention du</w:t>
      </w:r>
      <w:r>
        <w:t xml:space="preserve"> </w:t>
      </w:r>
      <w:r>
        <w:rPr>
          <w:i/>
          <w:iCs/>
        </w:rPr>
        <w:t xml:space="preserve">nombre d’employés</w:t>
      </w:r>
      <w:r>
        <w:t xml:space="preserve"> </w:t>
      </w:r>
      <w:r>
        <w:t xml:space="preserve">ou des</w:t>
      </w:r>
      <w:r>
        <w:t xml:space="preserve"> </w:t>
      </w:r>
      <w:r>
        <w:rPr>
          <w:i/>
          <w:iCs/>
        </w:rPr>
        <w:t xml:space="preserve">dissolutions de réserves latentes</w:t>
      </w:r>
      <w:r>
        <w:t xml:space="preserve"> </w:t>
      </w:r>
      <w:r>
        <w:t xml:space="preserve">sera automatiquement prévue dans l’annexe</w:t>
      </w:r>
      <w:hyperlink r:id="rId86">
        <w:r>
          <w:rPr>
            <w:rStyle w:val="Hyperlink"/>
          </w:rPr>
          <w:t xml:space="preserve">[52]</w:t>
        </w:r>
      </w:hyperlink>
      <w:r>
        <w:t xml:space="preserve">. Le logiciel doit aussi pouvoir s’adapter aux</w:t>
      </w:r>
      <w:r>
        <w:t xml:space="preserve"> </w:t>
      </w:r>
      <w:r>
        <w:rPr>
          <w:i/>
          <w:iCs/>
        </w:rPr>
        <w:t xml:space="preserve">grandes entreprises</w:t>
      </w:r>
      <w:r>
        <w:t xml:space="preserve"> </w:t>
      </w:r>
      <w:r>
        <w:t xml:space="preserve">(critères de dépassement) qui ont des obligations supplémentaires (décomposition des dettes, etc.)</w:t>
      </w:r>
      <w:hyperlink r:id="rId87">
        <w:r>
          <w:rPr>
            <w:rStyle w:val="Hyperlink"/>
          </w:rPr>
          <w:t xml:space="preserve">[53]</w:t>
        </w:r>
      </w:hyperlink>
      <w:r>
        <w:t xml:space="preserve"> </w:t>
      </w:r>
      <w:r>
        <w:t xml:space="preserve">– en pratique cela signifie fournir les rubriques nécessaires dans l’annexe quand les seuils sont atteints. Enfin, en Suisse les micro-entreprises (p. ex. raison individuelle) peuvent être dispensées d’annexe</w:t>
      </w:r>
      <w:hyperlink r:id="rId88">
        <w:r>
          <w:rPr>
            <w:rStyle w:val="Hyperlink"/>
          </w:rPr>
          <w:t xml:space="preserve">[54]</w:t>
        </w:r>
      </w:hyperlink>
      <w:r>
        <w:t xml:space="preserve">, le produit devra donc permettre de choisir un modèle minimal (et marquer certaines sections “N/A car entité non soumise”).</w:t>
      </w:r>
    </w:p>
    <w:p>
      <w:pPr>
        <w:numPr>
          <w:ilvl w:val="0"/>
          <w:numId w:val="1019"/>
        </w:numPr>
      </w:pPr>
      <w:r>
        <w:rPr>
          <w:b/>
          <w:bCs/>
        </w:rPr>
        <w:t xml:space="preserve">Normes Swiss GAAP RPC / IFRS (optionnel)</w:t>
      </w:r>
      <w:r>
        <w:t xml:space="preserve"> </w:t>
      </w:r>
      <w:r>
        <w:t xml:space="preserve">: Bien que V1 cible le bouclement statutaire CO, il est à noter que certaines PME ou fondations optent pour les</w:t>
      </w:r>
      <w:r>
        <w:t xml:space="preserve"> </w:t>
      </w:r>
      <w:r>
        <w:rPr>
          <w:b/>
          <w:bCs/>
        </w:rPr>
        <w:t xml:space="preserve">normes Swiss GAAP RPC</w:t>
      </w:r>
      <w:r>
        <w:t xml:space="preserve"> </w:t>
      </w:r>
      <w:r>
        <w:t xml:space="preserve">(Reconnaissance Publique) ou IFRS. Le logiciel devrait pouvoir intégrer ces référentiels relativement facilement plus tard (via des modèles d’EF alternatifs, contrôles supplémentaires, etc.). Déjà, on s’assure qu’il est possible de créer un plan comptable paramétrable pour IFRS ou RPC</w:t>
      </w:r>
      <w:hyperlink r:id="rId89">
        <w:r>
          <w:rPr>
            <w:rStyle w:val="Hyperlink"/>
          </w:rPr>
          <w:t xml:space="preserve">[55]</w:t>
        </w:r>
      </w:hyperlink>
      <w:r>
        <w:t xml:space="preserve">. Par exemple, IFRS nécessitera un tableau de flux de trésorerie, des notes plus étendues, etc., non prévues en V1 mais à garder en tête (peu de PME les utilisent, sauf mandat spécifique, donc pas prioritaire immédiat).</w:t>
      </w:r>
    </w:p>
    <w:p>
      <w:pPr>
        <w:numPr>
          <w:ilvl w:val="0"/>
          <w:numId w:val="1019"/>
        </w:numPr>
      </w:pPr>
      <w:r>
        <w:rPr>
          <w:b/>
          <w:bCs/>
        </w:rPr>
        <w:t xml:space="preserve">Loi sur la Révision</w:t>
      </w:r>
      <w:r>
        <w:t xml:space="preserve"> </w:t>
      </w:r>
      <w:r>
        <w:t xml:space="preserve">: Si la société est soumise à un</w:t>
      </w:r>
      <w:r>
        <w:t xml:space="preserve"> </w:t>
      </w:r>
      <w:r>
        <w:rPr>
          <w:b/>
          <w:bCs/>
        </w:rPr>
        <w:t xml:space="preserve">organe de révision</w:t>
      </w:r>
      <w:r>
        <w:t xml:space="preserve"> </w:t>
      </w:r>
      <w:r>
        <w:t xml:space="preserve">(audit légal restreint ou ordinaire), certaines choses changent :</w:t>
      </w:r>
    </w:p>
    <w:p>
      <w:pPr>
        <w:pStyle w:val="Compact"/>
        <w:numPr>
          <w:ilvl w:val="0"/>
          <w:numId w:val="1019"/>
        </w:numPr>
      </w:pPr>
      <w:r>
        <w:t xml:space="preserve">En audit ordinaire, la présence de l’auditeur externe peut imposer une planification plus formelle, la nécessité d’un bilan intermédiaire en cas de perte de capital grave, etc. L’outil doit permettre de documenter ces interactions (cf. accès auditeur).</w:t>
      </w:r>
    </w:p>
    <w:p>
      <w:pPr>
        <w:pStyle w:val="Compact"/>
        <w:numPr>
          <w:ilvl w:val="0"/>
          <w:numId w:val="1019"/>
        </w:numPr>
      </w:pPr>
      <w:r>
        <w:t xml:space="preserve">En audit restreint (cas le plus fréquent pour PME), l’auditeur se basera fortement sur la documentation fournie. Le SaaS, en produisant un dossier bien organisé, facilite son travail.</w:t>
      </w:r>
    </w:p>
    <w:p>
      <w:pPr>
        <w:pStyle w:val="Compact"/>
        <w:numPr>
          <w:ilvl w:val="0"/>
          <w:numId w:val="1019"/>
        </w:numPr>
      </w:pPr>
      <w:r>
        <w:t xml:space="preserve">Notre module compliance rappelle de vérifier l’</w:t>
      </w:r>
      <w:r>
        <w:rPr>
          <w:b/>
          <w:bCs/>
        </w:rPr>
        <w:t xml:space="preserve">indépendance</w:t>
      </w:r>
      <w:r>
        <w:t xml:space="preserve"> </w:t>
      </w:r>
      <w:r>
        <w:t xml:space="preserve">et la</w:t>
      </w:r>
      <w:r>
        <w:t xml:space="preserve"> </w:t>
      </w:r>
      <w:r>
        <w:rPr>
          <w:b/>
          <w:bCs/>
        </w:rPr>
        <w:t xml:space="preserve">continuité du mandat</w:t>
      </w:r>
      <w:r>
        <w:t xml:space="preserve"> </w:t>
      </w:r>
      <w:r>
        <w:t xml:space="preserve">(surtout pour les auditeurs, mais une fiduciaire qui tient la compta a aussi intérêt à re-évaluer la relation client périodiquement).</w:t>
      </w:r>
    </w:p>
    <w:p>
      <w:pPr>
        <w:numPr>
          <w:ilvl w:val="0"/>
          <w:numId w:val="1019"/>
        </w:numPr>
      </w:pPr>
      <w:r>
        <w:rPr>
          <w:b/>
          <w:bCs/>
        </w:rPr>
        <w:t xml:space="preserve">Opting-out</w:t>
      </w:r>
      <w:r>
        <w:t xml:space="preserve"> </w:t>
      </w:r>
      <w:r>
        <w:t xml:space="preserve">: De nombreuses SARL/SA petites ont opté pour ne pas avoir d’auditeur. Dans ces cas, certaines étapes (ex: continuance, lettre d’engagement d’audit) ne s’appliquent pas – le système doit s’adapter en marquant ces tâches N/A automatiquement si pas d’organe de révision déclaré pour le dossier.</w:t>
      </w:r>
    </w:p>
    <w:p>
      <w:pPr>
        <w:numPr>
          <w:ilvl w:val="0"/>
          <w:numId w:val="1019"/>
        </w:numPr>
      </w:pPr>
      <w:r>
        <w:rPr>
          <w:b/>
          <w:bCs/>
        </w:rPr>
        <w:t xml:space="preserve">Surendettement et perte de capital (art. 725 CO)</w:t>
      </w:r>
      <w:r>
        <w:t xml:space="preserve"> </w:t>
      </w:r>
      <w:r>
        <w:t xml:space="preserve">: C’est un point critique en Suisse : si les capitaux propres sont entamés de manière significative, le conseil d’administration (ou la gérance) a des obligations (mesures immédiates, avis au juge sous 90 jours, etc.). Le logiciel doit</w:t>
      </w:r>
      <w:r>
        <w:t xml:space="preserve"> </w:t>
      </w:r>
      <w:r>
        <w:rPr>
          <w:b/>
          <w:bCs/>
        </w:rPr>
        <w:t xml:space="preserve">détecter</w:t>
      </w:r>
      <w:r>
        <w:t xml:space="preserve"> </w:t>
      </w:r>
      <w:r>
        <w:t xml:space="preserve">ces situations (fonds propres &lt; 50% du capital = perte de capital, fonds propres &lt; 0 = surendettement) et guider l’utilisateur sur la marche à suivre. Notamment, s’il y a surendettement et pas de subordination de dettes obtenue, on ne peut pas légalement continuer sans avis au juge – le logiciel doit au minimum forcer un commentaire de l’utilisateur expliquant la situation ou indiquant que ce point sera traité en dehors (on ne peut pas tout automatiser, mais ne pas passer ça sous silence).</w:t>
      </w:r>
      <w:r>
        <w:t xml:space="preserve"> </w:t>
      </w:r>
      <w:r>
        <w:rPr>
          <w:b/>
          <w:bCs/>
        </w:rPr>
        <w:t xml:space="preserve">Treuhand Suisse</w:t>
      </w:r>
      <w:r>
        <w:t xml:space="preserve"> </w:t>
      </w:r>
      <w:r>
        <w:t xml:space="preserve">ou d’autres organismes pourraient avoir des checklists standard qu’on pourrait s’inspirer pour cette feature</w:t>
      </w:r>
      <w:hyperlink r:id="rId90">
        <w:r>
          <w:rPr>
            <w:rStyle w:val="Hyperlink"/>
          </w:rPr>
          <w:t xml:space="preserve">[56]</w:t>
        </w:r>
      </w:hyperlink>
      <w:r>
        <w:t xml:space="preserve">.</w:t>
      </w:r>
    </w:p>
    <w:p>
      <w:pPr>
        <w:numPr>
          <w:ilvl w:val="0"/>
          <w:numId w:val="1019"/>
        </w:numPr>
      </w:pPr>
      <w:r>
        <w:rPr>
          <w:b/>
          <w:bCs/>
        </w:rPr>
        <w:t xml:space="preserve">Exigences fiscales suisses</w:t>
      </w:r>
      <w:r>
        <w:t xml:space="preserve"> </w:t>
      </w:r>
      <w:r>
        <w:t xml:space="preserve">: Bien que la clôture comptable statutaire ne recouvre pas toute la fiscalité, le produit doit aider à s’assurer que la</w:t>
      </w:r>
      <w:r>
        <w:t xml:space="preserve"> </w:t>
      </w:r>
      <w:r>
        <w:rPr>
          <w:b/>
          <w:bCs/>
        </w:rPr>
        <w:t xml:space="preserve">compliance fiscale</w:t>
      </w:r>
      <w:r>
        <w:t xml:space="preserve"> </w:t>
      </w:r>
      <w:r>
        <w:t xml:space="preserve">de base est respectée. Exemple : contrôle que la provision d’impôt correspond à l’impôt estimé, intégration possible des formulaires fiscaux plus tard. Aussi, pour les notes annexes : mentionner les</w:t>
      </w:r>
      <w:r>
        <w:t xml:space="preserve"> </w:t>
      </w:r>
      <w:r>
        <w:rPr>
          <w:b/>
          <w:bCs/>
        </w:rPr>
        <w:t xml:space="preserve">engagements envers les assurances sociales</w:t>
      </w:r>
      <w:r>
        <w:t xml:space="preserve"> </w:t>
      </w:r>
      <w:r>
        <w:t xml:space="preserve">(AVS, LPP) si matériel, etc., comme requis par la loi</w:t>
      </w:r>
      <w:hyperlink r:id="rId91">
        <w:r>
          <w:rPr>
            <w:rStyle w:val="Hyperlink"/>
          </w:rPr>
          <w:t xml:space="preserve">[57]</w:t>
        </w:r>
      </w:hyperlink>
      <w:r>
        <w:t xml:space="preserve">. On pourrait inclure une note type qui liste les dettes AVS/LPP si elles existent.</w:t>
      </w:r>
    </w:p>
    <w:p>
      <w:pPr>
        <w:pStyle w:val="Compact"/>
        <w:numPr>
          <w:ilvl w:val="0"/>
          <w:numId w:val="1019"/>
        </w:numPr>
      </w:pPr>
      <w:r>
        <w:t xml:space="preserve">Autre aspect suisse : la</w:t>
      </w:r>
      <w:r>
        <w:t xml:space="preserve"> </w:t>
      </w:r>
      <w:r>
        <w:rPr>
          <w:b/>
          <w:bCs/>
        </w:rPr>
        <w:t xml:space="preserve">sous-capitalisation</w:t>
      </w:r>
      <w:r>
        <w:t xml:space="preserve"> </w:t>
      </w:r>
      <w:r>
        <w:t xml:space="preserve">pour la fiscalité des entreprises qui fait qu’au-delà d’un certain ratio dette/équité, les intérêts ne sont pas déductibles. Notre calcul de thin cap est une aide pour ce point (même si c’est plus du ressort fiscal, beaucoup de fiduciaires le vérifient à la clôture).</w:t>
      </w:r>
    </w:p>
    <w:p>
      <w:pPr>
        <w:numPr>
          <w:ilvl w:val="0"/>
          <w:numId w:val="1019"/>
        </w:numPr>
      </w:pPr>
      <w:r>
        <w:rPr>
          <w:b/>
          <w:bCs/>
        </w:rPr>
        <w:t xml:space="preserve">TVA</w:t>
      </w:r>
      <w:r>
        <w:t xml:space="preserve"> </w:t>
      </w:r>
      <w:r>
        <w:t xml:space="preserve">: s’il y a des anomalies de TVA (taux incorrects), cela doit être repéré car en Suisse une erreur de TVA peut coûter cher. Notre contrôle des écarts de TVA contribuera indirectement à la compliance fiscale en minimisant les erreurs déclaratives</w:t>
      </w:r>
      <w:hyperlink r:id="rId57">
        <w:r>
          <w:rPr>
            <w:rStyle w:val="Hyperlink"/>
          </w:rPr>
          <w:t xml:space="preserve">[33]</w:t>
        </w:r>
      </w:hyperlink>
      <w:r>
        <w:t xml:space="preserve">.</w:t>
      </w:r>
    </w:p>
    <w:p>
      <w:pPr>
        <w:numPr>
          <w:ilvl w:val="0"/>
          <w:numId w:val="1019"/>
        </w:numPr>
      </w:pPr>
      <w:r>
        <w:rPr>
          <w:b/>
          <w:bCs/>
        </w:rPr>
        <w:t xml:space="preserve">Normes professionnelles fiduciaires</w:t>
      </w:r>
      <w:r>
        <w:t xml:space="preserve"> </w:t>
      </w:r>
      <w:r>
        <w:t xml:space="preserve">: Les grandes fiduciaires suisses suivent généralement les recommandations d’EXPERTsuisse (organisation faitière) en matière de</w:t>
      </w:r>
      <w:r>
        <w:t xml:space="preserve"> </w:t>
      </w:r>
      <w:r>
        <w:rPr>
          <w:b/>
          <w:bCs/>
        </w:rPr>
        <w:t xml:space="preserve">dossiers de révision</w:t>
      </w:r>
      <w:r>
        <w:t xml:space="preserve"> </w:t>
      </w:r>
      <w:r>
        <w:t xml:space="preserve">et de</w:t>
      </w:r>
      <w:r>
        <w:t xml:space="preserve"> </w:t>
      </w:r>
      <w:r>
        <w:rPr>
          <w:b/>
          <w:bCs/>
        </w:rPr>
        <w:t xml:space="preserve">qualité</w:t>
      </w:r>
      <w:r>
        <w:t xml:space="preserve">. Notre module de notes de clôture et compliance s’aligne sur ces bonnes pratiques : par exemple, la</w:t>
      </w:r>
      <w:r>
        <w:t xml:space="preserve"> </w:t>
      </w:r>
      <w:r>
        <w:rPr>
          <w:b/>
          <w:bCs/>
        </w:rPr>
        <w:t xml:space="preserve">documentation de chaque point important</w:t>
      </w:r>
      <w:r>
        <w:t xml:space="preserve">, le double-contrôle, etc. De plus, les fiduciaires sont soumises à des</w:t>
      </w:r>
      <w:r>
        <w:t xml:space="preserve"> </w:t>
      </w:r>
      <w:r>
        <w:rPr>
          <w:b/>
          <w:bCs/>
        </w:rPr>
        <w:t xml:space="preserve">contrôles qualité internes ou externes</w:t>
      </w:r>
      <w:r>
        <w:t xml:space="preserve"> </w:t>
      </w:r>
      <w:r>
        <w:t xml:space="preserve">(pour les boîtes d’audit, il y a des inspections régulières). Le fait que notre outil</w:t>
      </w:r>
      <w:r>
        <w:t xml:space="preserve"> </w:t>
      </w:r>
      <w:r>
        <w:rPr>
          <w:b/>
          <w:bCs/>
        </w:rPr>
        <w:t xml:space="preserve">trace tout et stocke tout</w:t>
      </w:r>
      <w:r>
        <w:t xml:space="preserve"> </w:t>
      </w:r>
      <w:r>
        <w:t xml:space="preserve">facilitera ces revues qualité, car il suffira de montrer le dossier dans l’outil pour démontrer la bonne exécution des procédures.</w:t>
      </w:r>
    </w:p>
    <w:p>
      <w:pPr>
        <w:numPr>
          <w:ilvl w:val="0"/>
          <w:numId w:val="1019"/>
        </w:numPr>
      </w:pPr>
      <w:r>
        <w:rPr>
          <w:b/>
          <w:bCs/>
        </w:rPr>
        <w:t xml:space="preserve">Archivage légal</w:t>
      </w:r>
      <w:r>
        <w:t xml:space="preserve"> </w:t>
      </w:r>
      <w:r>
        <w:t xml:space="preserve">: En Suisse, les pièces comptables doivent être conservées</w:t>
      </w:r>
      <w:r>
        <w:t xml:space="preserve"> </w:t>
      </w:r>
      <w:r>
        <w:rPr>
          <w:b/>
          <w:bCs/>
        </w:rPr>
        <w:t xml:space="preserve">10 ans</w:t>
      </w:r>
      <w:r>
        <w:t xml:space="preserve"> </w:t>
      </w:r>
      <w:r>
        <w:t xml:space="preserve">(format papier ou électronique). Notre SaaS devra permettre soit de conserver les données sur la durée (on s’engage à garder archives 10 ans), soit d’exporter aisément un archive pérenne. La</w:t>
      </w:r>
      <w:r>
        <w:t xml:space="preserve"> </w:t>
      </w:r>
      <w:r>
        <w:rPr>
          <w:b/>
          <w:bCs/>
        </w:rPr>
        <w:t xml:space="preserve">pérennité des données</w:t>
      </w:r>
      <w:r>
        <w:t xml:space="preserve"> </w:t>
      </w:r>
      <w:r>
        <w:t xml:space="preserve">est un point crucial à adresser contractuellement avec les clients (ex: si le SaaS est abandonné, on doit pouvoir restituer toutes les données). Techniquement, on peut proposer une fonction d’</w:t>
      </w:r>
      <w:r>
        <w:rPr>
          <w:b/>
          <w:bCs/>
        </w:rPr>
        <w:t xml:space="preserve">export d’archive</w:t>
      </w:r>
      <w:r>
        <w:t xml:space="preserve"> </w:t>
      </w:r>
      <w:r>
        <w:t xml:space="preserve">annuelle (un gros fichier contenant toutes les infos de l’année, dans un format lisible et imprimable, pour conservation locale ou sur un WORM). Côté produit, l’UX mentionnera aux fiduciaires qu’il est possible de récupérer les données, pour les rassurer sur la dépendance à l’outil.</w:t>
      </w:r>
    </w:p>
    <w:p>
      <w:pPr>
        <w:numPr>
          <w:ilvl w:val="0"/>
          <w:numId w:val="1019"/>
        </w:numPr>
      </w:pPr>
      <w:r>
        <w:rPr>
          <w:b/>
          <w:bCs/>
        </w:rPr>
        <w:t xml:space="preserve">Confidentialité et secret professionnel</w:t>
      </w:r>
      <w:r>
        <w:t xml:space="preserve"> </w:t>
      </w:r>
      <w:r>
        <w:t xml:space="preserve">: Les fiduciaires suisses sont tenues au secret professionnel envers leurs clients. L’hébergement des données et les accès doivent respecter cela. D’où l’importance du choix du data center suisse et des accès auditeurs très contrôlés (un auditeur externe ne doit voir que ce qui lui est autorisé, etc.). De plus, le</w:t>
      </w:r>
      <w:r>
        <w:t xml:space="preserve"> </w:t>
      </w:r>
      <w:r>
        <w:rPr>
          <w:b/>
          <w:bCs/>
        </w:rPr>
        <w:t xml:space="preserve">RGPD</w:t>
      </w:r>
      <w:r>
        <w:t xml:space="preserve"> </w:t>
      </w:r>
      <w:r>
        <w:t xml:space="preserve">s’applique via les clients européens ou par analogie en Suisse (nouvelle LPD). Notre système intègre le chiffrement, les consentements, etc. Ce point a été détaillé dans Sécurité, mais on le rappelle ici car c’est une exigence non fonctionnelle capitale.</w:t>
      </w:r>
    </w:p>
    <w:p>
      <w:pPr>
        <w:numPr>
          <w:ilvl w:val="0"/>
          <w:numId w:val="1019"/>
        </w:numPr>
      </w:pPr>
      <w:r>
        <w:rPr>
          <w:b/>
          <w:bCs/>
        </w:rPr>
        <w:t xml:space="preserve">Multilinguisme</w:t>
      </w:r>
      <w:r>
        <w:t xml:space="preserve"> </w:t>
      </w:r>
      <w:r>
        <w:t xml:space="preserve">: La Suisse a plusieurs langues officielles, et les fiduciaires romandes peuvent avoir des collaborateurs germanophones ou vice-versa, sans parler des clients anglophones. À terme, le SaaS devra proposer l’interface en FR, DE, EN, IT peut-être. La V1 pourrait n’être qu’en français, mais il est recommandé de</w:t>
      </w:r>
      <w:r>
        <w:t xml:space="preserve"> </w:t>
      </w:r>
      <w:r>
        <w:rPr>
          <w:b/>
          <w:bCs/>
        </w:rPr>
        <w:t xml:space="preserve">prémunir l’application pour i18n</w:t>
      </w:r>
      <w:r>
        <w:t xml:space="preserve"> </w:t>
      </w:r>
      <w:r>
        <w:t xml:space="preserve">dès le départ (tous les textes dans des fichiers de langue, etc.), afin de ne pas coller l’outil à une seule langue. De même pour les modèles d’EF et d’annexe : prévoir leurs versions dans d’autres langues (EXPERTsuisse fournit par ex des modèles bilingues). C’est plus une exigence de marché qu’une contrainte légale, mais elle est notable dans le contexte suisse multilingue.</w:t>
      </w:r>
    </w:p>
    <w:p>
      <w:pPr>
        <w:numPr>
          <w:ilvl w:val="0"/>
          <w:numId w:val="1019"/>
        </w:numPr>
      </w:pPr>
      <w:r>
        <w:rPr>
          <w:b/>
          <w:bCs/>
        </w:rPr>
        <w:t xml:space="preserve">Compatibilité avec logiciels courants</w:t>
      </w:r>
      <w:r>
        <w:t xml:space="preserve"> </w:t>
      </w:r>
      <w:r>
        <w:t xml:space="preserve">: Bien que pas réglementaire, c’est une exigence pratique : les fiduciaires utilisent souvent des softs comme Abacus, Crésus, Winbiz… Notre SaaS doit s’intégrer dans cet écosystème : import facile depuis eux, export vers eux, et peut-être</w:t>
      </w:r>
      <w:r>
        <w:t xml:space="preserve"> </w:t>
      </w:r>
      <w:r>
        <w:rPr>
          <w:b/>
          <w:bCs/>
        </w:rPr>
        <w:t xml:space="preserve">connexion API</w:t>
      </w:r>
      <w:r>
        <w:t xml:space="preserve"> </w:t>
      </w:r>
      <w:r>
        <w:t xml:space="preserve">plus tard. Par exemple, Abacus est mentionné dans le doc (« Quid lien avec Abacus ? »)</w:t>
      </w:r>
      <w:hyperlink r:id="rId92">
        <w:r>
          <w:rPr>
            <w:rStyle w:val="Hyperlink"/>
          </w:rPr>
          <w:t xml:space="preserve">[58]</w:t>
        </w:r>
      </w:hyperlink>
      <w:r>
        <w:t xml:space="preserve">, ce qui montre l’intérêt d’une</w:t>
      </w:r>
      <w:r>
        <w:t xml:space="preserve"> </w:t>
      </w:r>
      <w:r>
        <w:rPr>
          <w:b/>
          <w:bCs/>
        </w:rPr>
        <w:t xml:space="preserve">interopérabilité</w:t>
      </w:r>
      <w:r>
        <w:t xml:space="preserve">. La V1 offre surtout l’import/export, mais on veille à garder les possibilités ouvertes (API endpoints pouvant être appelés par Abacus si un connecteur existe, etc.).</w:t>
      </w:r>
    </w:p>
    <w:p>
      <w:pPr>
        <w:pStyle w:val="FirstParagraph"/>
      </w:pPr>
      <w:r>
        <w:t xml:space="preserve">En adressant ces contraintes, le cahier des charges garantit que le produit final sera</w:t>
      </w:r>
      <w:r>
        <w:t xml:space="preserve"> </w:t>
      </w:r>
      <w:r>
        <w:rPr>
          <w:b/>
          <w:bCs/>
        </w:rPr>
        <w:t xml:space="preserve">“fiduciaire-compatible”</w:t>
      </w:r>
      <w:r>
        <w:t xml:space="preserve"> </w:t>
      </w:r>
      <w:r>
        <w:t xml:space="preserve">en Suisse dès sa sortie. Cela évitera des freins à l’adoption, car les utilisateurs sauront que l’outil respecte les lois (par ex.</w:t>
      </w:r>
      <w:r>
        <w:t xml:space="preserve"> </w:t>
      </w:r>
      <w:r>
        <w:rPr>
          <w:i/>
          <w:iCs/>
        </w:rPr>
        <w:t xml:space="preserve">« l’annexe doit inclure au minimum XYZ »</w:t>
      </w:r>
      <w:r>
        <w:t xml:space="preserve">, ce qui est géré</w:t>
      </w:r>
      <w:hyperlink r:id="rId93">
        <w:r>
          <w:rPr>
            <w:rStyle w:val="Hyperlink"/>
          </w:rPr>
          <w:t xml:space="preserve">[59]</w:t>
        </w:r>
      </w:hyperlink>
      <w:r>
        <w:t xml:space="preserve">), et qu’il a été pensé pour</w:t>
      </w:r>
      <w:r>
        <w:t xml:space="preserve"> </w:t>
      </w:r>
      <w:r>
        <w:rPr>
          <w:b/>
          <w:bCs/>
        </w:rPr>
        <w:t xml:space="preserve">leur façon de travailler</w:t>
      </w:r>
      <w:r>
        <w:t xml:space="preserve"> </w:t>
      </w:r>
      <w:r>
        <w:t xml:space="preserve">et non pas un outil générique étranger aux réalités locales. Cette adéquation réglementaire et métier est un</w:t>
      </w:r>
      <w:r>
        <w:t xml:space="preserve"> </w:t>
      </w:r>
      <w:r>
        <w:rPr>
          <w:b/>
          <w:bCs/>
        </w:rPr>
        <w:t xml:space="preserve">argument de vente fort</w:t>
      </w:r>
      <w:r>
        <w:t xml:space="preserve"> </w:t>
      </w:r>
      <w:r>
        <w:t xml:space="preserve">pour convaincre les fiduciaires traditionnelles de sauter le pas vers le SaaS.</w:t>
      </w:r>
    </w:p>
    <w:bookmarkEnd w:id="94"/>
    <w:bookmarkStart w:id="98" w:name="X18b5a2613455ba9306f3db571729ea22b9c705e"/>
    <w:p>
      <w:pPr>
        <w:pStyle w:val="Heading2"/>
      </w:pPr>
      <w:r>
        <w:t>9. Roadmap réalignée sur la V1 exécutable</w:t>
      </w:r>
    </w:p>
    <w:p>
      <w:pPr>
        <w:pStyle w:val="FirstParagraph"/>
      </w:pPr>
      <w:r>
        <w:t>La roadmap ne doit plus être lue comme un lancement d’une V1 “complete” couvrant tout le closing en une seule vague. Elle doit refléter la séquence réellement assumée par le repo et par les documents de cadrage : stabiliser le backbone, ajouter les contrôles déterministes, puis ouvrir progressivement les vagues produit plus riches.</w:t>
      </w:r>
    </w:p>
    <w:bookmarkStart w:id="95" w:name="phase-1-v1-complete-lancement-fin-2025"/>
    <w:p>
      <w:pPr>
        <w:pStyle w:val="Heading3"/>
      </w:pPr>
      <w:r>
        <w:t>Phase 1 – V1 exécutable actuelle</w:t>
      </w:r>
    </w:p>
    <w:p>
      <w:pPr>
        <w:pStyle w:val="FirstParagraph"/>
      </w:pPr>
      <w:r>
        <w:t>La phase actuelle se concentre sur ce qui est déjà acté ou directement aligné : closing core, import de balance versionné, mapping manuel projeté sur le dernier import, socle d’identité/tenancy/audit, et préparation des contrôles/readiness.</w:t>
      </w:r>
    </w:p>
    <w:p>
      <w:pPr>
        <w:numPr>
          <w:ilvl w:val="0"/>
          <w:numId w:val="1020"/>
        </w:numPr>
      </w:pPr>
      <w:r>
        <w:t>Noyau fonctionnel : dossier de closing, import non destructif, versioning des balances, mapping manuel stable et tenant-scopé. C’est cette chaîne qui constitue aujourd’hui la proposition de valeur réelle du produit.</w:t>
      </w:r>
    </w:p>
    <w:p>
      <w:pPr>
        <w:numPr>
          <w:ilvl w:val="0"/>
          <w:numId w:val="1020"/>
        </w:numPr>
      </w:pPr>
      <w:r>
        <w:t>Workflow et contrôles : la prochaine vague logique est un cockpit de readiness déterministe capable de dire ce qui est prêt, ce qui bloque et où agir ensuite. Les workflows plus riches de revue, compliance, annexe ou pack final viennent après.</w:t>
      </w:r>
    </w:p>
    <w:p>
      <w:pPr>
        <w:numPr>
          <w:ilvl w:val="0"/>
          <w:numId w:val="1020"/>
        </w:numPr>
      </w:pPr>
      <w:r>
        <w:t>Posture IA : l’IA reste préparée mais non structurante. Le premier usage crédible à activer plus tard est le mapping assisté evidence-first, human-in-the-loop, une fois taxonomie et évaluations stabilisées.</w:t>
      </w:r>
    </w:p>
    <w:p>
      <w:pPr>
        <w:numPr>
          <w:ilvl w:val="0"/>
          <w:numId w:val="1020"/>
        </w:numPr>
      </w:pPr>
      <w:r>
        <w:t>Sécurité et rôles : le socle actuel repose sur JWT/OIDC, rôles persistés, tenant_membership, X-Tenant-Id et audit_event append-only sur mutations significatives. MFA élargie, ABAC plus fin, accès auditeur et RLS large relèvent de vagues ultérieures ou de hardening.</w:t>
      </w:r>
    </w:p>
    <w:p>
      <w:pPr>
        <w:numPr>
          <w:ilvl w:val="0"/>
          <w:numId w:val="1020"/>
        </w:numPr>
      </w:pPr>
      <w:r>
        <w:t>UX de phase : desktop-first, lisibilité du contexte, hiérarchie claire, feedback explicite et focalisation sur le chemin critique plutôt que sur une couverture visuelle exhaustive.</w:t>
      </w:r>
    </w:p>
    <w:p>
      <w:pPr>
        <w:numPr>
          <w:ilvl w:val="0"/>
          <w:numId w:val="1020"/>
        </w:numPr>
      </w:pPr>
      <w:r>
        <w:t>Critère de réussite : disposer d’un backbone fiable, testable et démontrable à des pilotes sans surpromettre des modules encore absents du runtime.</w:t>
      </w:r>
    </w:p>
    <w:p>
      <w:pPr>
        <w:pStyle w:val="FirstParagraph"/>
      </w:pPr>
      <w:r>
        <w:t>La bonne discipline n’est donc pas de tout annoncer au présent, mais de rendre incontestable le socle déjà construit puis d’élargir sans dette ni ambiguïté.</w:t>
      </w:r>
    </w:p>
    <w:bookmarkEnd w:id="95"/>
    <w:bookmarkStart w:id="96" w:name="X76e187ac1792d4db661b852dab1459af223cda6"/>
    <w:p>
      <w:pPr>
        <w:pStyle w:val="Heading3"/>
      </w:pPr>
      <w:r>
        <w:t>Phase 2 – Vagues produit ultérieures</w:t>
      </w:r>
    </w:p>
    <w:p>
      <w:pPr>
        <w:pStyle w:val="FirstParagraph"/>
      </w:pPr>
      <w:r>
        <w:t>Une fois le backbone et les contrôles stabilisés, le produit peut s’élargir par vagues cohérentes, en fonction des arbitrages métier et du retour terrain.</w:t>
      </w:r>
    </w:p>
    <w:p>
      <w:pPr>
        <w:numPr>
          <w:ilvl w:val="0"/>
          <w:numId w:val="1021"/>
        </w:numPr>
      </w:pPr>
      <w:r>
        <w:t>Vague A : états financiers et premières restitutions structurées, si le besoin de génération devient prioritaire.</w:t>
      </w:r>
    </w:p>
    <w:p>
      <w:pPr>
        <w:numPr>
          <w:ilvl w:val="0"/>
          <w:numId w:val="1021"/>
        </w:numPr>
      </w:pPr>
      <w:r>
        <w:t>Vague B : annexe, workpapers, dossier documentaire et compliance plus riche, avec gouvernance d’accès et d’exports adaptée.</w:t>
      </w:r>
    </w:p>
    <w:p>
      <w:pPr>
        <w:numPr>
          <w:ilvl w:val="0"/>
          <w:numId w:val="1021"/>
        </w:numPr>
      </w:pPr>
      <w:r>
        <w:t>Vague C : exports finalisés, pack audit-ready, accès auditeur et éventuellement connecteurs externes lorsque la surface métier le justifie.</w:t>
      </w:r>
    </w:p>
    <w:p>
      <w:pPr>
        <w:numPr>
          <w:ilvl w:val="0"/>
          <w:numId w:val="1021"/>
        </w:numPr>
      </w:pPr>
      <w:r>
        <w:t>Vague D : activation IA graduelle — d’abord mapping assisté, puis explication d’anomalies ou priorisation evidence-first, toujours feature-flagged et human-in-the-loop.</w:t>
      </w:r>
    </w:p>
    <w:p>
      <w:pPr>
        <w:numPr>
          <w:ilvl w:val="0"/>
          <w:numId w:val="1021"/>
        </w:numPr>
      </w:pPr>
      <w:r>
        <w:t>Vague E : extensions de normes, langues, mobile plus riche ou capacités analytiques avancées, selon la traction réelle.</w:t>
      </w:r>
    </w:p>
    <w:p>
      <w:pPr>
        <w:numPr>
          <w:ilvl w:val="0"/>
          <w:numId w:val="1021"/>
        </w:numPr>
      </w:pPr>
      <w:r>
        <w:t>Chaque vague doit rester mesurable et réversible. Aucun enrichissement ne doit casser la lisibilité du cockpit ni diluer la sécurité du noyau.</w:t>
      </w:r>
    </w:p>
    <w:p>
      <w:pPr>
        <w:numPr>
          <w:ilvl w:val="0"/>
          <w:numId w:val="1021"/>
        </w:numPr>
      </w:pPr>
      <w:r>
        <w:t>La logique d’évolution est donc additive : on consolide d’abord le déterministe, puis on ajoute les couches documentaires, d’export et d’IA quand elles deviennent crédibles et rentables.</w:t>
      </w:r>
    </w:p>
    <w:p>
      <w:pPr>
        <w:pStyle w:val="FirstParagraph"/>
      </w:pPr>
      <w:r>
        <w:t>Cette séquence garde intacte la vision long terme tout en protégeant la vérité du présent.</w:t>
      </w:r>
    </w:p>
    <w:bookmarkEnd w:id="96"/>
    <w:bookmarkStart w:id="97" w:name="vision-long-terme"/>
    <w:p>
      <w:pPr>
        <w:pStyle w:val="Heading3"/>
      </w:pPr>
      <w:r>
        <w:t xml:space="preserve">Vision Long Terme</w:t>
      </w:r>
    </w:p>
    <w:p>
      <w:pPr>
        <w:pStyle w:val="FirstParagraph"/>
      </w:pPr>
      <w:r>
        <w:t xml:space="preserve">Au-delà de 2026, le produit pourrait évoluer vers une</w:t>
      </w:r>
      <w:r>
        <w:t xml:space="preserve"> </w:t>
      </w:r>
      <w:r>
        <w:rPr>
          <w:b/>
          <w:bCs/>
        </w:rPr>
        <w:t xml:space="preserve">plateforme complète de pilotage financier</w:t>
      </w:r>
      <w:r>
        <w:t xml:space="preserve"> </w:t>
      </w:r>
      <w:r>
        <w:t xml:space="preserve">: une fois la clôture annuelle maîtrisée, on peut imaginer couvrir aussi les clôtures périodiques (trimestrielles, mensuelles) avec des fonctionnalités d’automatisation encore plus poussées, ou proposer des services adjacents comme la</w:t>
      </w:r>
      <w:r>
        <w:t xml:space="preserve"> </w:t>
      </w:r>
      <w:r>
        <w:rPr>
          <w:b/>
          <w:bCs/>
        </w:rPr>
        <w:t xml:space="preserve">préparation des déclarations fiscales</w:t>
      </w:r>
      <w:r>
        <w:t xml:space="preserve"> </w:t>
      </w:r>
      <w:r>
        <w:t xml:space="preserve">intégrée, ou le</w:t>
      </w:r>
      <w:r>
        <w:t xml:space="preserve"> </w:t>
      </w:r>
      <w:r>
        <w:rPr>
          <w:b/>
          <w:bCs/>
        </w:rPr>
        <w:t xml:space="preserve">pilotage budgétaire</w:t>
      </w:r>
      <w:r>
        <w:t xml:space="preserve"> </w:t>
      </w:r>
      <w:r>
        <w:t xml:space="preserve">(la doc mentionnait par ex l’analyse budgétaire, les cash-flows prévisionnels</w:t>
      </w:r>
      <w:hyperlink r:id="rId33">
        <w:r>
          <w:rPr>
            <w:rStyle w:val="Hyperlink"/>
          </w:rPr>
          <w:t xml:space="preserve">[61]</w:t>
        </w:r>
      </w:hyperlink>
      <w:r>
        <w:t xml:space="preserve">). L’IA pourrait devenir un véritable</w:t>
      </w:r>
      <w:r>
        <w:t xml:space="preserve"> </w:t>
      </w:r>
      <w:r>
        <w:rPr>
          <w:b/>
          <w:bCs/>
        </w:rPr>
        <w:t xml:space="preserve">assistant virtuel</w:t>
      </w:r>
      <w:r>
        <w:t xml:space="preserve"> </w:t>
      </w:r>
      <w:r>
        <w:t xml:space="preserve">conseillant sur la base de l’historique de l’entreprise et de données externes.</w:t>
      </w:r>
    </w:p>
    <w:p>
      <w:pPr>
        <w:pStyle w:val="BodyText"/>
      </w:pPr>
      <w:r>
        <w:t>Cependant, cette vision long terme ne doit pas détourner du cap immédiat : rendre incontestable la V1 exécutable actuelle, la faire adopter sur des cas réels, puis élargir le produit par vagues cohérentes.</w:t>
      </w:r>
    </w:p>
    <w:p>
      <w:r>
        <w:pict>
          <v:rect style="width:0;height:1.5pt" o:hralign="center" o:hrstd="t" o:hr="t"/>
        </w:pict>
      </w:r>
    </w:p>
    <w:p>
      <w:pPr>
        <w:pStyle w:val="FirstParagraph"/>
      </w:pPr>
      <w:r>
        <w:t>En conclusion, ce cahier réaligné décrit désormais à la fois une cible produit ambitieuse et un phasage crédible. Il conserve la North Star du SaaS de clôture comptable suisse, mais clarifie enfin ce qui appartient au noyau présent et ce qui relève des prochaines vagues.</w:t>
      </w:r>
    </w:p>
    <w:bookmarkEnd w:id="97"/>
    <w:bookmarkEnd w:id="98"/>
    <w:bookmarkEnd w:id="99"/>
    <w:bookmarkEnd w:id="100"/>
    <w:p>
      <w:r>
        <w:pict>
          <v:rect style="width:0;height:1.5pt" o:hralign="center" o:hrstd="t" o:hr="t"/>
        </w:pict>
      </w:r>
    </w:p>
    <w:bookmarkStart w:id="106"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57">
        <w:r>
          <w:rPr>
            <w:rStyle w:val="Hyperlink"/>
          </w:rPr>
          <w:t xml:space="preserve">[33]</w:t>
        </w:r>
      </w:hyperlink>
      <w:r>
        <w:t xml:space="preserve"> </w:t>
      </w:r>
      <w:hyperlink r:id="rId70">
        <w:r>
          <w:rPr>
            <w:rStyle w:val="Hyperlink"/>
          </w:rPr>
          <w:t xml:space="preserve">[45]</w:t>
        </w:r>
      </w:hyperlink>
      <w:r>
        <w:t xml:space="preserve"> </w:t>
      </w:r>
      <w:hyperlink r:id="rId72">
        <w:r>
          <w:rPr>
            <w:rStyle w:val="Hyperlink"/>
          </w:rPr>
          <w:t xml:space="preserve">[46]</w:t>
        </w:r>
      </w:hyperlink>
      <w:r>
        <w:t xml:space="preserve"> </w:t>
      </w:r>
      <w:hyperlink r:id="rId24">
        <w:r>
          <w:rPr>
            <w:rStyle w:val="Hyperlink"/>
          </w:rPr>
          <w:t xml:space="preserve">[49]</w:t>
        </w:r>
      </w:hyperlink>
      <w:r>
        <w:t xml:space="preserve"> </w:t>
      </w:r>
      <w:hyperlink r:id="rId89">
        <w:r>
          <w:rPr>
            <w:rStyle w:val="Hyperlink"/>
          </w:rPr>
          <w:t xml:space="preserve">[55]</w:t>
        </w:r>
      </w:hyperlink>
      <w:r>
        <w:t xml:space="preserve"> </w:t>
      </w:r>
      <w:r>
        <w:t xml:space="preserve">Développement SaaS Comptable : Pilote De Performance</w:t>
      </w:r>
    </w:p>
    <w:p>
      <w:pPr>
        <w:pStyle w:val="BodyText"/>
      </w:pPr>
      <w:hyperlink r:id="rId101">
        <w:r>
          <w:rPr>
            <w:rStyle w:val="Hyperlink"/>
          </w:rPr>
          <w:t xml:space="preserve">https://edana.ch/2026/01/27/developper-un-saas-comptable-du-simple-outil-de-gestion-a-un-veritable-moteur-de-performance-pour-lentreprise/</w:t>
        </w:r>
      </w:hyperlink>
    </w:p>
    <w:p>
      <w:pPr>
        <w:pStyle w:val="BodyText"/>
      </w:pPr>
      <w:hyperlink r:id="rId22">
        <w:r>
          <w:rPr>
            <w:rStyle w:val="Hyperlink"/>
          </w:rPr>
          <w:t xml:space="preserve">[2]</w:t>
        </w:r>
      </w:hyperlink>
      <w:r>
        <w:t xml:space="preserve"> </w:t>
      </w:r>
      <w:hyperlink r:id="rId77">
        <w:r>
          <w:rPr>
            <w:rStyle w:val="Hyperlink"/>
          </w:rPr>
          <w:t xml:space="preserve">[47]</w:t>
        </w:r>
      </w:hyperlink>
      <w:r>
        <w:t xml:space="preserve"> </w:t>
      </w:r>
      <w:hyperlink r:id="rId78">
        <w:r>
          <w:rPr>
            <w:rStyle w:val="Hyperlink"/>
          </w:rPr>
          <w:t xml:space="preserve">[48]</w:t>
        </w:r>
      </w:hyperlink>
      <w:r>
        <w:t xml:space="preserve"> </w:t>
      </w:r>
      <w:hyperlink r:id="rId83">
        <w:r>
          <w:rPr>
            <w:rStyle w:val="Hyperlink"/>
          </w:rPr>
          <w:t xml:space="preserve">[50]</w:t>
        </w:r>
      </w:hyperlink>
      <w:r>
        <w:t xml:space="preserve"> </w:t>
      </w:r>
      <w:r>
        <w:t xml:space="preserve">Compteo - Gestion de reçus automatisée pour fiduciaires suisses</w:t>
      </w:r>
    </w:p>
    <w:p>
      <w:pPr>
        <w:pStyle w:val="BodyText"/>
      </w:pPr>
      <w:hyperlink r:id="rId102">
        <w:r>
          <w:rPr>
            <w:rStyle w:val="Hyperlink"/>
          </w:rPr>
          <w:t xml:space="preserve">https://compteo.ch/</w:t>
        </w:r>
      </w:hyperlink>
    </w:p>
    <w:p>
      <w:pPr>
        <w:pStyle w:val="BodyText"/>
      </w:pPr>
      <w:hyperlink r:id="rId30">
        <w:r>
          <w:rPr>
            <w:rStyle w:val="Hyperlink"/>
          </w:rPr>
          <w:t xml:space="preserve">[7]</w:t>
        </w:r>
      </w:hyperlink>
      <w:r>
        <w:t xml:space="preserve"> </w:t>
      </w:r>
      <w:hyperlink r:id="rId32">
        <w:r>
          <w:rPr>
            <w:rStyle w:val="Hyperlink"/>
          </w:rPr>
          <w:t xml:space="preserve">[8]</w:t>
        </w:r>
      </w:hyperlink>
      <w:r>
        <w:t xml:space="preserve"> </w:t>
      </w:r>
      <w:hyperlink r:id="rId33">
        <w:r>
          <w:rPr>
            <w:rStyle w:val="Hyperlink"/>
          </w:rPr>
          <w:t xml:space="preserve">[9]</w:t>
        </w:r>
      </w:hyperlink>
      <w:r>
        <w:t xml:space="preserve"> </w:t>
      </w:r>
      <w:hyperlink r:id="rId34">
        <w:r>
          <w:rPr>
            <w:rStyle w:val="Hyperlink"/>
          </w:rPr>
          <w:t xml:space="preserve">[10]</w:t>
        </w:r>
      </w:hyperlink>
      <w:r>
        <w:t xml:space="preserve"> </w:t>
      </w:r>
      <w:hyperlink r:id="rId37">
        <w:r>
          <w:rPr>
            <w:rStyle w:val="Hyperlink"/>
          </w:rPr>
          <w:t xml:space="preserve">[12]</w:t>
        </w:r>
      </w:hyperlink>
      <w:r>
        <w:t xml:space="preserve"> </w:t>
      </w:r>
      <w:hyperlink r:id="rId38">
        <w:r>
          <w:rPr>
            <w:rStyle w:val="Hyperlink"/>
          </w:rPr>
          <w:t xml:space="preserve">[13]</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hyperlink r:id="rId32">
        <w:r>
          <w:rPr>
            <w:rStyle w:val="Hyperlink"/>
          </w:rPr>
          <w:t xml:space="preserve">[16]</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32">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48">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2">
        <w:r>
          <w:rPr>
            <w:rStyle w:val="Hyperlink"/>
          </w:rPr>
          <w:t xml:space="preserve">[37]</w:t>
        </w:r>
      </w:hyperlink>
      <w:r>
        <w:t xml:space="preserve"> </w:t>
      </w:r>
      <w:hyperlink r:id="rId63">
        <w:r>
          <w:rPr>
            <w:rStyle w:val="Hyperlink"/>
          </w:rPr>
          <w:t xml:space="preserve">[38]</w:t>
        </w:r>
      </w:hyperlink>
      <w:r>
        <w:t xml:space="preserve"> </w:t>
      </w:r>
      <w:hyperlink r:id="rId64">
        <w:r>
          <w:rPr>
            <w:rStyle w:val="Hyperlink"/>
          </w:rPr>
          <w:t xml:space="preserve">[39]</w:t>
        </w:r>
      </w:hyperlink>
      <w:r>
        <w:t xml:space="preserve"> </w:t>
      </w:r>
      <w:hyperlink r:id="rId65">
        <w:r>
          <w:rPr>
            <w:rStyle w:val="Hyperlink"/>
          </w:rPr>
          <w:t xml:space="preserve">[40]</w:t>
        </w:r>
      </w:hyperlink>
      <w:r>
        <w:t xml:space="preserve"> </w:t>
      </w:r>
      <w:hyperlink r:id="rId66">
        <w:r>
          <w:rPr>
            <w:rStyle w:val="Hyperlink"/>
          </w:rPr>
          <w:t xml:space="preserve">[41]</w:t>
        </w:r>
      </w:hyperlink>
      <w:r>
        <w:t xml:space="preserve"> </w:t>
      </w:r>
      <w:hyperlink r:id="rId67">
        <w:r>
          <w:rPr>
            <w:rStyle w:val="Hyperlink"/>
          </w:rPr>
          <w:t xml:space="preserve">[42]</w:t>
        </w:r>
      </w:hyperlink>
      <w:r>
        <w:t xml:space="preserve"> </w:t>
      </w:r>
      <w:hyperlink r:id="rId68">
        <w:r>
          <w:rPr>
            <w:rStyle w:val="Hyperlink"/>
          </w:rPr>
          <w:t xml:space="preserve">[43]</w:t>
        </w:r>
      </w:hyperlink>
      <w:r>
        <w:t xml:space="preserve"> </w:t>
      </w:r>
      <w:hyperlink r:id="rId69">
        <w:r>
          <w:rPr>
            <w:rStyle w:val="Hyperlink"/>
          </w:rPr>
          <w:t xml:space="preserve">[44]</w:t>
        </w:r>
      </w:hyperlink>
      <w:r>
        <w:t xml:space="preserve"> </w:t>
      </w:r>
      <w:hyperlink r:id="rId92">
        <w:r>
          <w:rPr>
            <w:rStyle w:val="Hyperlink"/>
          </w:rPr>
          <w:t xml:space="preserve">[58]</w:t>
        </w:r>
      </w:hyperlink>
      <w:r>
        <w:t xml:space="preserve"> </w:t>
      </w:r>
      <w:hyperlink r:id="rId67">
        <w:r>
          <w:rPr>
            <w:rStyle w:val="Hyperlink"/>
          </w:rPr>
          <w:t xml:space="preserve">[60]</w:t>
        </w:r>
      </w:hyperlink>
      <w:r>
        <w:t xml:space="preserve"> </w:t>
      </w:r>
      <w:hyperlink r:id="rId33">
        <w:r>
          <w:rPr>
            <w:rStyle w:val="Hyperlink"/>
          </w:rPr>
          <w:t xml:space="preserve">[61]</w:t>
        </w:r>
      </w:hyperlink>
      <w:r>
        <w:t xml:space="preserve"> </w:t>
      </w:r>
      <w:r>
        <w:t xml:space="preserve">Procédure module closing.docx</w:t>
      </w:r>
    </w:p>
    <w:p>
      <w:pPr>
        <w:pStyle w:val="BodyText"/>
      </w:pPr>
      <w:hyperlink r:id="rId103">
        <w:r>
          <w:rPr>
            <w:rStyle w:val="Hyperlink"/>
          </w:rPr>
          <w:t xml:space="preserve">file://file_00000000b88071f48d9bb12bb61dd481</w:t>
        </w:r>
      </w:hyperlink>
    </w:p>
    <w:p>
      <w:pPr>
        <w:pStyle w:val="BodyText"/>
      </w:pPr>
      <w:hyperlink r:id="rId36">
        <w:r>
          <w:rPr>
            <w:rStyle w:val="Hyperlink"/>
          </w:rPr>
          <w:t xml:space="preserve">[11]</w:t>
        </w:r>
      </w:hyperlink>
      <w:r>
        <w:t xml:space="preserve"> </w:t>
      </w:r>
      <w:hyperlink r:id="rId85">
        <w:r>
          <w:rPr>
            <w:rStyle w:val="Hyperlink"/>
          </w:rPr>
          <w:t xml:space="preserve">[51]</w:t>
        </w:r>
      </w:hyperlink>
      <w:r>
        <w:t xml:space="preserve"> </w:t>
      </w:r>
      <w:hyperlink r:id="rId86">
        <w:r>
          <w:rPr>
            <w:rStyle w:val="Hyperlink"/>
          </w:rPr>
          <w:t xml:space="preserve">[52]</w:t>
        </w:r>
      </w:hyperlink>
      <w:r>
        <w:t xml:space="preserve"> </w:t>
      </w:r>
      <w:hyperlink r:id="rId87">
        <w:r>
          <w:rPr>
            <w:rStyle w:val="Hyperlink"/>
          </w:rPr>
          <w:t xml:space="preserve">[53]</w:t>
        </w:r>
      </w:hyperlink>
      <w:r>
        <w:t xml:space="preserve"> </w:t>
      </w:r>
      <w:hyperlink r:id="rId88">
        <w:r>
          <w:rPr>
            <w:rStyle w:val="Hyperlink"/>
          </w:rPr>
          <w:t xml:space="preserve">[54]</w:t>
        </w:r>
      </w:hyperlink>
      <w:r>
        <w:t xml:space="preserve"> </w:t>
      </w:r>
      <w:hyperlink r:id="rId91">
        <w:r>
          <w:rPr>
            <w:rStyle w:val="Hyperlink"/>
          </w:rPr>
          <w:t xml:space="preserve">[57]</w:t>
        </w:r>
      </w:hyperlink>
      <w:r>
        <w:t xml:space="preserve"> </w:t>
      </w:r>
      <w:hyperlink r:id="rId93">
        <w:r>
          <w:rPr>
            <w:rStyle w:val="Hyperlink"/>
          </w:rPr>
          <w:t xml:space="preserve">[59]</w:t>
        </w:r>
      </w:hyperlink>
      <w:r>
        <w:t xml:space="preserve"> </w:t>
      </w:r>
      <w:r>
        <w:t xml:space="preserve">Annexe aux comptes annuels et états financiers - Entreprendre.ch</w:t>
      </w:r>
    </w:p>
    <w:p>
      <w:pPr>
        <w:pStyle w:val="BodyText"/>
      </w:pPr>
      <w:hyperlink r:id="rId104">
        <w:r>
          <w:rPr>
            <w:rStyle w:val="Hyperlink"/>
          </w:rPr>
          <w:t xml:space="preserve">https://entreprendre.ch/fiches-pratiques/finance-comptabilite/annexe-comptes-annuels-suisse/</w:t>
        </w:r>
      </w:hyperlink>
    </w:p>
    <w:p>
      <w:pPr>
        <w:pStyle w:val="BodyText"/>
      </w:pPr>
      <w:hyperlink r:id="rId90">
        <w:r>
          <w:rPr>
            <w:rStyle w:val="Hyperlink"/>
          </w:rPr>
          <w:t xml:space="preserve">[56]</w:t>
        </w:r>
      </w:hyperlink>
      <w:r>
        <w:t xml:space="preserve"> </w:t>
      </w:r>
      <w:r>
        <w:t xml:space="preserve">Opting-out et surendettement, que faire? - Treuhand Suisse</w:t>
      </w:r>
    </w:p>
    <w:p>
      <w:pPr>
        <w:pStyle w:val="BodyText"/>
      </w:pPr>
      <w:hyperlink r:id="rId105">
        <w:r>
          <w:rPr>
            <w:rStyle w:val="Hyperlink"/>
          </w:rPr>
          <w:t xml:space="preserve">https://www.treuhandsuisse.ch/fr/blog/opting-out-et-surendettement-que-faire</w:t>
        </w:r>
      </w:hyperlink>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3" Type="http://schemas.openxmlformats.org/officeDocument/2006/relationships/hyperlink" Target="file://file_00000000b88071f48d9bb12bb61dd481" TargetMode="External"/><Relationship Id="rId54" Type="http://schemas.openxmlformats.org/officeDocument/2006/relationships/hyperlink" Target="file://file_00000000b88071f48d9bb12bb61dd481#:~:text=" TargetMode="External"/><Relationship Id="rId49" Type="http://schemas.openxmlformats.org/officeDocument/2006/relationships/hyperlink" Target="file://file_00000000b88071f48d9bb12bb61dd481#:~:text=Actif%2Fpassif%20balancent" TargetMode="External"/><Relationship Id="rId43" Type="http://schemas.openxmlformats.org/officeDocument/2006/relationships/hyperlink" Target="file://file_00000000b88071f48d9bb12bb61dd481#:~:text=Ajout%20de%20note%20de%20cl%C3%B4ture,compl%C3%A9mentaires" TargetMode="External"/><Relationship Id="rId58" Type="http://schemas.openxmlformats.org/officeDocument/2006/relationships/hyperlink" Target="file://file_00000000b88071f48d9bb12bb61dd481#:~:text=Analyse%20du%20compte%20de%20r%C3%A9sultat,de%20mani%C3%A8re%20g%C3%A9n%C3%A9rale" TargetMode="External"/><Relationship Id="rId55" Type="http://schemas.openxmlformats.org/officeDocument/2006/relationships/hyperlink" Target="file://file_00000000b88071f48d9bb12bb61dd481#:~:text=Calcul%20de%20sous" TargetMode="External"/><Relationship Id="rId62" Type="http://schemas.openxmlformats.org/officeDocument/2006/relationships/hyperlink" Target="file://file_00000000b88071f48d9bb12bb61dd481#:~:text=Compliance%20QRM" TargetMode="External"/><Relationship Id="rId33" Type="http://schemas.openxmlformats.org/officeDocument/2006/relationships/hyperlink" Target="file://file_00000000b88071f48d9bb12bb61dd481#:~:text=Disposer%20de%20plus%20de%20version,et%20l%E2%80%99activit%C3%A9%20de%20la%20soci%C3%A9t%C3%A9" TargetMode="External"/><Relationship Id="rId65" Type="http://schemas.openxmlformats.org/officeDocument/2006/relationships/hyperlink" Target="file://file_00000000b88071f48d9bb12bb61dd481#:~:text=Documentation%20des%20contr%C3%B4les%20et%20%C3%A9changes,qui%20et%20quand" TargetMode="External"/><Relationship Id="rId51" Type="http://schemas.openxmlformats.org/officeDocument/2006/relationships/hyperlink" Target="file://file_00000000b88071f48d9bb12bb61dd481#:~:text=Emploi%20b%C3%A9n%C3%A9fice%20N,N" TargetMode="External"/><Relationship Id="rId69" Type="http://schemas.openxmlformats.org/officeDocument/2006/relationships/hyperlink" Target="file://file_00000000b88071f48d9bb12bb61dd481#:~:text=Etablissement%20automatique%20du%20PV%20avec,champs%20points%20compl%C3%A9mentaires%20%C3%A0%20choix" TargetMode="External"/><Relationship Id="rId46" Type="http://schemas.openxmlformats.org/officeDocument/2006/relationships/hyperlink" Target="file://file_00000000b88071f48d9bb12bb61dd481#:~:text=Indicateur%20de%20couleur%20si%20position,document%C3%A9e%2Fjustifi%C3%A9e" TargetMode="External"/><Relationship Id="rId60" Type="http://schemas.openxmlformats.org/officeDocument/2006/relationships/hyperlink" Target="file://file_00000000b88071f48d9bb12bb61dd481#:~:text=Les%20couleurs%20pourraient%20par%20exemple,%C3%AAtre" TargetMode="External"/><Relationship Id="rId37" Type="http://schemas.openxmlformats.org/officeDocument/2006/relationships/hyperlink" Target="file://file_00000000b88071f48d9bb12bb61dd481#:~:text=MUST" TargetMode="External"/><Relationship Id="rId32" Type="http://schemas.openxmlformats.org/officeDocument/2006/relationships/hyperlink" Target="file://file_00000000b88071f48d9bb12bb61dd481#:~:text=NEXT%20STEP" TargetMode="External"/><Relationship Id="rId67" Type="http://schemas.openxmlformats.org/officeDocument/2006/relationships/hyperlink" Target="file://file_00000000b88071f48d9bb12bb61dd481#:~:text=NICE%20TO%20HAVE" TargetMode="External"/><Relationship Id="rId40" Type="http://schemas.openxmlformats.org/officeDocument/2006/relationships/hyperlink" Target="file://file_00000000b88071f48d9bb12bb61dd481#:~:text=Num%C3%A9rotation%20automatique%20des%20annexes%20avec,l%E2%80%99ordre%20des%20r%C3%A9f%C3%A9rences%20des%20positions" TargetMode="External"/><Relationship Id="rId50" Type="http://schemas.openxmlformats.org/officeDocument/2006/relationships/hyperlink" Target="file://file_00000000b88071f48d9bb12bb61dd481#:~:text=PP%20%3D%20r%C3%A9sultat%20FP" TargetMode="External"/><Relationship Id="rId45" Type="http://schemas.openxmlformats.org/officeDocument/2006/relationships/hyperlink" Target="file://file_00000000b88071f48d9bb12bb61dd481#:~:text=Par%20exemple%20%C3%A0%20coch%C3%A9%20%C2%AB,contr%C3%B4le%20pour%20le%20compliance%20interne" TargetMode="External"/><Relationship Id="rId66" Type="http://schemas.openxmlformats.org/officeDocument/2006/relationships/hyperlink" Target="file://file_00000000b88071f48d9bb12bb61dd481#:~:text=Possibilit%C3%A9%20de%20donner%20acc%C3%A8s%20limit%C3%A9,notes%20de%20cl%C3%B4ture%20avec%20justificatifs" TargetMode="External"/><Relationship Id="rId42" Type="http://schemas.openxmlformats.org/officeDocument/2006/relationships/hyperlink" Target="file://file_00000000b88071f48d9bb12bb61dd481#:~:text=Possibilit%C3%A9%20de%20faire%20des%20r%C3%A9f%C3%A9rences,dans%20le%20texte%20si%20n%C3%A9cessaire" TargetMode="External"/><Relationship Id="rId30" Type="http://schemas.openxmlformats.org/officeDocument/2006/relationships/hyperlink" Target="file://file_00000000b88071f48d9bb12bb61dd481#:~:text=Possibilit%C3%A9%20de%20reprendre%20la%20structure,mod%C3%A8le%20personnalis%C3%A9" TargetMode="External"/><Relationship Id="rId53" Type="http://schemas.openxmlformats.org/officeDocument/2006/relationships/hyperlink" Target="file://file_00000000b88071f48d9bb12bb61dd481#:~:text=R%C3%A9sultat%20EF%20%3D%20R%C3%A9sultat%20Compta,import" TargetMode="External"/><Relationship Id="rId38" Type="http://schemas.openxmlformats.org/officeDocument/2006/relationships/hyperlink" Target="file://file_00000000b88071f48d9bb12bb61dd481#:~:text=Reprise%20automatique%20des%20%C3%A9l%C3%A9ments%20propres,voir%20%C3%A9tape%20import" TargetMode="External"/><Relationship Id="rId44" Type="http://schemas.openxmlformats.org/officeDocument/2006/relationships/hyperlink" Target="file://file_00000000b88071f48d9bb12bb61dd481#:~:text=Section%20de%20validation%20par%20position,reviewer%20avec%20horodateur%20et%20historique" TargetMode="External"/><Relationship Id="rId92" Type="http://schemas.openxmlformats.org/officeDocument/2006/relationships/hyperlink" Target="file://file_00000000b88071f48d9bb12bb61dd481#:~:text=Suivi%20de%20facturation%20en%20lien,%C2%BB%20si%20non%20commenter" TargetMode="External"/><Relationship Id="rId48" Type="http://schemas.openxmlformats.org/officeDocument/2006/relationships/hyperlink" Target="file://file_00000000b88071f48d9bb12bb61dd481#:~:text=Tableau%20d%E2%80%99indicateurs%20de%20contr%C3%B4le" TargetMode="External"/><Relationship Id="rId56" Type="http://schemas.openxmlformats.org/officeDocument/2006/relationships/hyperlink" Target="file://file_00000000b88071f48d9bb12bb61dd481#:~:text=Tableau%20de%20plausibilisation" TargetMode="External"/><Relationship Id="rId34" Type="http://schemas.openxmlformats.org/officeDocument/2006/relationships/hyperlink" Target="file://file_00000000b88071f48d9bb12bb61dd481#:~:text=Tableau%20de%20rapport%20analytique%20type,bi%2C%20etc%E2%80%A6" TargetMode="External"/><Relationship Id="rId68" Type="http://schemas.openxmlformats.org/officeDocument/2006/relationships/hyperlink" Target="file://file_00000000b88071f48d9bb12bb61dd481#:~:text=Tableau%20de%20suivi%20d%E2%80%99avancement%20des,rendu%20client" TargetMode="External"/><Relationship Id="rId52" Type="http://schemas.openxmlformats.org/officeDocument/2006/relationships/hyperlink" Target="file://file_00000000b88071f48d9bb12bb61dd481#:~:text=Totaux%20des%20sections%20%3D%20juste" TargetMode="External"/><Relationship Id="rId63" Type="http://schemas.openxmlformats.org/officeDocument/2006/relationships/hyperlink" Target="file://file_00000000b88071f48d9bb12bb61dd481#:~:text=couvre%20les%20travaux" TargetMode="External"/><Relationship Id="rId59" Type="http://schemas.openxmlformats.org/officeDocument/2006/relationships/hyperlink" Target="file://file_00000000b88071f48d9bb12bb61dd481#:~:text=du%20processus%20de%20cl%C3%B4ture%20qui,cet%20%C3%A9l%C3%A9ment%20n%E2%80%99est%20pas%20fait" TargetMode="External"/><Relationship Id="rId64" Type="http://schemas.openxmlformats.org/officeDocument/2006/relationships/hyperlink" Target="file://file_00000000b88071f48d9bb12bb61dd481#:~:text=justificatifs" TargetMode="External"/><Relationship Id="rId39" Type="http://schemas.openxmlformats.org/officeDocument/2006/relationships/hyperlink" Target="file://file_00000000b88071f48d9bb12bb61dd481#:~:text=titre%20et%20contenu%20selon%20besoin" TargetMode="External"/><Relationship Id="rId102" Type="http://schemas.openxmlformats.org/officeDocument/2006/relationships/hyperlink" Target="https://compteo.ch/" TargetMode="External"/><Relationship Id="rId83" Type="http://schemas.openxmlformats.org/officeDocument/2006/relationships/hyperlink" Target="https://compteo.ch/#:~:text=,Dark%20Mode%20%2F%20Light%20Mode" TargetMode="External"/><Relationship Id="rId77" Type="http://schemas.openxmlformats.org/officeDocument/2006/relationships/hyperlink" Target="https://compteo.ch/#:~:text=Banana%20Comptabilit%C3%A9" TargetMode="External"/><Relationship Id="rId22" Type="http://schemas.openxmlformats.org/officeDocument/2006/relationships/hyperlink" Target="https://compteo.ch/#:~:text=Passez%20de%202h%20%C3%A0%2015min,fiduciaires%20et%20de%20leurs%20clients" TargetMode="External"/><Relationship Id="rId78" Type="http://schemas.openxmlformats.org/officeDocument/2006/relationships/hyperlink" Target="https://compteo.ch/#:~:text=infomaniak%20Hosted" TargetMode="External"/><Relationship Id="rId101" Type="http://schemas.openxmlformats.org/officeDocument/2006/relationships/hyperlink" Target="https://edana.ch/2026/01/27/developper-un-saas-comptable-du-simple-outil-de-gestion-a-un-veritable-moteur-de-performance-pour-lentreprise/" TargetMode="External"/><Relationship Id="rId89" Type="http://schemas.openxmlformats.org/officeDocument/2006/relationships/hyperlink" Target="https://edana.ch/2026/01/27/developper-un-saas-comptable-du-simple-outil-de-gestion-a-un-veritable-moteur-de-performance-pour-lentreprise/#:~:text=,dans%20un%20SaaS%20comptable" TargetMode="External"/><Relationship Id="rId23" Type="http://schemas.openxmlformats.org/officeDocument/2006/relationships/hyperlink" Target="https://edana.ch/2026/01/27/developper-un-saas-comptable-du-simple-outil-de-gestion-a-un-veritable-moteur-de-performance-pour-lentreprise/#:~:text=En%20%C3%A9liminant%20les%20tableurs%20isol%C3%A9s%2C,complexit%C3%A9%20sans%20multiplier%20les%20outils" TargetMode="External"/><Relationship Id="rId57" Type="http://schemas.openxmlformats.org/officeDocument/2006/relationships/hyperlink" Target="https://edana.ch/2026/01/27/developper-un-saas-comptable-du-simple-outil-de-gestion-a-un-veritable-moteur-de-performance-pour-lentreprise/#:~:text=L%E2%80%99int%C3%A9gration%20de%20contr%C3%B4les%20automatis%C3%A9s%20d%C3%A9tecte,d%E2%80%99un%20organisme%20de%20contr%C3%B4le%20r%C3%A9glementaire" TargetMode="External"/><Relationship Id="rId24" Type="http://schemas.openxmlformats.org/officeDocument/2006/relationships/hyperlink" Target="https://edana.ch/2026/01/27/developper-un-saas-comptable-du-simple-outil-de-gestion-a-un-veritable-moteur-de-performance-pour-lentreprise/#:~:text=La%20s%C3%A9curit%C3%A9%20d%E2%80%99un%20SaaS%20comptable,exigences%20de%20confidentialit%C3%A9%20et%20d%E2%80%99int%C3%A9grit%C3%A9" TargetMode="External"/><Relationship Id="rId70" Type="http://schemas.openxmlformats.org/officeDocument/2006/relationships/hyperlink" Target="https://edana.ch/2026/01/27/developper-un-saas-comptable-du-simple-outil-de-gestion-a-un-veritable-moteur-de-performance-pour-lentreprise/#:~:text=La%20tra%C3%A7abilit%C3%A9%20demeure%20un%20atout,et%20des%20risques%20de%20p%C3%A9nalit%C3%A9" TargetMode="External"/><Relationship Id="rId27" Type="http://schemas.openxmlformats.org/officeDocument/2006/relationships/hyperlink" Target="https://edana.ch/2026/01/27/developper-un-saas-comptable-du-simple-outil-de-gestion-a-un-veritable-moteur-de-performance-pour-lentreprise/#:~:text=Le%20retour%20sur%20investissement%20d%E2%80%99un,ressources%20vers%20des%20projets%20strat%C3%A9giques" TargetMode="External"/><Relationship Id="rId26" Type="http://schemas.openxmlformats.org/officeDocument/2006/relationships/hyperlink" Target="https://edana.ch/2026/01/27/developper-un-saas-comptable-du-simple-outil-de-gestion-a-un-veritable-moteur-de-performance-pour-lentreprise/#:~:text=Parmi%20les%20KPI%20cl%C3%A9s%20%3A,et%20%C3%A0%20prioriser%20les%20am%C3%A9liorations" TargetMode="External"/><Relationship Id="rId72" Type="http://schemas.openxmlformats.org/officeDocument/2006/relationships/hyperlink" Target="https://edana.ch/2026/01/27/developper-un-saas-comptable-du-simple-outil-de-gestion-a-un-veritable-moteur-de-performance-pour-lentreprise/#:~:text=R%C3%A9sum%C3%A9%20%E2%80%93%20Les%20processus%20financiers,comptabilit%C3%A9%20en%20moteur%20de%20performance" TargetMode="External"/><Relationship Id="rId21" Type="http://schemas.openxmlformats.org/officeDocument/2006/relationships/hyperlink" Target="https://edana.ch/2026/01/27/developper-un-saas-comptable-du-simple-outil-de-gestion-a-un-veritable-moteur-de-performance-pour-lentreprise/#:~:text=R%C3%A9sum%C3%A9%20%E2%80%93%20Les%20processus%20financiers,et%20conformit%C3%A9%20en%20temps%20r%C3%A9el" TargetMode="External"/><Relationship Id="rId104" Type="http://schemas.openxmlformats.org/officeDocument/2006/relationships/hyperlink" Target="https://entreprendre.ch/fiches-pratiques/finance-comptabilite/annexe-comptes-annuels-suisse/" TargetMode="External"/><Relationship Id="rId36" Type="http://schemas.openxmlformats.org/officeDocument/2006/relationships/hyperlink" Target="https://entreprendre.ch/fiches-pratiques/finance-comptabilite/annexe-comptes-annuels-suisse/#:~:text=,959c%20CO" TargetMode="External"/><Relationship Id="rId91" Type="http://schemas.openxmlformats.org/officeDocument/2006/relationships/hyperlink" Target="https://entreprendre.ch/fiches-pratiques/finance-comptabilite/annexe-comptes-annuels-suisse/#:~:text=,importants%20survenus%20apr%C3%A8s%20%2041" TargetMode="External"/><Relationship Id="rId86" Type="http://schemas.openxmlformats.org/officeDocument/2006/relationships/hyperlink" Target="https://entreprendre.ch/fiches-pratiques/finance-comptabilite/annexe-comptes-annuels-suisse/#:~:text=En%20fonction%20de%20la%20taille,des%20informations%20suppl%C3%A9mentaires%20comme" TargetMode="External"/><Relationship Id="rId87" Type="http://schemas.openxmlformats.org/officeDocument/2006/relationships/hyperlink" Target="https://entreprendre.ch/fiches-pratiques/finance-comptabilite/annexe-comptes-annuels-suisse/#:~:text=Pour%20les%20grandes%20entreprises%2C%20d%C3%A9finies,des%20trois%20crit%C3%A8res%20suivants" TargetMode="External"/><Relationship Id="rId88" Type="http://schemas.openxmlformats.org/officeDocument/2006/relationships/hyperlink" Target="https://entreprendre.ch/fiches-pratiques/finance-comptabilite/annexe-comptes-annuels-suisse/#:~:text=Raisons%20individuelles%20et%20soci%C3%A9t%C3%A9s%20de,personnes" TargetMode="External"/><Relationship Id="rId93" Type="http://schemas.openxmlformats.org/officeDocument/2006/relationships/hyperlink" Target="https://entreprendre.ch/fiches-pratiques/finance-comptabilite/annexe-comptes-annuels-suisse/#:~:text=Selon%20la%20l%C3%A9gislation%20suisse%2C%20l%E2%80%99annexe,minimum%20les%20%C3%A9l%C3%A9ments%20suivants" TargetMode="External"/><Relationship Id="rId85" Type="http://schemas.openxmlformats.org/officeDocument/2006/relationships/hyperlink" Target="https://entreprendre.ch/fiches-pratiques/finance-comptabilite/annexe-comptes-annuels-suisse/#:~:text=anonymes%20,la%20dissolution%20des%20r%C3%A9serves%20latentes" TargetMode="External"/><Relationship Id="rId105" Type="http://schemas.openxmlformats.org/officeDocument/2006/relationships/hyperlink" Target="https://www.treuhandsuisse.ch/fr/blog/opting-out-et-surendettement-que-faire" TargetMode="External"/><Relationship Id="rId90" Type="http://schemas.openxmlformats.org/officeDocument/2006/relationships/hyperlink" Target="https://www.treuhandsuisse.ch/fr/blog/opting-out-et-surendettement-que-faire#:~:text=Opting,Comme%20il%20s%27" TargetMode="External"/></Relationships>
</file>

<file path=word/_rels/footnotes.xml.rels><?xml version='1.0' encoding='UTF-8' standalone='yes'?>
<Relationships xmlns="http://schemas.openxmlformats.org/package/2006/relationships"><Relationship Id="rId103" Type="http://schemas.openxmlformats.org/officeDocument/2006/relationships/hyperlink" Target="file://file_00000000b88071f48d9bb12bb61dd481" TargetMode="External"/><Relationship Id="rId54" Type="http://schemas.openxmlformats.org/officeDocument/2006/relationships/hyperlink" Target="file://file_00000000b88071f48d9bb12bb61dd481#:~:text=" TargetMode="External"/><Relationship Id="rId49" Type="http://schemas.openxmlformats.org/officeDocument/2006/relationships/hyperlink" Target="file://file_00000000b88071f48d9bb12bb61dd481#:~:text=Actif%2Fpassif%20balancent" TargetMode="External"/><Relationship Id="rId43" Type="http://schemas.openxmlformats.org/officeDocument/2006/relationships/hyperlink" Target="file://file_00000000b88071f48d9bb12bb61dd481#:~:text=Ajout%20de%20note%20de%20cl%C3%B4ture,compl%C3%A9mentaires" TargetMode="External"/><Relationship Id="rId58" Type="http://schemas.openxmlformats.org/officeDocument/2006/relationships/hyperlink" Target="file://file_00000000b88071f48d9bb12bb61dd481#:~:text=Analyse%20du%20compte%20de%20r%C3%A9sultat,de%20mani%C3%A8re%20g%C3%A9n%C3%A9rale" TargetMode="External"/><Relationship Id="rId55" Type="http://schemas.openxmlformats.org/officeDocument/2006/relationships/hyperlink" Target="file://file_00000000b88071f48d9bb12bb61dd481#:~:text=Calcul%20de%20sous" TargetMode="External"/><Relationship Id="rId62" Type="http://schemas.openxmlformats.org/officeDocument/2006/relationships/hyperlink" Target="file://file_00000000b88071f48d9bb12bb61dd481#:~:text=Compliance%20QRM" TargetMode="External"/><Relationship Id="rId33" Type="http://schemas.openxmlformats.org/officeDocument/2006/relationships/hyperlink" Target="file://file_00000000b88071f48d9bb12bb61dd481#:~:text=Disposer%20de%20plus%20de%20version,et%20l%E2%80%99activit%C3%A9%20de%20la%20soci%C3%A9t%C3%A9" TargetMode="External"/><Relationship Id="rId65" Type="http://schemas.openxmlformats.org/officeDocument/2006/relationships/hyperlink" Target="file://file_00000000b88071f48d9bb12bb61dd481#:~:text=Documentation%20des%20contr%C3%B4les%20et%20%C3%A9changes,qui%20et%20quand" TargetMode="External"/><Relationship Id="rId51" Type="http://schemas.openxmlformats.org/officeDocument/2006/relationships/hyperlink" Target="file://file_00000000b88071f48d9bb12bb61dd481#:~:text=Emploi%20b%C3%A9n%C3%A9fice%20N,N" TargetMode="External"/><Relationship Id="rId69" Type="http://schemas.openxmlformats.org/officeDocument/2006/relationships/hyperlink" Target="file://file_00000000b88071f48d9bb12bb61dd481#:~:text=Etablissement%20automatique%20du%20PV%20avec,champs%20points%20compl%C3%A9mentaires%20%C3%A0%20choix" TargetMode="External"/><Relationship Id="rId46" Type="http://schemas.openxmlformats.org/officeDocument/2006/relationships/hyperlink" Target="file://file_00000000b88071f48d9bb12bb61dd481#:~:text=Indicateur%20de%20couleur%20si%20position,document%C3%A9e%2Fjustifi%C3%A9e" TargetMode="External"/><Relationship Id="rId60" Type="http://schemas.openxmlformats.org/officeDocument/2006/relationships/hyperlink" Target="file://file_00000000b88071f48d9bb12bb61dd481#:~:text=Les%20couleurs%20pourraient%20par%20exemple,%C3%AAtre" TargetMode="External"/><Relationship Id="rId37" Type="http://schemas.openxmlformats.org/officeDocument/2006/relationships/hyperlink" Target="file://file_00000000b88071f48d9bb12bb61dd481#:~:text=MUST" TargetMode="External"/><Relationship Id="rId32" Type="http://schemas.openxmlformats.org/officeDocument/2006/relationships/hyperlink" Target="file://file_00000000b88071f48d9bb12bb61dd481#:~:text=NEXT%20STEP" TargetMode="External"/><Relationship Id="rId67" Type="http://schemas.openxmlformats.org/officeDocument/2006/relationships/hyperlink" Target="file://file_00000000b88071f48d9bb12bb61dd481#:~:text=NICE%20TO%20HAVE" TargetMode="External"/><Relationship Id="rId40" Type="http://schemas.openxmlformats.org/officeDocument/2006/relationships/hyperlink" Target="file://file_00000000b88071f48d9bb12bb61dd481#:~:text=Num%C3%A9rotation%20automatique%20des%20annexes%20avec,l%E2%80%99ordre%20des%20r%C3%A9f%C3%A9rences%20des%20positions" TargetMode="External"/><Relationship Id="rId50" Type="http://schemas.openxmlformats.org/officeDocument/2006/relationships/hyperlink" Target="file://file_00000000b88071f48d9bb12bb61dd481#:~:text=PP%20%3D%20r%C3%A9sultat%20FP" TargetMode="External"/><Relationship Id="rId45" Type="http://schemas.openxmlformats.org/officeDocument/2006/relationships/hyperlink" Target="file://file_00000000b88071f48d9bb12bb61dd481#:~:text=Par%20exemple%20%C3%A0%20coch%C3%A9%20%C2%AB,contr%C3%B4le%20pour%20le%20compliance%20interne" TargetMode="External"/><Relationship Id="rId66" Type="http://schemas.openxmlformats.org/officeDocument/2006/relationships/hyperlink" Target="file://file_00000000b88071f48d9bb12bb61dd481#:~:text=Possibilit%C3%A9%20de%20donner%20acc%C3%A8s%20limit%C3%A9,notes%20de%20cl%C3%B4ture%20avec%20justificatifs" TargetMode="External"/><Relationship Id="rId42" Type="http://schemas.openxmlformats.org/officeDocument/2006/relationships/hyperlink" Target="file://file_00000000b88071f48d9bb12bb61dd481#:~:text=Possibilit%C3%A9%20de%20faire%20des%20r%C3%A9f%C3%A9rences,dans%20le%20texte%20si%20n%C3%A9cessaire" TargetMode="External"/><Relationship Id="rId30" Type="http://schemas.openxmlformats.org/officeDocument/2006/relationships/hyperlink" Target="file://file_00000000b88071f48d9bb12bb61dd481#:~:text=Possibilit%C3%A9%20de%20reprendre%20la%20structure,mod%C3%A8le%20personnalis%C3%A9" TargetMode="External"/><Relationship Id="rId53" Type="http://schemas.openxmlformats.org/officeDocument/2006/relationships/hyperlink" Target="file://file_00000000b88071f48d9bb12bb61dd481#:~:text=R%C3%A9sultat%20EF%20%3D%20R%C3%A9sultat%20Compta,import" TargetMode="External"/><Relationship Id="rId38" Type="http://schemas.openxmlformats.org/officeDocument/2006/relationships/hyperlink" Target="file://file_00000000b88071f48d9bb12bb61dd481#:~:text=Reprise%20automatique%20des%20%C3%A9l%C3%A9ments%20propres,voir%20%C3%A9tape%20import" TargetMode="External"/><Relationship Id="rId44" Type="http://schemas.openxmlformats.org/officeDocument/2006/relationships/hyperlink" Target="file://file_00000000b88071f48d9bb12bb61dd481#:~:text=Section%20de%20validation%20par%20position,reviewer%20avec%20horodateur%20et%20historique" TargetMode="External"/><Relationship Id="rId92" Type="http://schemas.openxmlformats.org/officeDocument/2006/relationships/hyperlink" Target="file://file_00000000b88071f48d9bb12bb61dd481#:~:text=Suivi%20de%20facturation%20en%20lien,%C2%BB%20si%20non%20commenter" TargetMode="External"/><Relationship Id="rId48" Type="http://schemas.openxmlformats.org/officeDocument/2006/relationships/hyperlink" Target="file://file_00000000b88071f48d9bb12bb61dd481#:~:text=Tableau%20d%E2%80%99indicateurs%20de%20contr%C3%B4le" TargetMode="External"/><Relationship Id="rId56" Type="http://schemas.openxmlformats.org/officeDocument/2006/relationships/hyperlink" Target="file://file_00000000b88071f48d9bb12bb61dd481#:~:text=Tableau%20de%20plausibilisation" TargetMode="External"/><Relationship Id="rId34" Type="http://schemas.openxmlformats.org/officeDocument/2006/relationships/hyperlink" Target="file://file_00000000b88071f48d9bb12bb61dd481#:~:text=Tableau%20de%20rapport%20analytique%20type,bi%2C%20etc%E2%80%A6" TargetMode="External"/><Relationship Id="rId68" Type="http://schemas.openxmlformats.org/officeDocument/2006/relationships/hyperlink" Target="file://file_00000000b88071f48d9bb12bb61dd481#:~:text=Tableau%20de%20suivi%20d%E2%80%99avancement%20des,rendu%20client" TargetMode="External"/><Relationship Id="rId52" Type="http://schemas.openxmlformats.org/officeDocument/2006/relationships/hyperlink" Target="file://file_00000000b88071f48d9bb12bb61dd481#:~:text=Totaux%20des%20sections%20%3D%20juste" TargetMode="External"/><Relationship Id="rId63" Type="http://schemas.openxmlformats.org/officeDocument/2006/relationships/hyperlink" Target="file://file_00000000b88071f48d9bb12bb61dd481#:~:text=couvre%20les%20travaux" TargetMode="External"/><Relationship Id="rId59" Type="http://schemas.openxmlformats.org/officeDocument/2006/relationships/hyperlink" Target="file://file_00000000b88071f48d9bb12bb61dd481#:~:text=du%20processus%20de%20cl%C3%B4ture%20qui,cet%20%C3%A9l%C3%A9ment%20n%E2%80%99est%20pas%20fait" TargetMode="External"/><Relationship Id="rId64" Type="http://schemas.openxmlformats.org/officeDocument/2006/relationships/hyperlink" Target="file://file_00000000b88071f48d9bb12bb61dd481#:~:text=justificatifs" TargetMode="External"/><Relationship Id="rId39" Type="http://schemas.openxmlformats.org/officeDocument/2006/relationships/hyperlink" Target="file://file_00000000b88071f48d9bb12bb61dd481#:~:text=titre%20et%20contenu%20selon%20besoin" TargetMode="External"/><Relationship Id="rId102" Type="http://schemas.openxmlformats.org/officeDocument/2006/relationships/hyperlink" Target="https://compteo.ch/" TargetMode="External"/><Relationship Id="rId83" Type="http://schemas.openxmlformats.org/officeDocument/2006/relationships/hyperlink" Target="https://compteo.ch/#:~:text=,Dark%20Mode%20%2F%20Light%20Mode" TargetMode="External"/><Relationship Id="rId77" Type="http://schemas.openxmlformats.org/officeDocument/2006/relationships/hyperlink" Target="https://compteo.ch/#:~:text=Banana%20Comptabilit%C3%A9" TargetMode="External"/><Relationship Id="rId22" Type="http://schemas.openxmlformats.org/officeDocument/2006/relationships/hyperlink" Target="https://compteo.ch/#:~:text=Passez%20de%202h%20%C3%A0%2015min,fiduciaires%20et%20de%20leurs%20clients" TargetMode="External"/><Relationship Id="rId78" Type="http://schemas.openxmlformats.org/officeDocument/2006/relationships/hyperlink" Target="https://compteo.ch/#:~:text=infomaniak%20Hosted" TargetMode="External"/><Relationship Id="rId101" Type="http://schemas.openxmlformats.org/officeDocument/2006/relationships/hyperlink" Target="https://edana.ch/2026/01/27/developper-un-saas-comptable-du-simple-outil-de-gestion-a-un-veritable-moteur-de-performance-pour-lentreprise/" TargetMode="External"/><Relationship Id="rId89" Type="http://schemas.openxmlformats.org/officeDocument/2006/relationships/hyperlink" Target="https://edana.ch/2026/01/27/developper-un-saas-comptable-du-simple-outil-de-gestion-a-un-veritable-moteur-de-performance-pour-lentreprise/#:~:text=,dans%20un%20SaaS%20comptable" TargetMode="External"/><Relationship Id="rId23" Type="http://schemas.openxmlformats.org/officeDocument/2006/relationships/hyperlink" Target="https://edana.ch/2026/01/27/developper-un-saas-comptable-du-simple-outil-de-gestion-a-un-veritable-moteur-de-performance-pour-lentreprise/#:~:text=En%20%C3%A9liminant%20les%20tableurs%20isol%C3%A9s%2C,complexit%C3%A9%20sans%20multiplier%20les%20outils" TargetMode="External"/><Relationship Id="rId57" Type="http://schemas.openxmlformats.org/officeDocument/2006/relationships/hyperlink" Target="https://edana.ch/2026/01/27/developper-un-saas-comptable-du-simple-outil-de-gestion-a-un-veritable-moteur-de-performance-pour-lentreprise/#:~:text=L%E2%80%99int%C3%A9gration%20de%20contr%C3%B4les%20automatis%C3%A9s%20d%C3%A9tecte,d%E2%80%99un%20organisme%20de%20contr%C3%B4le%20r%C3%A9glementaire" TargetMode="External"/><Relationship Id="rId24" Type="http://schemas.openxmlformats.org/officeDocument/2006/relationships/hyperlink" Target="https://edana.ch/2026/01/27/developper-un-saas-comptable-du-simple-outil-de-gestion-a-un-veritable-moteur-de-performance-pour-lentreprise/#:~:text=La%20s%C3%A9curit%C3%A9%20d%E2%80%99un%20SaaS%20comptable,exigences%20de%20confidentialit%C3%A9%20et%20d%E2%80%99int%C3%A9grit%C3%A9" TargetMode="External"/><Relationship Id="rId70" Type="http://schemas.openxmlformats.org/officeDocument/2006/relationships/hyperlink" Target="https://edana.ch/2026/01/27/developper-un-saas-comptable-du-simple-outil-de-gestion-a-un-veritable-moteur-de-performance-pour-lentreprise/#:~:text=La%20tra%C3%A7abilit%C3%A9%20demeure%20un%20atout,et%20des%20risques%20de%20p%C3%A9nalit%C3%A9" TargetMode="External"/><Relationship Id="rId27" Type="http://schemas.openxmlformats.org/officeDocument/2006/relationships/hyperlink" Target="https://edana.ch/2026/01/27/developper-un-saas-comptable-du-simple-outil-de-gestion-a-un-veritable-moteur-de-performance-pour-lentreprise/#:~:text=Le%20retour%20sur%20investissement%20d%E2%80%99un,ressources%20vers%20des%20projets%20strat%C3%A9giques" TargetMode="External"/><Relationship Id="rId26" Type="http://schemas.openxmlformats.org/officeDocument/2006/relationships/hyperlink" Target="https://edana.ch/2026/01/27/developper-un-saas-comptable-du-simple-outil-de-gestion-a-un-veritable-moteur-de-performance-pour-lentreprise/#:~:text=Parmi%20les%20KPI%20cl%C3%A9s%20%3A,et%20%C3%A0%20prioriser%20les%20am%C3%A9liorations" TargetMode="External"/><Relationship Id="rId72" Type="http://schemas.openxmlformats.org/officeDocument/2006/relationships/hyperlink" Target="https://edana.ch/2026/01/27/developper-un-saas-comptable-du-simple-outil-de-gestion-a-un-veritable-moteur-de-performance-pour-lentreprise/#:~:text=R%C3%A9sum%C3%A9%20%E2%80%93%20Les%20processus%20financiers,comptabilit%C3%A9%20en%20moteur%20de%20performance" TargetMode="External"/><Relationship Id="rId21" Type="http://schemas.openxmlformats.org/officeDocument/2006/relationships/hyperlink" Target="https://edana.ch/2026/01/27/developper-un-saas-comptable-du-simple-outil-de-gestion-a-un-veritable-moteur-de-performance-pour-lentreprise/#:~:text=R%C3%A9sum%C3%A9%20%E2%80%93%20Les%20processus%20financiers,et%20conformit%C3%A9%20en%20temps%20r%C3%A9el" TargetMode="External"/><Relationship Id="rId104" Type="http://schemas.openxmlformats.org/officeDocument/2006/relationships/hyperlink" Target="https://entreprendre.ch/fiches-pratiques/finance-comptabilite/annexe-comptes-annuels-suisse/" TargetMode="External"/><Relationship Id="rId36" Type="http://schemas.openxmlformats.org/officeDocument/2006/relationships/hyperlink" Target="https://entreprendre.ch/fiches-pratiques/finance-comptabilite/annexe-comptes-annuels-suisse/#:~:text=,959c%20CO" TargetMode="External"/><Relationship Id="rId91" Type="http://schemas.openxmlformats.org/officeDocument/2006/relationships/hyperlink" Target="https://entreprendre.ch/fiches-pratiques/finance-comptabilite/annexe-comptes-annuels-suisse/#:~:text=,importants%20survenus%20apr%C3%A8s%20%2041" TargetMode="External"/><Relationship Id="rId86" Type="http://schemas.openxmlformats.org/officeDocument/2006/relationships/hyperlink" Target="https://entreprendre.ch/fiches-pratiques/finance-comptabilite/annexe-comptes-annuels-suisse/#:~:text=En%20fonction%20de%20la%20taille,des%20informations%20suppl%C3%A9mentaires%20comme" TargetMode="External"/><Relationship Id="rId87" Type="http://schemas.openxmlformats.org/officeDocument/2006/relationships/hyperlink" Target="https://entreprendre.ch/fiches-pratiques/finance-comptabilite/annexe-comptes-annuels-suisse/#:~:text=Pour%20les%20grandes%20entreprises%2C%20d%C3%A9finies,des%20trois%20crit%C3%A8res%20suivants" TargetMode="External"/><Relationship Id="rId88" Type="http://schemas.openxmlformats.org/officeDocument/2006/relationships/hyperlink" Target="https://entreprendre.ch/fiches-pratiques/finance-comptabilite/annexe-comptes-annuels-suisse/#:~:text=Raisons%20individuelles%20et%20soci%C3%A9t%C3%A9s%20de,personnes" TargetMode="External"/><Relationship Id="rId93" Type="http://schemas.openxmlformats.org/officeDocument/2006/relationships/hyperlink" Target="https://entreprendre.ch/fiches-pratiques/finance-comptabilite/annexe-comptes-annuels-suisse/#:~:text=Selon%20la%20l%C3%A9gislation%20suisse%2C%20l%E2%80%99annexe,minimum%20les%20%C3%A9l%C3%A9ments%20suivants" TargetMode="External"/><Relationship Id="rId85" Type="http://schemas.openxmlformats.org/officeDocument/2006/relationships/hyperlink" Target="https://entreprendre.ch/fiches-pratiques/finance-comptabilite/annexe-comptes-annuels-suisse/#:~:text=anonymes%20,la%20dissolution%20des%20r%C3%A9serves%20latentes" TargetMode="External"/><Relationship Id="rId105" Type="http://schemas.openxmlformats.org/officeDocument/2006/relationships/hyperlink" Target="https://www.treuhandsuisse.ch/fr/blog/opting-out-et-surendettement-que-faire" TargetMode="External"/><Relationship Id="rId90" Type="http://schemas.openxmlformats.org/officeDocument/2006/relationships/hyperlink" Target="https://www.treuhandsuisse.ch/fr/blog/opting-out-et-surendettement-que-faire#:~:text=Opting,Comme%20il%20s%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2026-01-31T10:26:45Z</dcterms:created>
  <dcterms:modified xsi:type="dcterms:W3CDTF">2026-01-31T10:26:45Z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