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bookmarkStart w:id="121" w:name="X328eba1cbd5a879bb5fe86234d1d761ec032628"/>
    <w:p>
      <w:pPr>
        <w:pStyle w:val="Heading1"/>
      </w:pPr>
      <w:r>
        <w:t>Plan de développement — SaaS suisse de closing comptable (réaligné V1 exécutable)</w:t>
      </w:r>
    </w:p>
    <w:bookmarkStart w:id="23" w:name="synthèse-exécutive"/>
    <w:p>
      <w:pPr>
        <w:pStyle w:val="Heading2"/>
      </w:pPr>
      <w:r>
        <w:t xml:space="preserve">Synthèse exécutive</w:t>
      </w:r>
    </w:p>
    <w:p>
      <w:pPr>
        <w:pStyle w:val="FirstParagraph"/>
      </w:pPr>
      <w:r>
        <w:t>Ce document n’est plus un plan de construction from scratch d’une V1 “complete”. Il devient un plan de réalignement et de delivery à partir du repo et du cadrage existants : monolithe modulaire Kotlin/Spring Boot, closing core, import versionné, mapping manuel déjà engagés, puis controls/readiness comme prochaine vague.</w:t>
      </w:r>
    </w:p>
    <w:p>
      <w:pPr>
        <w:pStyle w:val="BodyText"/>
      </w:pPr>
      <w:r>
        <w:t>Le parti architectural reste clair : monolithe modulaire Kotlin/Spring Boot, REST-first, PostgreSQL/Cloud SQL, Cloud Run, tenancy applicative d’abord, audit append-only, no-Docker local. GraphQL et service IA dédié restent des options futures déclenchées par une douleur réelle, pas des composants actifs obligatoires aujourd’hui.</w:t>
      </w:r>
    </w:p>
    <w:p>
      <w:pPr>
        <w:pStyle w:val="BodyText"/>
      </w:pPr>
      <w:r>
        <w:t>Le plan reste cloud-first sur Google Cloud, avec Cloud Run comme cible de déploiement et Cloud SQL for PostgreSQL comme source de vérité transactionnelle. Le développement local doit rester simple : pas de Docker requis pour le rail nominal, et validation PostgreSQL réelle seulement lorsque la base explicite est fournie.</w:t>
      </w:r>
    </w:p>
    <w:p>
      <w:pPr>
        <w:pStyle w:val="BodyText"/>
      </w:pPr>
      <w:r>
        <w:t>La trajectoire V1 doit désormais être lue en vagues réalistes : fondations et slices closing/import/mapping déjà posées, controls ensuite, puis seulement les vagues EF, workpapers, exports, compliance enrichie et activation IA ciblée.</w:t>
      </w:r>
    </w:p>
    <w:bookmarkEnd w:id="23"/>
    <w:bookmarkStart w:id="31" w:name="principes-non-négociables"/>
    <w:p>
      <w:pPr>
        <w:pStyle w:val="Heading2"/>
      </w:pPr>
      <w:r>
        <w:t xml:space="preserve">Principes non négociables</w:t>
      </w:r>
    </w:p>
    <w:bookmarkStart w:id="24" w:name="produits-et-ux"/>
    <w:p>
      <w:pPr>
        <w:pStyle w:val="Heading3"/>
      </w:pPr>
      <w:r>
        <w:t xml:space="preserve">Produits et UX</w:t>
      </w:r>
    </w:p>
    <w:p>
      <w:pPr>
        <w:pStyle w:val="FirstParagraph"/>
      </w:pPr>
      <w:r>
        <w:t xml:space="preserve">Le produit doit être conçu pour</w:t>
      </w:r>
      <w:r>
        <w:t xml:space="preserve"> </w:t>
      </w:r>
      <w:r>
        <w:rPr>
          <w:b/>
          <w:bCs/>
        </w:rPr>
        <w:t xml:space="preserve">l’adoption terrain</w:t>
      </w:r>
      <w:r>
        <w:t xml:space="preserve"> </w:t>
      </w:r>
      <w:r>
        <w:t xml:space="preserve">: un assistant doit avancer vite, un reviewer doit reprendre le contrôle en 2 minutes, et un “pack export” doit être immédiatement audit‑ready. La V1 doit prioriser les parcours “closing” réels (workflow + preuves + revue + export) plutôt qu’une sur‑flexibilité de reporting.</w:t>
      </w:r>
    </w:p>
    <w:p>
      <w:pPr>
        <w:pStyle w:val="BodyText"/>
      </w:pPr>
      <w:r>
        <w:t>Les comportements UX non négociables (dès la V1) : - Autosave + feedback immédiat (pas de perte de travail). - UX “anti-friction” : bulk actions, filtres, recherche, navigation poste -&gt; note -&gt; preuve, et statuts clairs. - Non‑bloquant sur le travail au quotidien ; bloquant uniquement sur le passage en “définitif” (garde‑fou).</w:t>
      </w:r>
    </w:p>
    <w:bookmarkEnd w:id="24"/>
    <w:bookmarkStart w:id="28" w:name="architecture"/>
    <w:p>
      <w:pPr>
        <w:pStyle w:val="Heading3"/>
      </w:pPr>
      <w:r>
        <w:t xml:space="preserve">Architecture</w:t>
      </w:r>
    </w:p>
    <w:p>
      <w:pPr>
        <w:pStyle w:val="Compact"/>
        <w:numPr>
          <w:ilvl w:val="0"/>
          <w:numId w:val="1001"/>
        </w:numPr>
      </w:pPr>
      <w:r>
        <w:rPr>
          <w:b/>
          <w:bCs/>
        </w:rPr>
        <w:t xml:space="preserve">Monolithe modulaire</w:t>
      </w:r>
      <w:r>
        <w:t xml:space="preserve"> </w:t>
      </w:r>
      <w:r>
        <w:t xml:space="preserve">avec frontières explicites : Spring Modulith est précisément conçu pour structurer une app Spring Boot en modules logiques, valider la structure, documenter l’architecture, tester des modules isolés et observer leurs interactions.</w:t>
      </w:r>
      <w:r>
        <w:t xml:space="preserve"> </w:t>
      </w:r>
      <w:hyperlink r:id="rId25">
        <w:r>
          <w:rPr>
            <w:rStyle w:val="Hyperlink"/>
          </w:rPr>
          <w:t xml:space="preserve">[3]</w:t>
        </w:r>
      </w:hyperlink>
    </w:p>
    <w:p>
      <w:pPr>
        <w:pStyle w:val="Compact"/>
        <w:numPr>
          <w:ilvl w:val="0"/>
          <w:numId w:val="1001"/>
        </w:numPr>
      </w:pPr>
      <w:r>
        <w:t xml:space="preserve">Les modules doivent interagir via</w:t>
      </w:r>
      <w:r>
        <w:t xml:space="preserve"> </w:t>
      </w:r>
      <w:r>
        <w:rPr>
          <w:b/>
          <w:bCs/>
        </w:rPr>
        <w:t xml:space="preserve">API de module</w:t>
      </w:r>
      <w:r>
        <w:t xml:space="preserve"> </w:t>
      </w:r>
      <w:r>
        <w:t xml:space="preserve">ou idéalement via</w:t>
      </w:r>
      <w:r>
        <w:t xml:space="preserve"> </w:t>
      </w:r>
      <w:r>
        <w:rPr>
          <w:b/>
          <w:bCs/>
        </w:rPr>
        <w:t xml:space="preserve">événements</w:t>
      </w:r>
      <w:r>
        <w:t xml:space="preserve"> </w:t>
      </w:r>
      <w:r>
        <w:t xml:space="preserve">: Spring Modulith recommande l’interaction par publication/consommation d’événements pour réduire le couplage.</w:t>
      </w:r>
      <w:r>
        <w:t xml:space="preserve"> </w:t>
      </w:r>
      <w:hyperlink r:id="rId26">
        <w:r>
          <w:rPr>
            <w:rStyle w:val="Hyperlink"/>
          </w:rPr>
          <w:t xml:space="preserve">[4]</w:t>
        </w:r>
      </w:hyperlink>
    </w:p>
    <w:p>
      <w:pPr>
        <w:pStyle w:val="Compact"/>
        <w:numPr>
          <w:ilvl w:val="0"/>
          <w:numId w:val="1001"/>
        </w:numPr>
      </w:pPr>
      <w:r>
        <w:rPr>
          <w:b/>
          <w:bCs/>
        </w:rPr>
        <w:t xml:space="preserve">REST d’abord</w:t>
      </w:r>
      <w:r>
        <w:t xml:space="preserve"> </w:t>
      </w:r>
      <w:r>
        <w:t xml:space="preserve">: une seule surface API au démarrage pour exécuter vite. GraphQL n’arrive que lorsque la composition devient un coût réel et uniquement avec garde‑fous (depth, list‑nesting, complexity, rate limit). Le site GraphQL officiel recommande explicitement de limiter la profondeur et la profondeur d’imbrication des listes.</w:t>
      </w:r>
      <w:r>
        <w:t xml:space="preserve"> </w:t>
      </w:r>
      <w:hyperlink r:id="rId27">
        <w:r>
          <w:rPr>
            <w:rStyle w:val="Hyperlink"/>
          </w:rPr>
          <w:t xml:space="preserve">[5]</w:t>
        </w:r>
      </w:hyperlink>
    </w:p>
    <w:bookmarkEnd w:id="28"/>
    <w:bookmarkStart w:id="30" w:name="ia-evidencefirst"/>
    <w:p>
      <w:pPr>
        <w:pStyle w:val="Heading3"/>
      </w:pPr>
      <w:r>
        <w:t>IA evidence‑first (préparée maintenant, activée plus tard)</w:t>
      </w:r>
    </w:p>
    <w:p>
      <w:pPr>
        <w:pStyle w:val="Compact"/>
        <w:numPr>
          <w:ilvl w:val="0"/>
          <w:numId w:val="1002"/>
        </w:numPr>
      </w:pPr>
      <w:r>
        <w:t>L’IA n’exécute pas la compta et n’est pas encore au cœur du runtime courant : elle sera introduite par vagues, en commençant par des suggestions structurées et validées humainement.</w:t>
      </w:r>
    </w:p>
    <w:p>
      <w:pPr>
        <w:pStyle w:val="Compact"/>
        <w:numPr>
          <w:ilvl w:val="0"/>
          <w:numId w:val="1002"/>
        </w:numPr>
      </w:pPr>
      <w:r>
        <w:t xml:space="preserve">Toute capacité IA qui influence une décision doit produire une</w:t>
      </w:r>
      <w:r>
        <w:t xml:space="preserve"> </w:t>
      </w:r>
      <w:r>
        <w:rPr>
          <w:b/>
          <w:bCs/>
        </w:rPr>
        <w:t xml:space="preserve">sortie structurée</w:t>
      </w:r>
      <w:r>
        <w:t xml:space="preserve"> </w:t>
      </w:r>
      <w:r>
        <w:t xml:space="preserve">et</w:t>
      </w:r>
      <w:r>
        <w:t xml:space="preserve"> </w:t>
      </w:r>
      <w:r>
        <w:rPr>
          <w:b/>
          <w:bCs/>
        </w:rPr>
        <w:t xml:space="preserve">justifiable</w:t>
      </w:r>
      <w:r>
        <w:t xml:space="preserve">.</w:t>
      </w:r>
    </w:p>
    <w:p>
      <w:pPr>
        <w:pStyle w:val="Compact"/>
        <w:numPr>
          <w:ilvl w:val="0"/>
          <w:numId w:val="1002"/>
        </w:numPr>
      </w:pPr>
      <w:r>
        <w:rPr>
          <w:b/>
          <w:bCs/>
        </w:rPr>
        <w:t xml:space="preserve">Pinning des modèles + evals</w:t>
      </w:r>
      <w:r>
        <w:t xml:space="preserve"> </w:t>
      </w:r>
      <w:r>
        <w:t xml:space="preserve">: OpenAI insiste sur la variabilité des modèles et la nécessité des evals pour la production.</w:t>
      </w:r>
      <w:r>
        <w:t xml:space="preserve"> </w:t>
      </w:r>
      <w:hyperlink r:id="rId29">
        <w:r>
          <w:rPr>
            <w:rStyle w:val="Hyperlink"/>
          </w:rPr>
          <w:t xml:space="preserve">[6]</w:t>
        </w:r>
      </w:hyperlink>
    </w:p>
    <w:p>
      <w:pPr>
        <w:pStyle w:val="Compact"/>
        <w:numPr>
          <w:ilvl w:val="0"/>
          <w:numId w:val="1002"/>
        </w:numPr>
      </w:pPr>
      <w:r>
        <w:rPr>
          <w:b/>
          <w:bCs/>
        </w:rPr>
        <w:t xml:space="preserve">Mode dégradé obligatoire</w:t>
      </w:r>
      <w:r>
        <w:t xml:space="preserve"> </w:t>
      </w:r>
      <w:r>
        <w:t xml:space="preserve">: si l’IA tombe, la clôture continue (feature flags, timeouts, fallback).</w:t>
      </w:r>
    </w:p>
    <w:bookmarkEnd w:id="30"/>
    <w:bookmarkEnd w:id="31"/>
    <w:bookmarkStart w:id="63" w:name="Xcd8d10a4c3363abb5330716b372dadc9d13d173"/>
    <w:p>
      <w:pPr>
        <w:pStyle w:val="Heading2"/>
      </w:pPr>
      <w:r>
        <w:t xml:space="preserve">Stack technique et architecture Google Cloud</w:t>
      </w:r>
    </w:p>
    <w:bookmarkStart w:id="40" w:name="versions-et-librairies-recommandées"/>
    <w:p>
      <w:pPr>
        <w:pStyle w:val="Heading3"/>
      </w:pPr>
      <w:r>
        <w:t xml:space="preserve">Versions et librairies recommandées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Choix recommandé</w:t>
            </w:r>
          </w:p>
        </w:tc>
        <w:tc>
          <w:tcPr/>
          <w:p>
            <w:pPr>
              <w:pStyle w:val="Compact"/>
            </w:pPr>
            <w:r>
              <w:t xml:space="preserve">Pourquoi</w:t>
            </w:r>
          </w:p>
        </w:tc>
      </w:tr>
      <w:tr>
        <w:tc>
          <w:tcPr/>
          <w:p>
            <w:pPr>
              <w:pStyle w:val="Compact"/>
            </w:pPr>
            <w:r>
              <w:t xml:space="preserve">Langage</w:t>
            </w:r>
          </w:p>
        </w:tc>
        <w:tc>
          <w:tcPr/>
          <w:p>
            <w:pPr>
              <w:pStyle w:val="Compact"/>
            </w:pPr>
            <w:r>
              <w:t xml:space="preserve">Kotlin 2.3.10</w:t>
            </w:r>
          </w:p>
        </w:tc>
        <w:tc>
          <w:tcPr/>
          <w:p>
            <w:pPr>
              <w:pStyle w:val="Compact"/>
            </w:pPr>
            <w:r>
              <w:t xml:space="preserve">Version stable publiée le 5 février 2026.</w:t>
            </w:r>
            <w:r>
              <w:t xml:space="preserve"> </w:t>
            </w:r>
            <w:hyperlink r:id="rId32">
              <w:r>
                <w:rPr>
                  <w:rStyle w:val="Hyperlink"/>
                </w:rPr>
                <w:t xml:space="preserve">[7]</w:t>
              </w:r>
            </w:hyperlink>
          </w:p>
        </w:tc>
      </w:tr>
      <w:tr>
        <w:tc>
          <w:tcPr/>
          <w:p>
            <w:pPr>
              <w:pStyle w:val="Compact"/>
            </w:pPr>
            <w:r>
              <w:t xml:space="preserve">JDK</w:t>
            </w:r>
          </w:p>
        </w:tc>
        <w:tc>
          <w:tcPr/>
          <w:p>
            <w:pPr>
              <w:pStyle w:val="Compact"/>
            </w:pPr>
            <w:r>
              <w:t xml:space="preserve">Java 21 (LTS)</w:t>
            </w:r>
          </w:p>
        </w:tc>
        <w:tc>
          <w:tcPr/>
          <w:p>
            <w:pPr>
              <w:pStyle w:val="Compact"/>
            </w:pPr>
            <w:r>
              <w:t xml:space="preserve">Spring Boot nécessite Java 17+ ; partir sur 21 (LTS) réduit le risque d’upgrade.</w:t>
            </w:r>
            <w:r>
              <w:t xml:space="preserve"> </w:t>
            </w:r>
            <w:hyperlink r:id="rId33">
              <w:r>
                <w:rPr>
                  <w:rStyle w:val="Hyperlink"/>
                </w:rPr>
                <w:t xml:space="preserve">[8]</w:t>
              </w:r>
            </w:hyperlink>
          </w:p>
        </w:tc>
      </w:tr>
      <w:tr>
        <w:tc>
          <w:tcPr/>
          <w:p>
            <w:pPr>
              <w:pStyle w:val="Compact"/>
            </w:pPr>
            <w:r>
              <w:t xml:space="preserve">Framework</w:t>
            </w:r>
          </w:p>
        </w:tc>
        <w:tc>
          <w:tcPr/>
          <w:p>
            <w:pPr>
              <w:pStyle w:val="Compact"/>
            </w:pPr>
            <w:r>
              <w:t xml:space="preserve">Spring Boot 3.5.11</w:t>
            </w:r>
          </w:p>
        </w:tc>
        <w:tc>
          <w:tcPr/>
          <w:p>
            <w:pPr>
              <w:pStyle w:val="Compact"/>
            </w:pPr>
            <w:r>
              <w:t xml:space="preserve">Release annoncée le 19 février 2026.</w:t>
            </w:r>
            <w:r>
              <w:t xml:space="preserve"> </w:t>
            </w:r>
            <w:hyperlink r:id="rId34">
              <w:r>
                <w:rPr>
                  <w:rStyle w:val="Hyperlink"/>
                </w:rPr>
                <w:t xml:space="preserve">[9]</w:t>
              </w:r>
            </w:hyperlink>
          </w:p>
        </w:tc>
      </w:tr>
      <w:tr>
        <w:tc>
          <w:tcPr/>
          <w:p>
            <w:pPr>
              <w:pStyle w:val="Compact"/>
            </w:pPr>
            <w:r>
              <w:t xml:space="preserve">Modularité</w:t>
            </w:r>
          </w:p>
        </w:tc>
        <w:tc>
          <w:tcPr/>
          <w:p>
            <w:pPr>
              <w:pStyle w:val="Compact"/>
            </w:pPr>
            <w:r>
              <w:t xml:space="preserve">Spring Modulith (1.4.x)</w:t>
            </w:r>
          </w:p>
        </w:tc>
        <w:tc>
          <w:tcPr/>
          <w:p>
            <w:pPr>
              <w:pStyle w:val="Compact"/>
            </w:pPr>
            <w:r>
              <w:t xml:space="preserve">Validation structurelle, tests par module, doc, observabilité.</w:t>
            </w:r>
            <w:r>
              <w:t xml:space="preserve"> </w:t>
            </w:r>
            <w:hyperlink r:id="rId25">
              <w:r>
                <w:rPr>
                  <w:rStyle w:val="Hyperlink"/>
                </w:rPr>
                <w:t xml:space="preserve">[10]</w:t>
              </w:r>
            </w:hyperlink>
          </w:p>
        </w:tc>
      </w:tr>
      <w:tr>
        <w:tc>
          <w:tcPr/>
          <w:p>
            <w:pPr>
              <w:pStyle w:val="Compact"/>
            </w:pPr>
            <w:r>
              <w:t xml:space="preserve">IA</w:t>
            </w:r>
          </w:p>
        </w:tc>
        <w:tc>
          <w:tcPr/>
          <w:p>
            <w:pPr>
              <w:pStyle w:val="Compact"/>
            </w:pPr>
            <w:r>
              <w:t xml:space="preserve">Spring AI 1.1.x</w:t>
            </w:r>
          </w:p>
        </w:tc>
        <w:tc>
          <w:tcPr/>
          <w:p>
            <w:pPr>
              <w:pStyle w:val="Compact"/>
            </w:pPr>
            <w:r>
              <w:t xml:space="preserve">GA annoncée nov 2025 ; support Boot 3.4/3.5.</w:t>
            </w:r>
            <w:r>
              <w:t xml:space="preserve"> </w:t>
            </w:r>
            <w:hyperlink r:id="rId35">
              <w:r>
                <w:rPr>
                  <w:rStyle w:val="Hyperlink"/>
                </w:rPr>
                <w:t xml:space="preserve">[11]</w:t>
              </w:r>
            </w:hyperlink>
          </w:p>
        </w:tc>
      </w:tr>
      <w:tr>
        <w:tc>
          <w:tcPr/>
          <w:p>
            <w:pPr>
              <w:pStyle w:val="Compact"/>
            </w:pPr>
            <w:r>
              <w:t xml:space="preserve">Build</w:t>
            </w:r>
          </w:p>
        </w:tc>
        <w:tc>
          <w:tcPr/>
          <w:p>
            <w:pPr>
              <w:pStyle w:val="Compact"/>
            </w:pPr>
            <w:r>
              <w:t xml:space="preserve">Gradle 9.4.0</w:t>
            </w:r>
          </w:p>
        </w:tc>
        <w:tc>
          <w:tcPr/>
          <w:p>
            <w:pPr>
              <w:pStyle w:val="Compact"/>
            </w:pPr>
            <w:r>
              <w:t xml:space="preserve">Version du 4 mars 2026. Spring Boot Gradle plugin supporte Gradle 8.14+ ou 9.x.</w:t>
            </w:r>
            <w:r>
              <w:t xml:space="preserve"> </w:t>
            </w:r>
            <w:hyperlink r:id="rId36">
              <w:r>
                <w:rPr>
                  <w:rStyle w:val="Hyperlink"/>
                </w:rPr>
                <w:t xml:space="preserve">[12]</w:t>
              </w:r>
            </w:hyperlink>
          </w:p>
        </w:tc>
      </w:tr>
      <w:tr>
        <w:tc>
          <w:tcPr/>
          <w:p>
            <w:pPr>
              <w:pStyle w:val="Compact"/>
            </w:pPr>
            <w:r>
              <w:t xml:space="preserve">DB</w:t>
            </w:r>
          </w:p>
        </w:tc>
        <w:tc>
          <w:tcPr/>
          <w:p>
            <w:pPr>
              <w:pStyle w:val="Compact"/>
            </w:pPr>
            <w:r>
              <w:t xml:space="preserve">Cloud SQL PostgreSQL 18</w:t>
            </w:r>
          </w:p>
        </w:tc>
        <w:tc>
          <w:tcPr/>
          <w:p>
            <w:pPr>
              <w:pStyle w:val="Compact"/>
            </w:pPr>
            <w:r>
              <w:t xml:space="preserve">PostgreSQL 18 est “default” sur Cloud SQL (18.1, 25 sept 2025) ; la minor est gérée par le service.</w:t>
            </w:r>
            <w:r>
              <w:t xml:space="preserve"> </w:t>
            </w:r>
            <w:hyperlink r:id="rId37">
              <w:r>
                <w:rPr>
                  <w:rStyle w:val="Hyperlink"/>
                </w:rPr>
                <w:t xml:space="preserve">[13]</w:t>
              </w:r>
            </w:hyperlink>
          </w:p>
        </w:tc>
      </w:tr>
      <w:tr>
        <w:tc>
          <w:tcPr/>
          <w:p>
            <w:pPr>
              <w:pStyle w:val="Compact"/>
            </w:pPr>
            <w:r>
              <w:t xml:space="preserve">API docs</w:t>
            </w:r>
          </w:p>
        </w:tc>
        <w:tc>
          <w:tcPr/>
          <w:p>
            <w:pPr>
              <w:pStyle w:val="Compact"/>
            </w:pPr>
            <w:r>
              <w:t xml:space="preserve">springdoc-openapi</w:t>
            </w:r>
          </w:p>
        </w:tc>
        <w:tc>
          <w:tcPr/>
          <w:p>
            <w:pPr>
              <w:pStyle w:val="Compact"/>
            </w:pPr>
            <w:r>
              <w:t xml:space="preserve">OpenAPI auto‑générée, contrats partageables avec front/Codex.</w:t>
            </w:r>
            <w:r>
              <w:t xml:space="preserve"> </w:t>
            </w:r>
            <w:hyperlink r:id="rId38">
              <w:r>
                <w:rPr>
                  <w:rStyle w:val="Hyperlink"/>
                </w:rPr>
                <w:t xml:space="preserve">[14]</w:t>
              </w:r>
            </w:hyperlink>
          </w:p>
        </w:tc>
      </w:tr>
      <w:tr>
        <w:tc>
          <w:tcPr/>
          <w:p>
            <w:pPr>
              <w:pStyle w:val="Compact"/>
            </w:pPr>
            <w:r>
              <w:t xml:space="preserve">Observabilité</w:t>
            </w:r>
          </w:p>
        </w:tc>
        <w:tc>
          <w:tcPr/>
          <w:p>
            <w:pPr>
              <w:pStyle w:val="Compact"/>
            </w:pPr>
            <w:r>
              <w:t xml:space="preserve">Spring Boot Actuator + OTEL</w:t>
            </w:r>
          </w:p>
        </w:tc>
        <w:tc>
          <w:tcPr/>
          <w:p>
            <w:pPr>
              <w:pStyle w:val="Compact"/>
            </w:pPr>
            <w:r>
              <w:t xml:space="preserve">Spring Boot décrit l’observabilité via Micrometer/OTel ; côté GCP on branche Cloud Monitoring/Logging/Trace.</w:t>
            </w:r>
            <w:r>
              <w:t xml:space="preserve"> </w:t>
            </w:r>
            <w:hyperlink r:id="rId39">
              <w:r>
                <w:rPr>
                  <w:rStyle w:val="Hyperlink"/>
                </w:rPr>
                <w:t xml:space="preserve">[15]</w:t>
              </w:r>
            </w:hyperlink>
          </w:p>
        </w:tc>
      </w:tr>
    </w:tbl>
    <w:bookmarkEnd w:id="40"/>
    <w:bookmarkStart w:id="46" w:name="choix-de-plateforme-dexécution"/>
    <w:p>
      <w:pPr>
        <w:pStyle w:val="Heading3"/>
      </w:pPr>
      <w:r>
        <w:t xml:space="preserve">Choix de plateforme d’exécution</w:t>
      </w:r>
    </w:p>
    <w:bookmarkStart w:id="42" w:name="option-recommandée-v1-cloud-run"/>
    <w:p>
      <w:pPr>
        <w:pStyle w:val="Heading4"/>
      </w:pPr>
      <w:r>
        <w:t xml:space="preserve">Option recommandée V1 : Cloud Run</w:t>
      </w:r>
    </w:p>
    <w:p>
      <w:pPr>
        <w:pStyle w:val="FirstParagraph"/>
      </w:pPr>
      <w:r>
        <w:t xml:space="preserve">Cloud Run est une plateforme fully managed pour exécuter du code / des conteneurs, et autoscale automatiquement les instances selon la demande.</w:t>
      </w:r>
      <w:r>
        <w:t xml:space="preserve"> </w:t>
      </w:r>
      <w:hyperlink r:id="rId22">
        <w:r>
          <w:rPr>
            <w:rStyle w:val="Hyperlink"/>
          </w:rPr>
          <w:t xml:space="preserve">[2]</w:t>
        </w:r>
      </w:hyperlink>
      <w:r>
        <w:br/>
      </w:r>
      <w:r>
        <w:t xml:space="preserve">La V1 y gagne :</w:t>
      </w:r>
      <w:r>
        <w:t xml:space="preserve"> </w:t>
      </w:r>
      <w:r>
        <w:t xml:space="preserve">- un déploiement simplifié (moins de surface ops),</w:t>
      </w:r>
      <w:r>
        <w:t xml:space="preserve"> </w:t>
      </w:r>
      <w:r>
        <w:t xml:space="preserve">- un scaling automatique “par défaut”,</w:t>
      </w:r>
      <w:r>
        <w:t xml:space="preserve"> </w:t>
      </w:r>
      <w:r>
        <w:t xml:space="preserve">- un modèle de coût cohérent pour une montée progressive.</w:t>
      </w:r>
    </w:p>
    <w:p>
      <w:pPr>
        <w:pStyle w:val="BodyText"/>
      </w:pPr>
      <w:r>
        <w:t xml:space="preserve">Cloud Run exécute les déploiements sous forme d’instances de conteneurs “sandboxed”.</w:t>
      </w:r>
      <w:r>
        <w:t xml:space="preserve"> </w:t>
      </w:r>
      <w:hyperlink r:id="rId41">
        <w:r>
          <w:rPr>
            <w:rStyle w:val="Hyperlink"/>
          </w:rPr>
          <w:t xml:space="preserve">[16]</w:t>
        </w:r>
      </w:hyperlink>
    </w:p>
    <w:bookmarkEnd w:id="42"/>
    <w:bookmarkStart w:id="45" w:name="option-scale-contrôle-gke-autopilot"/>
    <w:p>
      <w:pPr>
        <w:pStyle w:val="Heading4"/>
      </w:pPr>
      <w:r>
        <w:t xml:space="preserve">Option “scale / contrôle” : GKE Autopilot</w:t>
      </w:r>
    </w:p>
    <w:p>
      <w:pPr>
        <w:pStyle w:val="FirstParagraph"/>
      </w:pPr>
      <w:r>
        <w:t xml:space="preserve">GKE Autopilot est un mode où Google gère la configuration d’infrastructure (nœuds, scaling, sécurité, etc.) et provisionne les ressources sur la base des manifests.</w:t>
      </w:r>
      <w:r>
        <w:t xml:space="preserve"> </w:t>
      </w:r>
      <w:hyperlink r:id="rId43">
        <w:r>
          <w:rPr>
            <w:rStyle w:val="Hyperlink"/>
          </w:rPr>
          <w:t xml:space="preserve">[17]</w:t>
        </w:r>
      </w:hyperlink>
      <w:r>
        <w:br/>
      </w:r>
      <w:r>
        <w:t xml:space="preserve">GKE Autopilot est toujours “regional” (haute dispo) ; un cluster régional réplique le control plane et les nodes sur plusieurs zones.</w:t>
      </w:r>
      <w:r>
        <w:t xml:space="preserve"> </w:t>
      </w:r>
      <w:hyperlink r:id="rId44">
        <w:r>
          <w:rPr>
            <w:rStyle w:val="Hyperlink"/>
          </w:rPr>
          <w:t xml:space="preserve">[18]</w:t>
        </w:r>
      </w:hyperlink>
    </w:p>
    <w:p>
      <w:pPr>
        <w:pStyle w:val="BodyText"/>
      </w:pPr>
      <w:r>
        <w:rPr>
          <w:b/>
          <w:bCs/>
        </w:rPr>
        <w:t xml:space="preserve">Recommandation pragmatique</w:t>
      </w:r>
      <w:r>
        <w:t xml:space="preserve"> </w:t>
      </w:r>
      <w:r>
        <w:t xml:space="preserve">: Cloud Run pour V1, migration vers GKE Autopilot uniquement si tu as besoin de fonctionnalités K8s spécifiques (service mesh, workloads stateful complexes, sidecars fins, GPU multi‑tenant, scheduling avancé).</w:t>
      </w:r>
    </w:p>
    <w:bookmarkEnd w:id="45"/>
    <w:bookmarkEnd w:id="46"/>
    <w:bookmarkStart w:id="55" w:name="architecture-cloud-cible-v1"/>
    <w:p>
      <w:pPr>
        <w:pStyle w:val="Heading3"/>
      </w:pPr>
      <w:r>
        <w:t xml:space="preserve">Architecture cloud cible (V1)</w:t>
      </w:r>
    </w:p>
    <w:p>
      <w:pPr>
        <w:pStyle w:val="Compact"/>
        <w:numPr>
          <w:ilvl w:val="0"/>
          <w:numId w:val="1003"/>
        </w:numPr>
      </w:pPr>
      <w:r>
        <w:t xml:space="preserve">Région Suisse :</w:t>
      </w:r>
      <w:r>
        <w:t xml:space="preserve"> </w:t>
      </w:r>
      <w:r>
        <w:rPr>
          <w:rStyle w:val="VerbatimChar"/>
        </w:rPr>
        <w:t xml:space="preserve">europe-west6</w:t>
      </w:r>
      <w:r>
        <w:t xml:space="preserve"> </w:t>
      </w:r>
      <w:r>
        <w:t xml:space="preserve">(Zurich) pour proximité/facteurs de souveraineté. La doc des régions/zones mentionne explicitement Zurich (europe-west6).</w:t>
      </w:r>
      <w:r>
        <w:t xml:space="preserve"> </w:t>
      </w:r>
      <w:hyperlink r:id="rId47">
        <w:r>
          <w:rPr>
            <w:rStyle w:val="Hyperlink"/>
          </w:rPr>
          <w:t xml:space="preserve">[19]</w:t>
        </w:r>
      </w:hyperlink>
    </w:p>
    <w:p>
      <w:pPr>
        <w:pStyle w:val="Compact"/>
        <w:numPr>
          <w:ilvl w:val="0"/>
          <w:numId w:val="1003"/>
        </w:numPr>
      </w:pPr>
      <w:r>
        <w:t xml:space="preserve">Base : Cloud SQL PostgreSQL (PostgreSQL 18).</w:t>
      </w:r>
      <w:r>
        <w:t xml:space="preserve"> </w:t>
      </w:r>
      <w:hyperlink r:id="rId37">
        <w:r>
          <w:rPr>
            <w:rStyle w:val="Hyperlink"/>
          </w:rPr>
          <w:t xml:space="preserve">[20]</w:t>
        </w:r>
      </w:hyperlink>
    </w:p>
    <w:p>
      <w:pPr>
        <w:pStyle w:val="Compact"/>
        <w:numPr>
          <w:ilvl w:val="0"/>
          <w:numId w:val="1003"/>
        </w:numPr>
      </w:pPr>
      <w:r>
        <w:t xml:space="preserve">Documents : Cloud Storage (bucket régional Zurich si possible) + URLs signées (lecture/écriture) pour accès time‑bound aux pièces. Les URLs signées donnent un accès limité dans le temps à une ressource.</w:t>
      </w:r>
      <w:r>
        <w:t xml:space="preserve"> </w:t>
      </w:r>
      <w:hyperlink r:id="rId48">
        <w:r>
          <w:rPr>
            <w:rStyle w:val="Hyperlink"/>
          </w:rPr>
          <w:t xml:space="preserve">[21]</w:t>
        </w:r>
      </w:hyperlink>
    </w:p>
    <w:p>
      <w:pPr>
        <w:pStyle w:val="Compact"/>
        <w:numPr>
          <w:ilvl w:val="0"/>
          <w:numId w:val="1003"/>
        </w:numPr>
      </w:pPr>
      <w:r>
        <w:t xml:space="preserve">Secrets : Secret Manager pour stocker les secrets applicatifs (API keys, mots de passe DB si nécessaire, etc.).</w:t>
      </w:r>
      <w:r>
        <w:t xml:space="preserve"> </w:t>
      </w:r>
      <w:hyperlink r:id="rId49">
        <w:r>
          <w:rPr>
            <w:rStyle w:val="Hyperlink"/>
          </w:rPr>
          <w:t xml:space="preserve">[22]</w:t>
        </w:r>
      </w:hyperlink>
    </w:p>
    <w:p>
      <w:pPr>
        <w:pStyle w:val="Compact"/>
        <w:numPr>
          <w:ilvl w:val="0"/>
          <w:numId w:val="1003"/>
        </w:numPr>
      </w:pPr>
      <w:r>
        <w:t xml:space="preserve">Important : la doc IAM recommande de ne pas stocker des clés de service accounts dans Secret Manager ; si ton workload a déjà une identité GCP, il doit l’utiliser plutôt que des clés.</w:t>
      </w:r>
      <w:r>
        <w:t xml:space="preserve"> </w:t>
      </w:r>
      <w:hyperlink r:id="rId50">
        <w:r>
          <w:rPr>
            <w:rStyle w:val="Hyperlink"/>
          </w:rPr>
          <w:t xml:space="preserve">[23]</w:t>
        </w:r>
      </w:hyperlink>
    </w:p>
    <w:p>
      <w:pPr>
        <w:pStyle w:val="Compact"/>
        <w:numPr>
          <w:ilvl w:val="0"/>
          <w:numId w:val="1003"/>
        </w:numPr>
      </w:pPr>
      <w:r>
        <w:t xml:space="preserve">Identité runtime :</w:t>
      </w:r>
    </w:p>
    <w:p>
      <w:pPr>
        <w:pStyle w:val="Compact"/>
        <w:numPr>
          <w:ilvl w:val="0"/>
          <w:numId w:val="1003"/>
        </w:numPr>
      </w:pPr>
      <w:r>
        <w:t xml:space="preserve">Cloud Run : service identity (service account) pour appeler les APIs GCP ; Cloud Run documente les identités de service.</w:t>
      </w:r>
      <w:r>
        <w:t xml:space="preserve"> </w:t>
      </w:r>
      <w:hyperlink r:id="rId51">
        <w:r>
          <w:rPr>
            <w:rStyle w:val="Hyperlink"/>
          </w:rPr>
          <w:t xml:space="preserve">[24]</w:t>
        </w:r>
      </w:hyperlink>
    </w:p>
    <w:p>
      <w:pPr>
        <w:pStyle w:val="Compact"/>
        <w:numPr>
          <w:ilvl w:val="0"/>
          <w:numId w:val="1003"/>
        </w:numPr>
      </w:pPr>
      <w:r>
        <w:t xml:space="preserve">GKE : Workload Identity Federation for GKE pour éviter les clés longues durées et donner des identités fines aux workloads.</w:t>
      </w:r>
      <w:r>
        <w:t xml:space="preserve"> </w:t>
      </w:r>
      <w:hyperlink r:id="rId52">
        <w:r>
          <w:rPr>
            <w:rStyle w:val="Hyperlink"/>
          </w:rPr>
          <w:t xml:space="preserve">[25]</w:t>
        </w:r>
      </w:hyperlink>
    </w:p>
    <w:p>
      <w:pPr>
        <w:pStyle w:val="Compact"/>
        <w:numPr>
          <w:ilvl w:val="0"/>
          <w:numId w:val="1003"/>
        </w:numPr>
      </w:pPr>
      <w:r>
        <w:t xml:space="preserve">CI/CD : Cloud Build (build des images) + Artifact Registry (stockage images) + déploiement Cloud Run/GKE. Cloud Build peut exécuter des builds et produire des artefacts (conteneurs), Artifact Registry stocke images OCI/Docker.</w:t>
      </w:r>
      <w:r>
        <w:t xml:space="preserve"> </w:t>
      </w:r>
      <w:hyperlink r:id="rId53">
        <w:r>
          <w:rPr>
            <w:rStyle w:val="Hyperlink"/>
          </w:rPr>
          <w:t xml:space="preserve">[26]</w:t>
        </w:r>
      </w:hyperlink>
    </w:p>
    <w:p>
      <w:pPr>
        <w:pStyle w:val="Compact"/>
        <w:numPr>
          <w:ilvl w:val="0"/>
          <w:numId w:val="1003"/>
        </w:numPr>
      </w:pPr>
      <w:r>
        <w:t xml:space="preserve">Observabilité : Google Cloud Observability (Cloud Logging/Monitoring/Trace) + Actuator/Micrometer/OTel exporter. La suite Observability (Logging/Monitoring/Trace) est conçue pour monitorer et réduire la latence via APM.</w:t>
      </w:r>
      <w:r>
        <w:t xml:space="preserve"> </w:t>
      </w:r>
      <w:hyperlink r:id="rId54">
        <w:r>
          <w:rPr>
            <w:rStyle w:val="Hyperlink"/>
          </w:rPr>
          <w:t xml:space="preserve">[27]</w:t>
        </w:r>
      </w:hyperlink>
    </w:p>
    <w:bookmarkEnd w:id="55"/>
    <w:bookmarkStart w:id="58" w:name="connexion-applicative-à-cloud-sql"/>
    <w:p>
      <w:pPr>
        <w:pStyle w:val="Heading3"/>
      </w:pPr>
      <w:r>
        <w:t xml:space="preserve">Connexion applicative à Cloud SQL</w:t>
      </w:r>
    </w:p>
    <w:p>
      <w:pPr>
        <w:pStyle w:val="FirstParagraph"/>
      </w:pPr>
      <w:r>
        <w:t>Pour Cloud Run  /  Cloud SQL, Google documente le flux de connexion et indique que pour Java, on peut utiliser le “Java Cloud SQL Connector”. [28]</w:t>
        <w:br/>
      </w:r>
      <w:r>
        <w:t>Ce connecteur apporte une autorisation IAM + chiffrement, mais ne crée pas à lui seul la “network path” si elle n’existe pas ; il faut donc une connectivité réseau adéquate (VPC, etc.). [29]</w:t>
      </w:r>
    </w:p>
    <w:bookmarkEnd w:id="58"/>
    <w:bookmarkStart w:id="62" w:name="data-protection-et-dr-cloud-sql"/>
    <w:p>
      <w:pPr>
        <w:pStyle w:val="Heading3"/>
      </w:pPr>
      <w:r>
        <w:t xml:space="preserve">Data protection et DR (Cloud SQL)</w:t>
      </w:r>
    </w:p>
    <w:p>
      <w:pPr>
        <w:pStyle w:val="FirstParagraph"/>
      </w:pPr>
      <w:r>
        <w:t xml:space="preserve">Pour la prod, Cloud SQL recommande de sélectionner la haute disponibilité régionale (“High availability (regional)”) pour les instances de production.</w:t>
      </w:r>
      <w:r>
        <w:t xml:space="preserve"> </w:t>
      </w:r>
      <w:hyperlink r:id="rId59">
        <w:r>
          <w:rPr>
            <w:rStyle w:val="Hyperlink"/>
          </w:rPr>
          <w:t xml:space="preserve">[30]</w:t>
        </w:r>
      </w:hyperlink>
      <w:r>
        <w:br/>
      </w:r>
      <w:r>
        <w:t xml:space="preserve">Cloud SQL supporte la PITR (Point‑In‑Time Recovery) et permet de configurer des jours de logs retenus (ex. 1–7 jours en Enterprise, 1–35 jours en Enterprise Plus).</w:t>
      </w:r>
      <w:r>
        <w:t xml:space="preserve"> </w:t>
      </w:r>
      <w:hyperlink r:id="rId60">
        <w:r>
          <w:rPr>
            <w:rStyle w:val="Hyperlink"/>
          </w:rPr>
          <w:t xml:space="preserve">[31]</w:t>
        </w:r>
      </w:hyperlink>
      <w:r>
        <w:br/>
      </w:r>
      <w:r>
        <w:t xml:space="preserve">Le doc “Configure HA” indique qu’une instance configurée en HA est créée comme une instance régionale.</w:t>
      </w:r>
      <w:r>
        <w:t xml:space="preserve"> </w:t>
      </w:r>
      <w:hyperlink r:id="rId61">
        <w:r>
          <w:rPr>
            <w:rStyle w:val="Hyperlink"/>
          </w:rPr>
          <w:t xml:space="preserve">[32]</w:t>
        </w:r>
      </w:hyperlink>
    </w:p>
    <w:bookmarkEnd w:id="62"/>
    <w:bookmarkEnd w:id="63"/>
    <w:bookmarkStart w:id="69" w:name="layout-repo-et-gouvernance-modulaire"/>
    <w:p>
      <w:pPr>
        <w:pStyle w:val="Heading2"/>
      </w:pPr>
      <w:r>
        <w:t xml:space="preserve">Layout repo et gouvernance modulaire</w:t>
      </w:r>
    </w:p>
    <w:bookmarkStart w:id="66" w:name="X07a440e449d7dabf58e095f7e9cb031df2baeda"/>
    <w:p>
      <w:pPr>
        <w:pStyle w:val="Heading3"/>
      </w:pPr>
      <w:r>
        <w:t xml:space="preserve">Choix recommandé : Spring Modulith en premier, sous‑modules Gradle ensuite (si besoin)</w:t>
      </w:r>
    </w:p>
    <w:p>
      <w:pPr>
        <w:pStyle w:val="FirstParagraph"/>
      </w:pPr>
      <w:r>
        <w:t xml:space="preserve">Spring Modulith fournit plusieurs bénéfices directement alignés sur ton exigence “béton” : validation structurelle, documentation, tests de modules isolés, observation des interactions.</w:t>
      </w:r>
      <w:r>
        <w:t xml:space="preserve"> </w:t>
      </w:r>
      <w:hyperlink r:id="rId25">
        <w:r>
          <w:rPr>
            <w:rStyle w:val="Hyperlink"/>
          </w:rPr>
          <w:t xml:space="preserve">[33]</w:t>
        </w:r>
      </w:hyperlink>
      <w:r>
        <w:br/>
      </w:r>
      <w:r>
        <w:t xml:space="preserve">Il permet de “commencer simple et évoluer vers des moyens plus sophistiqués” au fur et à mesure.</w:t>
      </w:r>
      <w:r>
        <w:t xml:space="preserve"> </w:t>
      </w:r>
      <w:hyperlink r:id="rId25">
        <w:r>
          <w:rPr>
            <w:rStyle w:val="Hyperlink"/>
          </w:rPr>
          <w:t xml:space="preserve">[34]</w:t>
        </w:r>
      </w:hyperlink>
    </w:p>
    <w:p>
      <w:pPr>
        <w:pStyle w:val="BodyText"/>
      </w:pPr>
      <w:r>
        <w:t xml:space="preserve">La vérification est explicite :</w:t>
      </w:r>
      <w:r>
        <w:t xml:space="preserve"> </w:t>
      </w:r>
      <w:r>
        <w:rPr>
          <w:rStyle w:val="VerbatimChar"/>
        </w:rPr>
        <w:t xml:space="preserve">ApplicationModules.of(Application.class).verify()</w:t>
      </w:r>
      <w:r>
        <w:t xml:space="preserve"> </w:t>
      </w:r>
      <w:r>
        <w:t xml:space="preserve">est la méthode recommandée pour garantir que l’arrangement respecte les contraintes (pas de cycles, etc.).</w:t>
      </w:r>
      <w:r>
        <w:t xml:space="preserve"> </w:t>
      </w:r>
      <w:hyperlink r:id="rId64">
        <w:r>
          <w:rPr>
            <w:rStyle w:val="Hyperlink"/>
          </w:rPr>
          <w:t xml:space="preserve">[35]</w:t>
        </w:r>
      </w:hyperlink>
      <w:r>
        <w:br/>
      </w:r>
      <w:r>
        <w:t xml:space="preserve">Tu peux aussi activer une vérification runtime au démarrage via</w:t>
      </w:r>
      <w:r>
        <w:t xml:space="preserve"> </w:t>
      </w:r>
      <w:r>
        <w:rPr>
          <w:rStyle w:val="VerbatimChar"/>
        </w:rPr>
        <w:t xml:space="preserve">spring.modulith.runtime.verification-enabled=true</w:t>
      </w:r>
      <w:r>
        <w:t xml:space="preserve">.</w:t>
      </w:r>
      <w:r>
        <w:t xml:space="preserve"> </w:t>
      </w:r>
      <w:hyperlink r:id="rId65">
        <w:r>
          <w:rPr>
            <w:rStyle w:val="Hyperlink"/>
          </w:rPr>
          <w:t xml:space="preserve">[36]</w:t>
        </w:r>
      </w:hyperlink>
    </w:p>
    <w:bookmarkEnd w:id="66"/>
    <w:bookmarkStart w:id="67" w:name="layout-backend-recommandé"/>
    <w:p>
      <w:pPr>
        <w:pStyle w:val="Heading3"/>
      </w:pPr>
      <w:r>
        <w:t xml:space="preserve">Layout backend recommandé</w:t>
      </w:r>
    </w:p>
    <w:p>
      <w:pPr>
        <w:pStyle w:val="Compact"/>
        <w:numPr>
          <w:ilvl w:val="0"/>
          <w:numId w:val="1004"/>
        </w:numPr>
      </w:pPr>
      <w:r>
        <w:t xml:space="preserve">Un seul projet Gradle (au départ), modules par packages.</w:t>
      </w:r>
    </w:p>
    <w:p>
      <w:pPr>
        <w:pStyle w:val="Compact"/>
        <w:numPr>
          <w:ilvl w:val="0"/>
          <w:numId w:val="1004"/>
        </w:numPr>
      </w:pPr>
      <w:r>
        <w:t xml:space="preserve">APIs inter‑modules via interfaces</w:t>
      </w:r>
      <w:r>
        <w:t xml:space="preserve"> </w:t>
      </w:r>
      <w:r>
        <w:rPr>
          <w:rStyle w:val="VerbatimChar"/>
        </w:rPr>
        <w:t xml:space="preserve">…api</w:t>
      </w:r>
      <w:r>
        <w:t xml:space="preserve"> </w:t>
      </w:r>
      <w:r>
        <w:t xml:space="preserve">ou</w:t>
      </w:r>
      <w:r>
        <w:t xml:space="preserve"> </w:t>
      </w:r>
      <w:r>
        <w:rPr>
          <w:rStyle w:val="VerbatimChar"/>
        </w:rPr>
        <w:t xml:space="preserve">@NamedInterface</w:t>
      </w:r>
      <w:r>
        <w:t xml:space="preserve">.</w:t>
      </w:r>
    </w:p>
    <w:p>
      <w:pPr>
        <w:pStyle w:val="Compact"/>
        <w:numPr>
          <w:ilvl w:val="0"/>
          <w:numId w:val="1004"/>
        </w:numPr>
      </w:pPr>
      <w:r>
        <w:t xml:space="preserve">Interactions “faibles” via application events (pattern modulith).</w:t>
      </w:r>
      <w:r>
        <w:t xml:space="preserve"> </w:t>
      </w:r>
      <w:hyperlink r:id="rId26">
        <w:r>
          <w:rPr>
            <w:rStyle w:val="Hyperlink"/>
          </w:rPr>
          <w:t xml:space="preserve">[4]</w:t>
        </w:r>
      </w:hyperlink>
    </w:p>
    <w:p>
      <w:pPr>
        <w:pStyle w:val="FirstParagraph"/>
      </w:pPr>
      <w:r>
        <w:t xml:space="preserve">Proposition :</w:t>
      </w:r>
    </w:p>
    <w:p>
      <w:pPr>
        <w:pStyle w:val="Compact"/>
        <w:numPr>
          <w:ilvl w:val="0"/>
          <w:numId w:val="1005"/>
        </w:numPr>
      </w:pPr>
      <w:r>
        <w:rPr>
          <w:rStyle w:val="VerbatimChar"/>
        </w:rPr>
        <w:t xml:space="preserve">identity</w:t>
      </w:r>
      <w:r>
        <w:t xml:space="preserve"> </w:t>
      </w:r>
      <w:r>
        <w:t xml:space="preserve">(tenant, users, roles, auth)</w:t>
      </w:r>
    </w:p>
    <w:p>
      <w:pPr>
        <w:pStyle w:val="Compact"/>
        <w:numPr>
          <w:ilvl w:val="0"/>
          <w:numId w:val="1005"/>
        </w:numPr>
      </w:pPr>
      <w:r>
        <w:rPr>
          <w:rStyle w:val="VerbatimChar"/>
        </w:rPr>
        <w:t xml:space="preserve">closing</w:t>
      </w:r>
      <w:r>
        <w:t xml:space="preserve"> </w:t>
      </w:r>
      <w:r>
        <w:t xml:space="preserve">(dossier, période, statuts)</w:t>
      </w:r>
    </w:p>
    <w:p>
      <w:pPr>
        <w:pStyle w:val="Compact"/>
        <w:numPr>
          <w:ilvl w:val="0"/>
          <w:numId w:val="1005"/>
        </w:numPr>
      </w:pPr>
      <w:r>
        <w:rPr>
          <w:rStyle w:val="VerbatimChar"/>
        </w:rPr>
        <w:t xml:space="preserve">imports</w:t>
      </w:r>
      <w:r>
        <w:t xml:space="preserve"> </w:t>
      </w:r>
      <w:r>
        <w:t xml:space="preserve">(balance, versions)</w:t>
      </w:r>
    </w:p>
    <w:p>
      <w:pPr>
        <w:pStyle w:val="Compact"/>
        <w:numPr>
          <w:ilvl w:val="0"/>
          <w:numId w:val="1005"/>
        </w:numPr>
      </w:pPr>
      <w:r>
        <w:t>mapping (compte -&gt; rubrique)</w:t>
      </w:r>
    </w:p>
    <w:p>
      <w:pPr>
        <w:pStyle w:val="Compact"/>
        <w:numPr>
          <w:ilvl w:val="0"/>
          <w:numId w:val="1005"/>
        </w:numPr>
      </w:pPr>
      <w:r>
        <w:rPr>
          <w:rStyle w:val="VerbatimChar"/>
        </w:rPr>
        <w:t xml:space="preserve">financials</w:t>
      </w:r>
      <w:r>
        <w:t xml:space="preserve"> </w:t>
      </w:r>
      <w:r>
        <w:t xml:space="preserve">(EF, calculs)</w:t>
      </w:r>
    </w:p>
    <w:p>
      <w:pPr>
        <w:pStyle w:val="Compact"/>
        <w:numPr>
          <w:ilvl w:val="0"/>
          <w:numId w:val="1005"/>
        </w:numPr>
      </w:pPr>
      <w:r>
        <w:rPr>
          <w:rStyle w:val="VerbatimChar"/>
        </w:rPr>
        <w:t xml:space="preserve">workpapers</w:t>
      </w:r>
      <w:r>
        <w:t xml:space="preserve"> </w:t>
      </w:r>
      <w:r>
        <w:t xml:space="preserve">(notes, justificatifs)</w:t>
      </w:r>
    </w:p>
    <w:p>
      <w:pPr>
        <w:pStyle w:val="Compact"/>
        <w:numPr>
          <w:ilvl w:val="0"/>
          <w:numId w:val="1005"/>
        </w:numPr>
      </w:pPr>
      <w:r>
        <w:rPr>
          <w:rStyle w:val="VerbatimChar"/>
        </w:rPr>
        <w:t xml:space="preserve">controls</w:t>
      </w:r>
      <w:r>
        <w:t xml:space="preserve"> </w:t>
      </w:r>
      <w:r>
        <w:t xml:space="preserve">(contrôles déterministes, alertes)</w:t>
      </w:r>
    </w:p>
    <w:p>
      <w:pPr>
        <w:pStyle w:val="Compact"/>
        <w:numPr>
          <w:ilvl w:val="0"/>
          <w:numId w:val="1005"/>
        </w:numPr>
      </w:pPr>
      <w:r>
        <w:rPr>
          <w:rStyle w:val="VerbatimChar"/>
        </w:rPr>
        <w:t xml:space="preserve">exports</w:t>
      </w:r>
      <w:r>
        <w:t xml:space="preserve"> </w:t>
      </w:r>
      <w:r>
        <w:t xml:space="preserve">(pdf/xlsx/pack)</w:t>
      </w:r>
    </w:p>
    <w:p>
      <w:pPr>
        <w:pStyle w:val="Compact"/>
        <w:numPr>
          <w:ilvl w:val="0"/>
          <w:numId w:val="1005"/>
        </w:numPr>
      </w:pPr>
      <w:r>
        <w:rPr>
          <w:rStyle w:val="VerbatimChar"/>
        </w:rPr>
        <w:t xml:space="preserve">ai</w:t>
      </w:r>
      <w:r>
        <w:t xml:space="preserve"> </w:t>
      </w:r>
      <w:r>
        <w:t xml:space="preserve">(ports + impl)</w:t>
      </w:r>
    </w:p>
    <w:p>
      <w:pPr>
        <w:pStyle w:val="Compact"/>
        <w:numPr>
          <w:ilvl w:val="0"/>
          <w:numId w:val="1005"/>
        </w:numPr>
      </w:pPr>
      <w:r>
        <w:rPr>
          <w:rStyle w:val="VerbatimChar"/>
        </w:rPr>
        <w:t xml:space="preserve">shared</w:t>
      </w:r>
      <w:r>
        <w:t xml:space="preserve"> </w:t>
      </w:r>
      <w:r>
        <w:t xml:space="preserve">(audit, errors, tenancy context, dtos communs)</w:t>
      </w:r>
    </w:p>
    <w:bookmarkEnd w:id="67"/>
    <w:bookmarkStart w:id="68" w:name="quand-passer-à-des-sousmodules-gradle"/>
    <w:p>
      <w:pPr>
        <w:pStyle w:val="Heading3"/>
      </w:pPr>
      <w:r>
        <w:t xml:space="preserve">Quand passer à des sous‑modules Gradle</w:t>
      </w:r>
    </w:p>
    <w:p>
      <w:pPr>
        <w:pStyle w:val="FirstParagraph"/>
      </w:pPr>
      <w:r>
        <w:t xml:space="preserve">Garde Modulith tant que :</w:t>
      </w:r>
      <w:r>
        <w:t xml:space="preserve"> </w:t>
      </w:r>
      <w:r>
        <w:t xml:space="preserve">- le build CI reste raisonnable,</w:t>
      </w:r>
      <w:r>
        <w:t xml:space="preserve"> </w:t>
      </w:r>
      <w:r>
        <w:t xml:space="preserve">- l’équipe est compacte,</w:t>
      </w:r>
      <w:r>
        <w:t xml:space="preserve"> </w:t>
      </w:r>
      <w:r>
        <w:t xml:space="preserve">- l’extraction microservice n’est pas imminente.</w:t>
      </w:r>
    </w:p>
    <w:p>
      <w:pPr>
        <w:pStyle w:val="BodyText"/>
      </w:pPr>
      <w:r>
        <w:t xml:space="preserve">Passe en multi‑modules Gradle si :</w:t>
      </w:r>
      <w:r>
        <w:t xml:space="preserve"> </w:t>
      </w:r>
      <w:r>
        <w:t xml:space="preserve">- build trop lent malgré caching,</w:t>
      </w:r>
      <w:r>
        <w:t xml:space="preserve"> </w:t>
      </w:r>
      <w:r>
        <w:t xml:space="preserve">- ownership très cloisonné,</w:t>
      </w:r>
      <w:r>
        <w:t xml:space="preserve"> </w:t>
      </w:r>
      <w:r>
        <w:t xml:space="preserve">- packaging distinct (ex. un module “exports” doit scaler/être déployé séparément),</w:t>
      </w:r>
      <w:r>
        <w:t xml:space="preserve"> </w:t>
      </w:r>
      <w:r>
        <w:t xml:space="preserve">- extraction planifiée.</w:t>
      </w:r>
    </w:p>
    <w:bookmarkEnd w:id="68"/>
    <w:bookmarkEnd w:id="69"/>
    <w:bookmarkStart w:id="74" w:name="X4cf91c23bd35e033d9a65107a2ea9dea1b5ffff"/>
    <w:p>
      <w:pPr>
        <w:pStyle w:val="Heading2"/>
      </w:pPr>
      <w:r>
        <w:t>Roadmap réalignée sur la V1 exécutable</w:t>
      </w:r>
    </w:p>
    <w:p>
      <w:pPr>
        <w:pStyle w:val="FirstParagraph"/>
      </w:pPr>
      <w:r>
        <w:t>Hypothèses : le repo n’est plus à l’étape bootstrap. Les fondations, l’identité/tenancy/audit, l’import versionné et le mapping manuel constituent l’état courant. La séquence utile à partir d’ici devient : Controls/readiness, puis vagues ultérieures selon arbitrage produit.</w:t>
      </w:r>
    </w:p>
    <w:bookmarkStart w:id="70" w:name="timeline-mermaid"/>
    <w:p>
      <w:pPr>
        <w:pStyle w:val="Heading3"/>
      </w:pPr>
      <w:r>
        <w:t xml:space="preserve">Timeline mermaid</w:t>
      </w:r>
    </w:p>
    <w:p>
      <w:pPr>
        <w:pStyle w:val="SourceCode"/>
      </w:pPr>
      <w:r>
        <w:t>timeline</w:t>
        <w:br/>
      </w:r>
      <w:r>
        <w:t xml:space="preserve">    title V1 exécutable et vagues suivantes</w:t>
        <w:br/>
      </w:r>
      <w:r>
        <w:t xml:space="preserve">    2026-03 : Foundation + Slice A done/aligned (repo, CI/CD, tenancy, audit, closing)</w:t>
        <w:br/>
      </w:r>
      <w:r>
        <w:t xml:space="preserve">    2026-03 : Slice B done/aligned (import balance versionné)</w:t>
        <w:br/>
      </w:r>
      <w:r>
        <w:t xml:space="preserve">    2026-03 : Slice C done/aligned (mapping manuel sur dernier import)</w:t>
        <w:br/>
      </w:r>
      <w:r>
        <w:t xml:space="preserve">    Next : Slice D (controls/readiness déterministes)</w:t>
        <w:br/>
      </w:r>
      <w:r>
        <w:t xml:space="preserve">    Later : Slice E (financials / restitutions structurées)</w:t>
        <w:br/>
      </w:r>
      <w:r>
        <w:t xml:space="preserve">    Later : Slice F (workpapers, annexe, compliance enrichie)</w:t>
        <w:br/>
      </w:r>
      <w:r>
        <w:t xml:space="preserve">    Later : Slice G (exports finalisés, pack audit-ready)</w:t>
        <w:br/>
      </w:r>
      <w:r>
        <w:t xml:space="preserve">    Later : Slice H (IA-1 : mapping assisté evidence-first)</w:t>
        <w:br/>
      </w:r>
      <w:r>
        <w:t xml:space="preserve">    Hardening : RLS ciblée, MFA élargie, observabilité et security uplift</w:t>
      </w:r>
    </w:p>
    <w:bookmarkEnd w:id="70"/>
    <w:bookmarkStart w:id="73" w:name="plan-sprint-par-sprint"/>
    <w:p>
      <w:pPr>
        <w:pStyle w:val="Heading3"/>
      </w:pPr>
      <w:r>
        <w:t xml:space="preserve">Plan sprint par sprint</w:t>
      </w:r>
    </w:p>
    <w:tbl>
      <w:tblPr>
        <w:tblStyle w:val="Table"/>
        <w:tblW w:type="auto" w:w="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tcW w:type="dxa" w:w="1440"/>
            <w:vAlign w:val="center"/>
          </w:tcPr>
          <w:p>
            <w:pPr>
              <w:pStyle w:val="Compact"/>
              <w:jc w:val="center"/>
            </w:pPr>
            <w:r>
              <w:rPr>
                <w:b/>
                <w:sz w:val="18"/>
              </w:rPr>
              <w:t>Vague</w:t>
            </w:r>
          </w:p>
        </w:tc>
        <w:tc>
          <w:tcPr>
            <w:tcW w:type="dxa" w:w="2088"/>
            <w:vAlign w:val="center"/>
          </w:tcPr>
          <w:p>
            <w:pPr>
              <w:pStyle w:val="Compact"/>
              <w:jc w:val="center"/>
            </w:pPr>
            <w:r>
              <w:rPr>
                <w:b/>
                <w:sz w:val="18"/>
              </w:rPr>
              <w:t>Livrable</w:t>
            </w:r>
          </w:p>
        </w:tc>
        <w:tc>
          <w:tcPr>
            <w:tcW w:type="dxa" w:w="2232"/>
            <w:vAlign w:val="center"/>
          </w:tcPr>
          <w:p>
            <w:pPr>
              <w:pStyle w:val="Compact"/>
              <w:jc w:val="center"/>
            </w:pPr>
            <w:r>
              <w:rPr>
                <w:b/>
                <w:sz w:val="18"/>
              </w:rPr>
              <w:t>Contenu</w:t>
            </w:r>
          </w:p>
        </w:tc>
        <w:tc>
          <w:tcPr>
            <w:tcW w:type="dxa" w:w="2232"/>
            <w:vAlign w:val="center"/>
          </w:tcPr>
          <w:p>
            <w:pPr>
              <w:pStyle w:val="Compact"/>
              <w:jc w:val="center"/>
            </w:pPr>
            <w:r>
              <w:rPr>
                <w:b/>
                <w:sz w:val="18"/>
              </w:rPr>
              <w:t>Acceptation</w:t>
            </w:r>
          </w:p>
        </w:tc>
        <w:tc>
          <w:tcPr>
            <w:tcW w:type="dxa" w:w="1728"/>
            <w:vAlign w:val="center"/>
          </w:tcPr>
          <w:p>
            <w:pPr>
              <w:pStyle w:val="Compact"/>
              <w:jc w:val="center"/>
            </w:pPr>
            <w:r>
              <w:rPr>
                <w:b/>
                <w:sz w:val="18"/>
              </w:rPr>
              <w:t>Tests</w:t>
            </w:r>
          </w:p>
        </w:tc>
        <w:tc>
          <w:tcPr>
            <w:tcW w:type="dxa" w:w="1296"/>
            <w:vAlign w:val="center"/>
          </w:tcPr>
          <w:p>
            <w:pPr>
              <w:pStyle w:val="Compact"/>
              <w:jc w:val="center"/>
            </w:pPr>
            <w:r>
              <w:rPr>
                <w:b/>
                <w:sz w:val="18"/>
              </w:rPr>
              <w:t>Statut</w:t>
            </w:r>
          </w:p>
        </w:tc>
      </w:tr>
      <w:tr>
        <w:tc>
          <w:tcPr>
            <w:tcW w:type="dxa" w:w="1440"/>
            <w:vAlign w:val="center"/>
          </w:tcPr>
          <w:p>
            <w:pPr>
              <w:pStyle w:val="Compact"/>
              <w:jc w:val="left"/>
            </w:pPr>
            <w:r>
              <w:rPr>
                <w:sz w:val="18"/>
              </w:rPr>
              <w:t>Foundation</w:t>
            </w:r>
          </w:p>
        </w:tc>
        <w:tc>
          <w:tcPr>
            <w:tcW w:type="dxa" w:w="2088"/>
            <w:vAlign w:val="center"/>
          </w:tcPr>
          <w:p>
            <w:pPr>
              <w:pStyle w:val="Compact"/>
              <w:jc w:val="left"/>
            </w:pPr>
            <w:r>
              <w:rPr>
                <w:sz w:val="18"/>
              </w:rPr>
              <w:t>Repo + plateforme</w:t>
            </w:r>
          </w:p>
        </w:tc>
        <w:tc>
          <w:tcPr>
            <w:tcW w:type="dxa" w:w="2232"/>
            <w:vAlign w:val="center"/>
          </w:tcPr>
          <w:p>
            <w:pPr>
              <w:pStyle w:val="Compact"/>
              <w:jc w:val="left"/>
            </w:pPr>
            <w:r>
              <w:rPr>
                <w:sz w:val="18"/>
              </w:rPr>
              <w:t>Cloud Run, Cloud SQL, Modulith, no-Docker.</w:t>
            </w:r>
          </w:p>
        </w:tc>
        <w:tc>
          <w:tcPr>
            <w:tcW w:type="dxa" w:w="2232"/>
            <w:vAlign w:val="center"/>
          </w:tcPr>
          <w:p>
            <w:pPr>
              <w:pStyle w:val="Compact"/>
              <w:jc w:val="left"/>
            </w:pPr>
            <w:r>
              <w:rPr>
                <w:sz w:val="18"/>
              </w:rPr>
              <w:t>Build verte, deploy, verify.</w:t>
            </w:r>
          </w:p>
        </w:tc>
        <w:tc>
          <w:tcPr>
            <w:tcW w:type="dxa" w:w="1728"/>
            <w:vAlign w:val="center"/>
          </w:tcPr>
          <w:p>
            <w:pPr>
              <w:pStyle w:val="Compact"/>
              <w:jc w:val="left"/>
            </w:pPr>
            <w:r>
              <w:rPr>
                <w:sz w:val="18"/>
              </w:rPr>
              <w:t>Smoke + env.</w:t>
            </w:r>
          </w:p>
        </w:tc>
        <w:tc>
          <w:tcPr>
            <w:tcW w:type="dxa" w:w="1296"/>
            <w:vAlign w:val="center"/>
          </w:tcPr>
          <w:p>
            <w:pPr>
              <w:pStyle w:val="Compact"/>
              <w:jc w:val="center"/>
            </w:pPr>
            <w:r>
              <w:rPr>
                <w:sz w:val="18"/>
              </w:rPr>
              <w:t>Fait</w:t>
            </w:r>
          </w:p>
        </w:tc>
      </w:tr>
      <w:tr>
        <w:tc>
          <w:tcPr>
            <w:tcW w:type="dxa" w:w="1440"/>
            <w:vAlign w:val="center"/>
          </w:tcPr>
          <w:p>
            <w:pPr>
              <w:pStyle w:val="Compact"/>
              <w:jc w:val="left"/>
            </w:pPr>
            <w:r>
              <w:rPr>
                <w:sz w:val="18"/>
              </w:rPr>
              <w:t>Slice A</w:t>
            </w:r>
          </w:p>
        </w:tc>
        <w:tc>
          <w:tcPr>
            <w:tcW w:type="dxa" w:w="2088"/>
            <w:vAlign w:val="center"/>
          </w:tcPr>
          <w:p>
            <w:pPr>
              <w:pStyle w:val="Compact"/>
              <w:jc w:val="left"/>
            </w:pPr>
            <w:r>
              <w:rPr>
                <w:sz w:val="18"/>
              </w:rPr>
              <w:t>Identity + closing</w:t>
            </w:r>
          </w:p>
        </w:tc>
        <w:tc>
          <w:tcPr>
            <w:tcW w:type="dxa" w:w="2232"/>
            <w:vAlign w:val="center"/>
          </w:tcPr>
          <w:p>
            <w:pPr>
              <w:pStyle w:val="Compact"/>
              <w:jc w:val="left"/>
            </w:pPr>
            <w:r>
              <w:rPr>
                <w:sz w:val="18"/>
              </w:rPr>
              <w:t>tenant, users, roles, audit.</w:t>
            </w:r>
          </w:p>
        </w:tc>
        <w:tc>
          <w:tcPr>
            <w:tcW w:type="dxa" w:w="2232"/>
            <w:vAlign w:val="center"/>
          </w:tcPr>
          <w:p>
            <w:pPr>
              <w:pStyle w:val="Compact"/>
              <w:jc w:val="left"/>
            </w:pPr>
            <w:r>
              <w:rPr>
                <w:sz w:val="18"/>
              </w:rPr>
              <w:t>Isolation + X-Tenant-Id.</w:t>
            </w:r>
          </w:p>
        </w:tc>
        <w:tc>
          <w:tcPr>
            <w:tcW w:type="dxa" w:w="1728"/>
            <w:vAlign w:val="center"/>
          </w:tcPr>
          <w:p>
            <w:pPr>
              <w:pStyle w:val="Compact"/>
              <w:jc w:val="left"/>
            </w:pPr>
            <w:r>
              <w:rPr>
                <w:sz w:val="18"/>
              </w:rPr>
              <w:t>Auth + cross-tenant.</w:t>
            </w:r>
          </w:p>
        </w:tc>
        <w:tc>
          <w:tcPr>
            <w:tcW w:type="dxa" w:w="1296"/>
            <w:vAlign w:val="center"/>
          </w:tcPr>
          <w:p>
            <w:pPr>
              <w:pStyle w:val="Compact"/>
              <w:jc w:val="center"/>
            </w:pPr>
            <w:r>
              <w:rPr>
                <w:sz w:val="18"/>
              </w:rPr>
              <w:t>Fait</w:t>
            </w:r>
          </w:p>
        </w:tc>
      </w:tr>
      <w:tr>
        <w:tc>
          <w:tcPr>
            <w:tcW w:type="dxa" w:w="1440"/>
            <w:vAlign w:val="center"/>
          </w:tcPr>
          <w:p>
            <w:pPr>
              <w:pStyle w:val="Compact"/>
              <w:jc w:val="left"/>
            </w:pPr>
            <w:r>
              <w:rPr>
                <w:sz w:val="18"/>
              </w:rPr>
              <w:t>Slice B</w:t>
            </w:r>
          </w:p>
        </w:tc>
        <w:tc>
          <w:tcPr>
            <w:tcW w:type="dxa" w:w="2088"/>
            <w:vAlign w:val="center"/>
          </w:tcPr>
          <w:p>
            <w:pPr>
              <w:pStyle w:val="Compact"/>
              <w:jc w:val="left"/>
            </w:pPr>
            <w:r>
              <w:rPr>
                <w:sz w:val="18"/>
              </w:rPr>
              <w:t>Import balance</w:t>
            </w:r>
          </w:p>
        </w:tc>
        <w:tc>
          <w:tcPr>
            <w:tcW w:type="dxa" w:w="2232"/>
            <w:vAlign w:val="center"/>
          </w:tcPr>
          <w:p>
            <w:pPr>
              <w:pStyle w:val="Compact"/>
              <w:jc w:val="left"/>
            </w:pPr>
            <w:r>
              <w:rPr>
                <w:sz w:val="18"/>
              </w:rPr>
              <w:t>CSV, validations, versions.</w:t>
            </w:r>
          </w:p>
        </w:tc>
        <w:tc>
          <w:tcPr>
            <w:tcW w:type="dxa" w:w="2232"/>
            <w:vAlign w:val="center"/>
          </w:tcPr>
          <w:p>
            <w:pPr>
              <w:pStyle w:val="Compact"/>
              <w:jc w:val="left"/>
            </w:pPr>
            <w:r>
              <w:rPr>
                <w:sz w:val="18"/>
              </w:rPr>
              <w:t>Import non destructif.</w:t>
            </w:r>
          </w:p>
        </w:tc>
        <w:tc>
          <w:tcPr>
            <w:tcW w:type="dxa" w:w="1728"/>
            <w:vAlign w:val="center"/>
          </w:tcPr>
          <w:p>
            <w:pPr>
              <w:pStyle w:val="Compact"/>
              <w:jc w:val="left"/>
            </w:pPr>
            <w:r>
              <w:rPr>
                <w:sz w:val="18"/>
              </w:rPr>
              <w:t>Unit + integ.</w:t>
            </w:r>
          </w:p>
        </w:tc>
        <w:tc>
          <w:tcPr>
            <w:tcW w:type="dxa" w:w="1296"/>
            <w:vAlign w:val="center"/>
          </w:tcPr>
          <w:p>
            <w:pPr>
              <w:pStyle w:val="Compact"/>
              <w:jc w:val="center"/>
            </w:pPr>
            <w:r>
              <w:rPr>
                <w:sz w:val="18"/>
              </w:rPr>
              <w:t>Fait</w:t>
            </w:r>
          </w:p>
        </w:tc>
      </w:tr>
      <w:tr>
        <w:tc>
          <w:tcPr>
            <w:tcW w:type="dxa" w:w="1440"/>
            <w:vAlign w:val="center"/>
          </w:tcPr>
          <w:p>
            <w:pPr>
              <w:pStyle w:val="Compact"/>
              <w:jc w:val="left"/>
            </w:pPr>
            <w:r>
              <w:rPr>
                <w:sz w:val="18"/>
              </w:rPr>
              <w:t>Slice C</w:t>
            </w:r>
          </w:p>
        </w:tc>
        <w:tc>
          <w:tcPr>
            <w:tcW w:type="dxa" w:w="2088"/>
            <w:vAlign w:val="center"/>
          </w:tcPr>
          <w:p>
            <w:pPr>
              <w:pStyle w:val="Compact"/>
              <w:jc w:val="left"/>
            </w:pPr>
            <w:r>
              <w:rPr>
                <w:sz w:val="18"/>
              </w:rPr>
              <w:t>Manual mapping</w:t>
            </w:r>
          </w:p>
        </w:tc>
        <w:tc>
          <w:tcPr>
            <w:tcW w:type="dxa" w:w="2232"/>
            <w:vAlign w:val="center"/>
          </w:tcPr>
          <w:p>
            <w:pPr>
              <w:pStyle w:val="Compact"/>
              <w:jc w:val="left"/>
            </w:pPr>
            <w:r>
              <w:rPr>
                <w:sz w:val="18"/>
              </w:rPr>
              <w:t>Projection sur dernier import.</w:t>
            </w:r>
          </w:p>
        </w:tc>
        <w:tc>
          <w:tcPr>
            <w:tcW w:type="dxa" w:w="2232"/>
            <w:vAlign w:val="center"/>
          </w:tcPr>
          <w:p>
            <w:pPr>
              <w:pStyle w:val="Compact"/>
              <w:jc w:val="left"/>
            </w:pPr>
            <w:r>
              <w:rPr>
                <w:sz w:val="18"/>
              </w:rPr>
              <w:t>Stable au réimport.</w:t>
            </w:r>
          </w:p>
        </w:tc>
        <w:tc>
          <w:tcPr>
            <w:tcW w:type="dxa" w:w="1728"/>
            <w:vAlign w:val="center"/>
          </w:tcPr>
          <w:p>
            <w:pPr>
              <w:pStyle w:val="Compact"/>
              <w:jc w:val="left"/>
            </w:pPr>
            <w:r>
              <w:rPr>
                <w:sz w:val="18"/>
              </w:rPr>
              <w:t>Unit + integ.</w:t>
            </w:r>
          </w:p>
        </w:tc>
        <w:tc>
          <w:tcPr>
            <w:tcW w:type="dxa" w:w="1296"/>
            <w:vAlign w:val="center"/>
          </w:tcPr>
          <w:p>
            <w:pPr>
              <w:pStyle w:val="Compact"/>
              <w:jc w:val="center"/>
            </w:pPr>
            <w:r>
              <w:rPr>
                <w:sz w:val="18"/>
              </w:rPr>
              <w:t>Fait</w:t>
            </w:r>
          </w:p>
        </w:tc>
      </w:tr>
      <w:tr>
        <w:tc>
          <w:tcPr>
            <w:tcW w:type="dxa" w:w="1440"/>
            <w:vAlign w:val="center"/>
          </w:tcPr>
          <w:p>
            <w:pPr>
              <w:pStyle w:val="Compact"/>
              <w:jc w:val="left"/>
            </w:pPr>
            <w:r>
              <w:rPr>
                <w:sz w:val="18"/>
              </w:rPr>
              <w:t>Slice D</w:t>
            </w:r>
          </w:p>
        </w:tc>
        <w:tc>
          <w:tcPr>
            <w:tcW w:type="dxa" w:w="2088"/>
            <w:vAlign w:val="center"/>
          </w:tcPr>
          <w:p>
            <w:pPr>
              <w:pStyle w:val="Compact"/>
              <w:jc w:val="left"/>
            </w:pPr>
            <w:r>
              <w:rPr>
                <w:sz w:val="18"/>
              </w:rPr>
              <w:t>Controls/readiness</w:t>
            </w:r>
          </w:p>
        </w:tc>
        <w:tc>
          <w:tcPr>
            <w:tcW w:type="dxa" w:w="2232"/>
            <w:vAlign w:val="center"/>
          </w:tcPr>
          <w:p>
            <w:pPr>
              <w:pStyle w:val="Compact"/>
              <w:jc w:val="left"/>
            </w:pPr>
            <w:r>
              <w:rPr>
                <w:sz w:val="18"/>
              </w:rPr>
              <w:t>Etat prêt/bloqué, next actions.</w:t>
            </w:r>
          </w:p>
        </w:tc>
        <w:tc>
          <w:tcPr>
            <w:tcW w:type="dxa" w:w="2232"/>
            <w:vAlign w:val="center"/>
          </w:tcPr>
          <w:p>
            <w:pPr>
              <w:pStyle w:val="Compact"/>
              <w:jc w:val="left"/>
            </w:pPr>
            <w:r>
              <w:rPr>
                <w:sz w:val="18"/>
              </w:rPr>
              <w:t>Cockpit lisible et déterministe.</w:t>
            </w:r>
          </w:p>
        </w:tc>
        <w:tc>
          <w:tcPr>
            <w:tcW w:type="dxa" w:w="1728"/>
            <w:vAlign w:val="center"/>
          </w:tcPr>
          <w:p>
            <w:pPr>
              <w:pStyle w:val="Compact"/>
              <w:jc w:val="left"/>
            </w:pPr>
            <w:r>
              <w:rPr>
                <w:sz w:val="18"/>
              </w:rPr>
              <w:t>Rules + integ.</w:t>
            </w:r>
          </w:p>
        </w:tc>
        <w:tc>
          <w:tcPr>
            <w:tcW w:type="dxa" w:w="1296"/>
            <w:vAlign w:val="center"/>
          </w:tcPr>
          <w:p>
            <w:pPr>
              <w:pStyle w:val="Compact"/>
              <w:jc w:val="center"/>
            </w:pPr>
            <w:r>
              <w:rPr>
                <w:sz w:val="18"/>
              </w:rPr>
              <w:t>Next</w:t>
            </w:r>
          </w:p>
        </w:tc>
      </w:tr>
      <w:tr>
        <w:tc>
          <w:tcPr>
            <w:tcW w:type="dxa" w:w="1440"/>
            <w:vAlign w:val="center"/>
          </w:tcPr>
          <w:p>
            <w:pPr>
              <w:pStyle w:val="Compact"/>
              <w:jc w:val="left"/>
            </w:pPr>
            <w:r>
              <w:rPr>
                <w:sz w:val="18"/>
              </w:rPr>
              <w:t>Slice E</w:t>
            </w:r>
          </w:p>
        </w:tc>
        <w:tc>
          <w:tcPr>
            <w:tcW w:type="dxa" w:w="2088"/>
            <w:vAlign w:val="center"/>
          </w:tcPr>
          <w:p>
            <w:pPr>
              <w:pStyle w:val="Compact"/>
              <w:jc w:val="left"/>
            </w:pPr>
            <w:r>
              <w:rPr>
                <w:sz w:val="18"/>
              </w:rPr>
              <w:t>Financials</w:t>
            </w:r>
          </w:p>
        </w:tc>
        <w:tc>
          <w:tcPr>
            <w:tcW w:type="dxa" w:w="2232"/>
            <w:vAlign w:val="center"/>
          </w:tcPr>
          <w:p>
            <w:pPr>
              <w:pStyle w:val="Compact"/>
              <w:jc w:val="left"/>
            </w:pPr>
            <w:r>
              <w:rPr>
                <w:sz w:val="18"/>
              </w:rPr>
              <w:t>Restitutions structurées.</w:t>
            </w:r>
          </w:p>
        </w:tc>
        <w:tc>
          <w:tcPr>
            <w:tcW w:type="dxa" w:w="2232"/>
            <w:vAlign w:val="center"/>
          </w:tcPr>
          <w:p>
            <w:pPr>
              <w:pStyle w:val="Compact"/>
              <w:jc w:val="left"/>
            </w:pPr>
            <w:r>
              <w:rPr>
                <w:sz w:val="18"/>
              </w:rPr>
              <w:t>Après controls.</w:t>
            </w:r>
          </w:p>
        </w:tc>
        <w:tc>
          <w:tcPr>
            <w:tcW w:type="dxa" w:w="1728"/>
            <w:vAlign w:val="center"/>
          </w:tcPr>
          <w:p>
            <w:pPr>
              <w:pStyle w:val="Compact"/>
              <w:jc w:val="left"/>
            </w:pPr>
            <w:r>
              <w:rPr>
                <w:sz w:val="18"/>
              </w:rPr>
              <w:t>Datasets métier.</w:t>
            </w:r>
          </w:p>
        </w:tc>
        <w:tc>
          <w:tcPr>
            <w:tcW w:type="dxa" w:w="1296"/>
            <w:vAlign w:val="center"/>
          </w:tcPr>
          <w:p>
            <w:pPr>
              <w:pStyle w:val="Compact"/>
              <w:jc w:val="center"/>
            </w:pPr>
            <w:r>
              <w:rPr>
                <w:sz w:val="18"/>
              </w:rPr>
              <w:t>Later</w:t>
            </w:r>
          </w:p>
        </w:tc>
      </w:tr>
      <w:tr>
        <w:tc>
          <w:tcPr>
            <w:tcW w:type="dxa" w:w="1440"/>
            <w:vAlign w:val="center"/>
          </w:tcPr>
          <w:p>
            <w:pPr>
              <w:pStyle w:val="Compact"/>
              <w:jc w:val="left"/>
            </w:pPr>
            <w:r>
              <w:rPr>
                <w:sz w:val="18"/>
              </w:rPr>
              <w:t>Slice F</w:t>
            </w:r>
          </w:p>
        </w:tc>
        <w:tc>
          <w:tcPr>
            <w:tcW w:type="dxa" w:w="2088"/>
            <w:vAlign w:val="center"/>
          </w:tcPr>
          <w:p>
            <w:pPr>
              <w:pStyle w:val="Compact"/>
              <w:jc w:val="left"/>
            </w:pPr>
            <w:r>
              <w:rPr>
                <w:sz w:val="18"/>
              </w:rPr>
              <w:t>Annexe/workpapers</w:t>
            </w:r>
          </w:p>
        </w:tc>
        <w:tc>
          <w:tcPr>
            <w:tcW w:type="dxa" w:w="2232"/>
            <w:vAlign w:val="center"/>
          </w:tcPr>
          <w:p>
            <w:pPr>
              <w:pStyle w:val="Compact"/>
              <w:jc w:val="left"/>
            </w:pPr>
            <w:r>
              <w:rPr>
                <w:sz w:val="18"/>
              </w:rPr>
              <w:t>Docs, review, compliance.</w:t>
            </w:r>
          </w:p>
        </w:tc>
        <w:tc>
          <w:tcPr>
            <w:tcW w:type="dxa" w:w="2232"/>
            <w:vAlign w:val="center"/>
          </w:tcPr>
          <w:p>
            <w:pPr>
              <w:pStyle w:val="Compact"/>
              <w:jc w:val="left"/>
            </w:pPr>
            <w:r>
              <w:rPr>
                <w:sz w:val="18"/>
              </w:rPr>
              <w:t>Après financials.</w:t>
            </w:r>
          </w:p>
        </w:tc>
        <w:tc>
          <w:tcPr>
            <w:tcW w:type="dxa" w:w="1728"/>
            <w:vAlign w:val="center"/>
          </w:tcPr>
          <w:p>
            <w:pPr>
              <w:pStyle w:val="Compact"/>
              <w:jc w:val="left"/>
            </w:pPr>
            <w:r>
              <w:rPr>
                <w:sz w:val="18"/>
              </w:rPr>
              <w:t>ACL + audit.</w:t>
            </w:r>
          </w:p>
        </w:tc>
        <w:tc>
          <w:tcPr>
            <w:tcW w:type="dxa" w:w="1296"/>
            <w:vAlign w:val="center"/>
          </w:tcPr>
          <w:p>
            <w:pPr>
              <w:pStyle w:val="Compact"/>
              <w:jc w:val="center"/>
            </w:pPr>
            <w:r>
              <w:rPr>
                <w:sz w:val="18"/>
              </w:rPr>
              <w:t>Later</w:t>
            </w:r>
          </w:p>
        </w:tc>
      </w:tr>
      <w:tr>
        <w:tc>
          <w:tcPr>
            <w:tcW w:type="dxa" w:w="1440"/>
            <w:vAlign w:val="center"/>
          </w:tcPr>
          <w:p>
            <w:pPr>
              <w:pStyle w:val="Compact"/>
              <w:jc w:val="left"/>
            </w:pPr>
            <w:r>
              <w:rPr>
                <w:sz w:val="18"/>
              </w:rPr>
              <w:t>Slice G</w:t>
            </w:r>
          </w:p>
        </w:tc>
        <w:tc>
          <w:tcPr>
            <w:tcW w:type="dxa" w:w="2088"/>
            <w:vAlign w:val="center"/>
          </w:tcPr>
          <w:p>
            <w:pPr>
              <w:pStyle w:val="Compact"/>
              <w:jc w:val="left"/>
            </w:pPr>
            <w:r>
              <w:rPr>
                <w:sz w:val="18"/>
              </w:rPr>
              <w:t>Exports pack</w:t>
            </w:r>
          </w:p>
        </w:tc>
        <w:tc>
          <w:tcPr>
            <w:tcW w:type="dxa" w:w="2232"/>
            <w:vAlign w:val="center"/>
          </w:tcPr>
          <w:p>
            <w:pPr>
              <w:pStyle w:val="Compact"/>
              <w:jc w:val="left"/>
            </w:pPr>
            <w:r>
              <w:rPr>
                <w:sz w:val="18"/>
              </w:rPr>
              <w:t>PDF, ZIP, XLSX.</w:t>
            </w:r>
          </w:p>
        </w:tc>
        <w:tc>
          <w:tcPr>
            <w:tcW w:type="dxa" w:w="2232"/>
            <w:vAlign w:val="center"/>
          </w:tcPr>
          <w:p>
            <w:pPr>
              <w:pStyle w:val="Compact"/>
              <w:jc w:val="left"/>
            </w:pPr>
            <w:r>
              <w:rPr>
                <w:sz w:val="18"/>
              </w:rPr>
              <w:t>Draft/final stabilisé.</w:t>
            </w:r>
          </w:p>
        </w:tc>
        <w:tc>
          <w:tcPr>
            <w:tcW w:type="dxa" w:w="1728"/>
            <w:vAlign w:val="center"/>
          </w:tcPr>
          <w:p>
            <w:pPr>
              <w:pStyle w:val="Compact"/>
              <w:jc w:val="left"/>
            </w:pPr>
            <w:r>
              <w:rPr>
                <w:sz w:val="18"/>
              </w:rPr>
              <w:t>RBAC + idempotency.</w:t>
            </w:r>
          </w:p>
        </w:tc>
        <w:tc>
          <w:tcPr>
            <w:tcW w:type="dxa" w:w="1296"/>
            <w:vAlign w:val="center"/>
          </w:tcPr>
          <w:p>
            <w:pPr>
              <w:pStyle w:val="Compact"/>
              <w:jc w:val="center"/>
            </w:pPr>
            <w:r>
              <w:rPr>
                <w:sz w:val="18"/>
              </w:rPr>
              <w:t>Later</w:t>
            </w:r>
          </w:p>
        </w:tc>
      </w:tr>
      <w:tr>
        <w:tc>
          <w:tcPr>
            <w:tcW w:type="dxa" w:w="1440"/>
            <w:vAlign w:val="center"/>
          </w:tcPr>
          <w:p>
            <w:pPr>
              <w:pStyle w:val="Compact"/>
              <w:jc w:val="left"/>
            </w:pPr>
            <w:r>
              <w:rPr>
                <w:sz w:val="18"/>
              </w:rPr>
              <w:t>Slice H</w:t>
            </w:r>
          </w:p>
        </w:tc>
        <w:tc>
          <w:tcPr>
            <w:tcW w:type="dxa" w:w="2088"/>
            <w:vAlign w:val="center"/>
          </w:tcPr>
          <w:p>
            <w:pPr>
              <w:pStyle w:val="Compact"/>
              <w:jc w:val="left"/>
            </w:pPr>
            <w:r>
              <w:rPr>
                <w:sz w:val="18"/>
              </w:rPr>
              <w:t>IA mapping</w:t>
            </w:r>
          </w:p>
        </w:tc>
        <w:tc>
          <w:tcPr>
            <w:tcW w:type="dxa" w:w="2232"/>
            <w:vAlign w:val="center"/>
          </w:tcPr>
          <w:p>
            <w:pPr>
              <w:pStyle w:val="Compact"/>
              <w:jc w:val="left"/>
            </w:pPr>
            <w:r>
              <w:rPr>
                <w:sz w:val="18"/>
              </w:rPr>
              <w:t>Schema, flags, evals.</w:t>
            </w:r>
          </w:p>
        </w:tc>
        <w:tc>
          <w:tcPr>
            <w:tcW w:type="dxa" w:w="2232"/>
            <w:vAlign w:val="center"/>
          </w:tcPr>
          <w:p>
            <w:pPr>
              <w:pStyle w:val="Compact"/>
              <w:jc w:val="left"/>
            </w:pPr>
            <w:r>
              <w:rPr>
                <w:sz w:val="18"/>
              </w:rPr>
              <w:t>Human-in-the-loop.</w:t>
            </w:r>
          </w:p>
        </w:tc>
        <w:tc>
          <w:tcPr>
            <w:tcW w:type="dxa" w:w="1728"/>
            <w:vAlign w:val="center"/>
          </w:tcPr>
          <w:p>
            <w:pPr>
              <w:pStyle w:val="Compact"/>
              <w:jc w:val="left"/>
            </w:pPr>
            <w:r>
              <w:rPr>
                <w:sz w:val="18"/>
              </w:rPr>
              <w:t>Schema + metrics.</w:t>
            </w:r>
          </w:p>
        </w:tc>
        <w:tc>
          <w:tcPr>
            <w:tcW w:type="dxa" w:w="1296"/>
            <w:vAlign w:val="center"/>
          </w:tcPr>
          <w:p>
            <w:pPr>
              <w:pStyle w:val="Compact"/>
              <w:jc w:val="center"/>
            </w:pPr>
            <w:r>
              <w:rPr>
                <w:sz w:val="18"/>
              </w:rPr>
              <w:t>Later</w:t>
            </w:r>
          </w:p>
        </w:tc>
      </w:tr>
    </w:tbl>
    <w:bookmarkEnd w:id="73"/>
    <w:bookmarkEnd w:id="74"/>
    <w:bookmarkStart w:id="92" w:name="X25c7ceddb1294e2e85e1ad6f0bc16cf4afbb4ac"/>
    <w:p>
      <w:pPr>
        <w:pStyle w:val="Heading2"/>
      </w:pPr>
      <w:r>
        <w:t>Stratégie IA evidence‑first (préparée maintenant, activée plus tard)</w:t>
      </w:r>
    </w:p>
    <w:bookmarkStart w:id="75" w:name="ai-gateway-ports-propres-et-stables"/>
    <w:p>
      <w:pPr>
        <w:pStyle w:val="Heading3"/>
      </w:pPr>
      <w:r>
        <w:t xml:space="preserve">AI Gateway : ports “propres” et stables</w:t>
      </w:r>
    </w:p>
    <w:p>
      <w:pPr>
        <w:pStyle w:val="FirstParagraph"/>
      </w:pPr>
      <w:r>
        <w:t>Créer dès maintenant — ou maintenir si déjà présent dans le repo — des interfaces Kotlin dans ai/ (sans dépendance infra) afin de préparer les futures capacités sans imposer leur activation.</w:t>
      </w:r>
    </w:p>
    <w:p>
      <w:pPr>
        <w:pStyle w:val="Compact"/>
        <w:numPr>
          <w:ilvl w:val="0"/>
          <w:numId w:val="1006"/>
        </w:numPr>
      </w:pPr>
      <w:r>
        <w:rPr>
          <w:rStyle w:val="VerbatimChar"/>
        </w:rPr>
        <w:t xml:space="preserve">MappingSuggestionPort</w:t>
      </w:r>
    </w:p>
    <w:p>
      <w:pPr>
        <w:pStyle w:val="Compact"/>
        <w:numPr>
          <w:ilvl w:val="0"/>
          <w:numId w:val="1006"/>
        </w:numPr>
      </w:pPr>
      <w:r>
        <w:rPr>
          <w:rStyle w:val="VerbatimChar"/>
        </w:rPr>
        <w:t xml:space="preserve">AnomalyExplanationPort</w:t>
      </w:r>
    </w:p>
    <w:p>
      <w:pPr>
        <w:pStyle w:val="Compact"/>
        <w:numPr>
          <w:ilvl w:val="0"/>
          <w:numId w:val="1006"/>
        </w:numPr>
      </w:pPr>
      <w:r>
        <w:rPr>
          <w:rStyle w:val="VerbatimChar"/>
        </w:rPr>
        <w:t xml:space="preserve">AnnexDraftPort</w:t>
      </w:r>
    </w:p>
    <w:p>
      <w:pPr>
        <w:pStyle w:val="Compact"/>
        <w:numPr>
          <w:ilvl w:val="0"/>
          <w:numId w:val="1006"/>
        </w:numPr>
      </w:pPr>
      <w:r>
        <w:rPr>
          <w:rStyle w:val="VerbatimChar"/>
        </w:rPr>
        <w:t xml:space="preserve">DocumentQAPort</w:t>
      </w:r>
    </w:p>
    <w:p>
      <w:pPr>
        <w:pStyle w:val="FirstParagraph"/>
      </w:pPr>
      <w:r>
        <w:t xml:space="preserve">Le domaine appelle les ports ; l’implémentation peut être in‑process (Spring AI) ou externe (Python) sans changer le domaine. Ce “contrat” te donne la liberté stratégique.</w:t>
      </w:r>
    </w:p>
    <w:bookmarkEnd w:id="75"/>
    <w:bookmarkStart w:id="79" w:name="X7195337c2dfe97e8d986583213328531e7643e1"/>
    <w:p>
      <w:pPr>
        <w:pStyle w:val="Heading3"/>
      </w:pPr>
      <w:r>
        <w:t xml:space="preserve">Structured Outputs : exigence de production</w:t>
      </w:r>
    </w:p>
    <w:p>
      <w:pPr>
        <w:pStyle w:val="FirstParagraph"/>
      </w:pPr>
      <w:r>
        <w:t xml:space="preserve">OpenAI Structured Outputs garantit l’adhérence à un JSON Schema fourni (clés requises, enums valides, etc.).</w:t>
      </w:r>
      <w:r>
        <w:t xml:space="preserve"> </w:t>
      </w:r>
      <w:hyperlink r:id="rId71">
        <w:r>
          <w:rPr>
            <w:rStyle w:val="Hyperlink"/>
          </w:rPr>
          <w:t xml:space="preserve">[40]</w:t>
        </w:r>
      </w:hyperlink>
      <w:r>
        <w:br/>
      </w:r>
      <w:r>
        <w:t xml:space="preserve">Dans Spring AI, le StructuredOutputConverter existe pour mapper une sortie LLM vers un type exploitable.</w:t>
      </w:r>
      <w:r>
        <w:t xml:space="preserve"> </w:t>
      </w:r>
      <w:hyperlink r:id="rId76">
        <w:r>
          <w:rPr>
            <w:rStyle w:val="Hyperlink"/>
          </w:rPr>
          <w:t xml:space="preserve">[41]</w:t>
        </w:r>
      </w:hyperlink>
      <w:r>
        <w:br/>
      </w:r>
      <w:r>
        <w:t xml:space="preserve">Spring AI documente aussi l’intégration des Structured Outputs OpenAI, en plus du convertisseur agnostique.</w:t>
      </w:r>
      <w:r>
        <w:t xml:space="preserve"> </w:t>
      </w:r>
      <w:hyperlink r:id="rId77">
        <w:r>
          <w:rPr>
            <w:rStyle w:val="Hyperlink"/>
          </w:rPr>
          <w:t xml:space="preserve">[42]</w:t>
        </w:r>
      </w:hyperlink>
    </w:p>
    <w:bookmarkStart w:id="78" w:name="X6b9cc71e5f4cceae14aa1e21e12444563ab70e1"/>
    <w:p>
      <w:pPr>
        <w:pStyle w:val="Heading4"/>
      </w:pPr>
      <w:r>
        <w:t xml:space="preserve">Exemple copy‑pastable : DTO mapping suggestion</w:t>
      </w:r>
    </w:p>
    <w:p>
      <w:pPr>
        <w:pStyle w:val="FirstParagraph"/>
      </w:pPr>
      <w:r>
        <w:rPr>
          <w:b/>
          <w:bCs/>
        </w:rPr>
        <w:t xml:space="preserve">DTO Kotlin (exemple)</w:t>
      </w:r>
    </w:p>
    <w:p>
      <w:pPr>
        <w:pStyle w:val="SourceCode"/>
      </w:pPr>
      <w:r>
        <w:rPr>
          <w:rStyle w:val="VerbatimChar"/>
        </w:rPr>
        <w:t xml:space="preserve">data class MappingSuggestion(</w:t>
      </w:r>
      <w:r>
        <w:br/>
      </w:r>
      <w:r>
        <w:rPr>
          <w:rStyle w:val="VerbatimChar"/>
        </w:rPr>
        <w:t xml:space="preserve">  val accountId: String,</w:t>
      </w:r>
      <w:r>
        <w:br/>
      </w:r>
      <w:r>
        <w:rPr>
          <w:rStyle w:val="VerbatimChar"/>
        </w:rPr>
        <w:t xml:space="preserve">  val targetRubricId: String,</w:t>
      </w:r>
      <w:r>
        <w:br/>
      </w:r>
      <w:r>
        <w:rPr>
          <w:rStyle w:val="VerbatimChar"/>
        </w:rPr>
        <w:t xml:space="preserve">  val confidence: Double, // 0..1</w:t>
      </w:r>
      <w:r>
        <w:br/>
      </w:r>
      <w:r>
        <w:rPr>
          <w:rStyle w:val="VerbatimChar"/>
        </w:rPr>
        <w:t xml:space="preserve">  val riskLevel: RiskLevel,</w:t>
      </w:r>
      <w:r>
        <w:br/>
      </w:r>
      <w:r>
        <w:rPr>
          <w:rStyle w:val="VerbatimChar"/>
        </w:rPr>
        <w:t xml:space="preserve">  val requiresHumanReview: Boolean = true,</w:t>
      </w:r>
      <w:r>
        <w:br/>
      </w:r>
      <w:r>
        <w:rPr>
          <w:rStyle w:val="VerbatimChar"/>
        </w:rPr>
        <w:t xml:space="preserve">  val rationale: String? = null,</w:t>
      </w:r>
      <w:r>
        <w:br/>
      </w:r>
      <w:r>
        <w:rPr>
          <w:rStyle w:val="VerbatimChar"/>
        </w:rPr>
        <w:t xml:space="preserve">  val evidence: List&lt;EvidenceItem&gt;</w:t>
      </w:r>
      <w:r>
        <w:br/>
      </w:r>
      <w:r>
        <w:rPr>
          <w:rStyle w:val="VerbatimChar"/>
        </w:rPr>
        <w:t xml:space="preserve">)</w:t>
      </w:r>
      <w:r>
        <w:br/>
      </w:r>
      <w:r>
        <w:br/>
      </w:r>
      <w:r>
        <w:rPr>
          <w:rStyle w:val="VerbatimChar"/>
        </w:rPr>
        <w:t xml:space="preserve">enum class RiskLevel { LOW, MEDIUM, HIGH }</w:t>
      </w:r>
      <w:r>
        <w:br/>
      </w:r>
      <w:r>
        <w:br/>
      </w:r>
      <w:r>
        <w:rPr>
          <w:rStyle w:val="VerbatimChar"/>
        </w:rPr>
        <w:t xml:space="preserve">data class EvidenceItem(</w:t>
      </w:r>
      <w:r>
        <w:br/>
      </w:r>
      <w:r>
        <w:rPr>
          <w:rStyle w:val="VerbatimChar"/>
        </w:rPr>
        <w:t xml:space="preserve">  val type: EvidenceType,</w:t>
      </w:r>
      <w:r>
        <w:br/>
      </w:r>
      <w:r>
        <w:rPr>
          <w:rStyle w:val="VerbatimChar"/>
        </w:rPr>
        <w:t xml:space="preserve">  val ref: String,</w:t>
      </w:r>
      <w:r>
        <w:br/>
      </w:r>
      <w:r>
        <w:rPr>
          <w:rStyle w:val="VerbatimChar"/>
        </w:rPr>
        <w:t xml:space="preserve">  val snippet: String</w:t>
      </w:r>
      <w:r>
        <w:br/>
      </w:r>
      <w:r>
        <w:rPr>
          <w:rStyle w:val="VerbatimChar"/>
        </w:rPr>
        <w:t xml:space="preserve">)</w:t>
      </w:r>
      <w:r>
        <w:br/>
      </w:r>
      <w:r>
        <w:br/>
      </w:r>
      <w:r>
        <w:rPr>
          <w:rStyle w:val="VerbatimChar"/>
        </w:rPr>
        <w:t xml:space="preserve">enum class EvidenceType { ACCOUNT_LABEL, HISTORICAL_MAPPING, RULE_DOC, NOTE_TEMPLATE }</w:t>
      </w:r>
    </w:p>
    <w:p>
      <w:pPr>
        <w:pStyle w:val="FirstParagraph"/>
      </w:pPr>
      <w:r>
        <w:rPr>
          <w:b/>
          <w:bCs/>
        </w:rPr>
        <w:t xml:space="preserve">JSON Schema strict (OpenAI Structured Outputs)</w:t>
      </w:r>
    </w:p>
    <w:p>
      <w:pPr>
        <w:pStyle w:val="SourceCode"/>
      </w:pPr>
      <w:r>
        <w:rPr>
          <w:rStyle w:val="VerbatimChar"/>
        </w:rPr>
        <w:t xml:space="preserve">{</w:t>
      </w:r>
      <w:r>
        <w:br/>
      </w:r>
      <w:r>
        <w:rPr>
          <w:rStyle w:val="VerbatimChar"/>
        </w:rPr>
        <w:t xml:space="preserve">  "name": "MappingSuggestion",</w:t>
      </w:r>
      <w:r>
        <w:br/>
      </w:r>
      <w:r>
        <w:rPr>
          <w:rStyle w:val="VerbatimChar"/>
        </w:rPr>
        <w:t xml:space="preserve">  "strict": true,</w:t>
      </w:r>
      <w:r>
        <w:br/>
      </w:r>
      <w:r>
        <w:rPr>
          <w:rStyle w:val="VerbatimChar"/>
        </w:rPr>
        <w:t xml:space="preserve">  "schema":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"accountId",</w:t>
      </w:r>
      <w:r>
        <w:br/>
      </w:r>
      <w:r>
        <w:rPr>
          <w:rStyle w:val="VerbatimChar"/>
        </w:rPr>
        <w:t xml:space="preserve">      "targetRubricId",</w:t>
      </w:r>
      <w:r>
        <w:br/>
      </w:r>
      <w:r>
        <w:rPr>
          <w:rStyle w:val="VerbatimChar"/>
        </w:rPr>
        <w:t xml:space="preserve">      "confidence",</w:t>
      </w:r>
      <w:r>
        <w:br/>
      </w:r>
      <w:r>
        <w:rPr>
          <w:rStyle w:val="VerbatimChar"/>
        </w:rPr>
        <w:t xml:space="preserve">      "riskLevel",</w:t>
      </w:r>
      <w:r>
        <w:br/>
      </w:r>
      <w:r>
        <w:rPr>
          <w:rStyle w:val="VerbatimChar"/>
        </w:rPr>
        <w:t xml:space="preserve">      "requiresHumanReview",</w:t>
      </w:r>
      <w:r>
        <w:br/>
      </w:r>
      <w:r>
        <w:rPr>
          <w:rStyle w:val="VerbatimChar"/>
        </w:rPr>
        <w:t xml:space="preserve">      "evidence"</w:t>
      </w:r>
      <w:r>
        <w:br/>
      </w:r>
      <w:r>
        <w:rPr>
          <w:rStyle w:val="VerbatimChar"/>
        </w:rPr>
        <w:t xml:space="preserve">    ],</w:t>
      </w:r>
      <w:r>
        <w:br/>
      </w:r>
      <w:r>
        <w:rPr>
          <w:rStyle w:val="VerbatimChar"/>
        </w:rPr>
        <w:t xml:space="preserve">    "properties": {</w:t>
      </w:r>
      <w:r>
        <w:br/>
      </w:r>
      <w:r>
        <w:rPr>
          <w:rStyle w:val="VerbatimChar"/>
        </w:rPr>
        <w:t xml:space="preserve">      "accountId": { "type": "string", "minLength": 1 },</w:t>
      </w:r>
      <w:r>
        <w:br/>
      </w:r>
      <w:r>
        <w:rPr>
          <w:rStyle w:val="VerbatimChar"/>
        </w:rPr>
        <w:t xml:space="preserve">      "targetRubricId": { "type": "string", "minLength": 1 },</w:t>
      </w:r>
      <w:r>
        <w:br/>
      </w:r>
      <w:r>
        <w:rPr>
          <w:rStyle w:val="VerbatimChar"/>
        </w:rPr>
        <w:t xml:space="preserve">      "confidence": { "type": "number", "minimum": 0, "maximum": 1 },</w:t>
      </w:r>
      <w:r>
        <w:br/>
      </w:r>
      <w:r>
        <w:rPr>
          <w:rStyle w:val="VerbatimChar"/>
        </w:rPr>
        <w:t xml:space="preserve">      "riskLevel": { "type": "string", "enum": ["LOW", "MEDIUM", "HIGH"] },</w:t>
      </w:r>
      <w:r>
        <w:br/>
      </w:r>
      <w:r>
        <w:rPr>
          <w:rStyle w:val="VerbatimChar"/>
        </w:rPr>
        <w:t xml:space="preserve">      "requiresHumanReview": { "type": "boolean" },</w:t>
      </w:r>
      <w:r>
        <w:br/>
      </w:r>
      <w:r>
        <w:rPr>
          <w:rStyle w:val="VerbatimChar"/>
        </w:rPr>
        <w:t xml:space="preserve">      "rationale": { "type": "string", "maxLength": 600 },</w:t>
      </w:r>
      <w:r>
        <w:br/>
      </w:r>
      <w:r>
        <w:rPr>
          <w:rStyle w:val="VerbatimChar"/>
        </w:rPr>
        <w:t xml:space="preserve">      "evidence": {</w:t>
      </w:r>
      <w:r>
        <w:br/>
      </w:r>
      <w:r>
        <w:rPr>
          <w:rStyle w:val="VerbatimChar"/>
        </w:rPr>
        <w:t xml:space="preserve">        "type": "array",</w:t>
      </w:r>
      <w:r>
        <w:br/>
      </w:r>
      <w:r>
        <w:rPr>
          <w:rStyle w:val="VerbatimChar"/>
        </w:rPr>
        <w:t xml:space="preserve">        "minItems": 1,</w:t>
      </w:r>
      <w:r>
        <w:br/>
      </w:r>
      <w:r>
        <w:rPr>
          <w:rStyle w:val="VerbatimChar"/>
        </w:rPr>
        <w:t xml:space="preserve">        "maxItems": 8,</w:t>
      </w:r>
      <w:r>
        <w:br/>
      </w:r>
      <w:r>
        <w:rPr>
          <w:rStyle w:val="VerbatimChar"/>
        </w:rPr>
        <w:t xml:space="preserve">        "items": {</w:t>
      </w:r>
      <w:r>
        <w:br/>
      </w:r>
      <w:r>
        <w:rPr>
          <w:rStyle w:val="VerbatimChar"/>
        </w:rPr>
        <w:t xml:space="preserve">          "type": "object",</w:t>
      </w:r>
      <w:r>
        <w:br/>
      </w:r>
      <w:r>
        <w:rPr>
          <w:rStyle w:val="VerbatimChar"/>
        </w:rPr>
        <w:t xml:space="preserve">          "additionalProperties": false,</w:t>
      </w:r>
      <w:r>
        <w:br/>
      </w:r>
      <w:r>
        <w:rPr>
          <w:rStyle w:val="VerbatimChar"/>
        </w:rPr>
        <w:t xml:space="preserve">          "required": ["type", "ref", "snippet"],</w:t>
      </w:r>
      <w:r>
        <w:br/>
      </w:r>
      <w:r>
        <w:rPr>
          <w:rStyle w:val="VerbatimChar"/>
        </w:rPr>
        <w:t xml:space="preserve">          "properties": {</w:t>
      </w:r>
      <w:r>
        <w:br/>
      </w:r>
      <w:r>
        <w:rPr>
          <w:rStyle w:val="VerbatimChar"/>
        </w:rPr>
        <w:t xml:space="preserve">            "type": {</w:t>
      </w:r>
      <w:r>
        <w:br/>
      </w:r>
      <w:r>
        <w:rPr>
          <w:rStyle w:val="VerbatimChar"/>
        </w:rPr>
        <w:t xml:space="preserve">              "type": "string",</w:t>
      </w:r>
      <w:r>
        <w:br/>
      </w:r>
      <w:r>
        <w:rPr>
          <w:rStyle w:val="VerbatimChar"/>
        </w:rPr>
        <w:t xml:space="preserve">              "enum": ["ACCOUNT_LABEL", "HISTORICAL_MAPPING", "RULE_DOC", "NOTE_TEMPLATE"]</w:t>
      </w:r>
      <w:r>
        <w:br/>
      </w:r>
      <w:r>
        <w:rPr>
          <w:rStyle w:val="VerbatimChar"/>
        </w:rPr>
        <w:t xml:space="preserve">            },</w:t>
      </w:r>
      <w:r>
        <w:br/>
      </w:r>
      <w:r>
        <w:rPr>
          <w:rStyle w:val="VerbatimChar"/>
        </w:rPr>
        <w:t xml:space="preserve">            "ref": { "type": "string", "maxLength": 200 },</w:t>
      </w:r>
      <w:r>
        <w:br/>
      </w:r>
      <w:r>
        <w:rPr>
          <w:rStyle w:val="VerbatimChar"/>
        </w:rPr>
        <w:t xml:space="preserve">            "snippet": { "type": "string", "maxLength": 300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78"/>
    <w:bookmarkEnd w:id="79"/>
    <w:bookmarkStart w:id="82" w:name="X4c98e51e18dd56ae7a42265d53c1c1e31c7107a"/>
    <w:p>
      <w:pPr>
        <w:pStyle w:val="Heading3"/>
      </w:pPr>
      <w:r>
        <w:t xml:space="preserve">Tool calling : cadrer l’IA, pas la laisser improviser</w:t>
      </w:r>
    </w:p>
    <w:p>
      <w:pPr>
        <w:pStyle w:val="FirstParagraph"/>
      </w:pPr>
      <w:r>
        <w:t xml:space="preserve">Spring AI décrit “Tool Calling” comme un pattern permettant au modèle d’interagir avec des outils (APIs) pour augmenter ses capacités.</w:t>
      </w:r>
      <w:r>
        <w:t xml:space="preserve"> </w:t>
      </w:r>
      <w:hyperlink r:id="rId80">
        <w:r>
          <w:rPr>
            <w:rStyle w:val="Hyperlink"/>
          </w:rPr>
          <w:t xml:space="preserve">[43]</w:t>
        </w:r>
      </w:hyperlink>
      <w:r>
        <w:br/>
      </w:r>
      <w:r>
        <w:t xml:space="preserve">OpenAI documente le tool/function calling, avec des outils définis surtout via JSON schema.</w:t>
      </w:r>
      <w:r>
        <w:t xml:space="preserve"> </w:t>
      </w:r>
      <w:hyperlink r:id="rId81">
        <w:r>
          <w:rPr>
            <w:rStyle w:val="Hyperlink"/>
          </w:rPr>
          <w:t xml:space="preserve">[44]</w:t>
        </w:r>
      </w:hyperlink>
    </w:p>
    <w:p>
      <w:pPr>
        <w:pStyle w:val="BodyText"/>
      </w:pPr>
      <w:r>
        <w:t xml:space="preserve">En closing, les outils doivent rester</w:t>
      </w:r>
      <w:r>
        <w:t xml:space="preserve"> </w:t>
      </w:r>
      <w:r>
        <w:rPr>
          <w:b/>
          <w:bCs/>
        </w:rPr>
        <w:t xml:space="preserve">safe</w:t>
      </w:r>
      <w:r>
        <w:t xml:space="preserve"> </w:t>
      </w:r>
      <w:r>
        <w:t xml:space="preserve">:</w:t>
      </w:r>
      <w:r>
        <w:t xml:space="preserve"> </w:t>
      </w:r>
      <w:r>
        <w:t xml:space="preserve">- “getAccountMetadata(accountId)”</w:t>
      </w:r>
      <w:r>
        <w:t xml:space="preserve"> </w:t>
      </w:r>
      <w:r>
        <w:t xml:space="preserve">- “getRubricTree()”</w:t>
      </w:r>
      <w:r>
        <w:t xml:space="preserve"> </w:t>
      </w:r>
      <w:r>
        <w:t xml:space="preserve">- “getHistoricalMappings(tenantId, accountLabel)”</w:t>
      </w:r>
      <w:r>
        <w:t xml:space="preserve"> </w:t>
      </w:r>
      <w:r>
        <w:t xml:space="preserve">- “searchPolicyDocs(query)” (RAG)</w:t>
      </w:r>
    </w:p>
    <w:p>
      <w:pPr>
        <w:pStyle w:val="BodyText"/>
      </w:pPr>
      <w:r>
        <w:t xml:space="preserve">Jamais d’outil “writeMappingDirectly” : l’IA ne doit pas écrire sans validation humaine.</w:t>
      </w:r>
    </w:p>
    <w:bookmarkEnd w:id="82"/>
    <w:bookmarkStart w:id="85" w:name="rag-périmètre-utile-et-borné"/>
    <w:p>
      <w:pPr>
        <w:pStyle w:val="Heading3"/>
      </w:pPr>
      <w:r>
        <w:t>RAG : option future, pas mécanisme standard de la V1 courante</w:t>
      </w:r>
    </w:p>
    <w:p>
      <w:pPr>
        <w:pStyle w:val="FirstParagraph"/>
      </w:pPr>
      <w:r>
        <w:t>Le RAG peut devenir utile plus tard pour certaines surfaces documentaires ou assistants explicatifs, mais il n’est pas un prérequis de la V1 exécutable actuelle. Aucun vector store ni corpus RAG ne doit être imposé tant qu’un cas d’usage métier validé ne le justifie.</w:t>
      </w:r>
    </w:p>
    <w:p>
      <w:pPr>
        <w:pStyle w:val="BodyText"/>
      </w:pPr>
      <w:r>
        <w:t>Si un jour le RAG devient pertinent, l’indexation visera des contenus ciblés : procédures internes, templates, notes validées anonymisées ou documentation documentaire utile.</w:t>
      </w:r>
    </w:p>
    <w:p>
      <w:pPr>
        <w:pStyle w:val="BodyText"/>
      </w:pPr>
      <w:r>
        <w:t>En revanche, les calculs déterministes, la logique de controls et la vérité transactionnelle restent hors RAG : ils demeurent dans le moteur métier et dans PostgreSQL.</w:t>
      </w:r>
    </w:p>
    <w:bookmarkEnd w:id="85"/>
    <w:bookmarkStart w:id="89" w:name="X4165e619b6bbf7754f65ccd8704aa2175c1b885"/>
    <w:p>
      <w:pPr>
        <w:pStyle w:val="Heading3"/>
      </w:pPr>
      <w:r>
        <w:t xml:space="preserve">Evals, pinning, metrics, data retention : production discipline</w:t>
      </w:r>
    </w:p>
    <w:p>
      <w:pPr>
        <w:pStyle w:val="FirstParagraph"/>
      </w:pPr>
      <w:r>
        <w:t>OpenAI insiste sur : - la variabilité des sorties et donc la nécessité des evals, [47]</w:t>
        <w:br/>
      </w:r>
      <w:r>
        <w:t>- des bonnes pratiques de passage proto -&gt; prod (sécurité, coûts, robustesse), [48]</w:t>
        <w:br/>
      </w:r>
      <w:r>
        <w:t>- la gestion de la rétention et des logs (abuse‑monitoring logs, options de data controls). [49]</w:t>
      </w:r>
    </w:p>
    <w:p>
      <w:pPr>
        <w:pStyle w:val="BodyText"/>
      </w:pPr>
      <w:r>
        <w:t xml:space="preserve">Tu dois donc mettre en place dès IA‑1 :</w:t>
      </w:r>
      <w:r>
        <w:t xml:space="preserve"> </w:t>
      </w:r>
      <w:r>
        <w:t xml:space="preserve">-</w:t>
      </w:r>
      <w:r>
        <w:t xml:space="preserve"> </w:t>
      </w:r>
      <w:r>
        <w:rPr>
          <w:b/>
          <w:bCs/>
        </w:rPr>
        <w:t xml:space="preserve">model pinning</w:t>
      </w:r>
      <w:r>
        <w:t xml:space="preserve"> </w:t>
      </w:r>
      <w:r>
        <w:t xml:space="preserve">: modèle versionné (pas “latest”).</w:t>
      </w:r>
      <w:r>
        <w:t xml:space="preserve"> </w:t>
      </w:r>
      <w:r>
        <w:t xml:space="preserve">-</w:t>
      </w:r>
      <w:r>
        <w:t xml:space="preserve"> </w:t>
      </w:r>
      <w:r>
        <w:rPr>
          <w:b/>
          <w:bCs/>
        </w:rPr>
        <w:t xml:space="preserve">prompt pinning</w:t>
      </w:r>
      <w:r>
        <w:t xml:space="preserve"> </w:t>
      </w:r>
      <w:r>
        <w:t xml:space="preserve">: version de prompt + version du schéma JSON.</w:t>
      </w:r>
      <w:r>
        <w:t xml:space="preserve"> </w:t>
      </w:r>
      <w:r>
        <w:t xml:space="preserve">-</w:t>
      </w:r>
      <w:r>
        <w:t xml:space="preserve"> </w:t>
      </w:r>
      <w:r>
        <w:rPr>
          <w:b/>
          <w:bCs/>
        </w:rPr>
        <w:t xml:space="preserve">evals</w:t>
      </w:r>
      <w:r>
        <w:t xml:space="preserve"> </w:t>
      </w:r>
      <w:r>
        <w:t xml:space="preserve">: dataset de cas mapping (comptes réels anonymisés) + scoring (exact match rubric, accept/reject, justification quality).</w:t>
      </w:r>
      <w:r>
        <w:t xml:space="preserve"> </w:t>
      </w:r>
      <w:r>
        <w:t xml:space="preserve">-</w:t>
      </w:r>
      <w:r>
        <w:t xml:space="preserve"> </w:t>
      </w:r>
      <w:r>
        <w:rPr>
          <w:b/>
          <w:bCs/>
        </w:rPr>
        <w:t xml:space="preserve">métriques IA</w:t>
      </w:r>
      <w:r>
        <w:t xml:space="preserve"> </w:t>
      </w:r>
      <w:r>
        <w:t xml:space="preserve">:</w:t>
      </w:r>
      <w:r>
        <w:t xml:space="preserve"> </w:t>
      </w:r>
      <w:r>
        <w:t xml:space="preserve">- latence p50/p95 par capability,</w:t>
      </w:r>
      <w:r>
        <w:t xml:space="preserve"> </w:t>
      </w:r>
      <w:r>
        <w:t xml:space="preserve">- taux accept / reject / modify,</w:t>
      </w:r>
      <w:r>
        <w:t xml:space="preserve"> </w:t>
      </w:r>
      <w:r>
        <w:t xml:space="preserve">- taux fallback/timeout,</w:t>
      </w:r>
      <w:r>
        <w:t xml:space="preserve"> </w:t>
      </w:r>
      <w:r>
        <w:t xml:space="preserve">- coût estimé (tokens si applicable),</w:t>
      </w:r>
      <w:r>
        <w:t xml:space="preserve"> </w:t>
      </w:r>
      <w:r>
        <w:t xml:space="preserve">- score eval hebdomadaire,</w:t>
      </w:r>
      <w:r>
        <w:t xml:space="preserve"> </w:t>
      </w:r>
      <w:r>
        <w:t xml:space="preserve">- drift après changement modèle/prompt.</w:t>
      </w:r>
    </w:p>
    <w:p>
      <w:pPr>
        <w:pStyle w:val="BodyText"/>
      </w:pPr>
      <w:r>
        <w:t xml:space="preserve">Spring AI fournit l’observabilité (metrics + traces) pour ChatClient, ChatModel, VectorStore, etc.</w:t>
      </w:r>
      <w:r>
        <w:t xml:space="preserve"> </w:t>
      </w:r>
      <w:hyperlink r:id="rId88">
        <w:r>
          <w:rPr>
            <w:rStyle w:val="Hyperlink"/>
          </w:rPr>
          <w:t xml:space="preserve">[50]</w:t>
        </w:r>
      </w:hyperlink>
    </w:p>
    <w:bookmarkEnd w:id="89"/>
    <w:bookmarkStart w:id="91" w:name="X41e978b29236eb2b433957e7274f7ce1b10cdc4"/>
    <w:p>
      <w:pPr>
        <w:pStyle w:val="Heading3"/>
      </w:pPr>
      <w:r>
        <w:t xml:space="preserve">Triggers explicites d’extraction vers un microservice Python</w:t>
      </w:r>
    </w:p>
    <w:p>
      <w:pPr>
        <w:pStyle w:val="FirstParagraph"/>
      </w:pPr>
      <w:r>
        <w:t xml:space="preserve">On n’extrait pas “par principe”. On extrait si :</w:t>
      </w:r>
      <w:r>
        <w:t xml:space="preserve"> </w:t>
      </w:r>
      <w:r>
        <w:t xml:space="preserve">- OCR/Document AI devient central (PDF scannés, tables),</w:t>
      </w:r>
      <w:r>
        <w:t xml:space="preserve"> </w:t>
      </w:r>
      <w:r>
        <w:t xml:space="preserve">- besoin GPU / modèles locaux ou coûts inference optimisés,</w:t>
      </w:r>
      <w:r>
        <w:t xml:space="preserve"> </w:t>
      </w:r>
      <w:r>
        <w:t xml:space="preserve">- batchs asynchrones lourds (indexation, enrichissement),</w:t>
      </w:r>
      <w:r>
        <w:t xml:space="preserve"> </w:t>
      </w:r>
      <w:r>
        <w:t xml:space="preserve">- équipe data/ML veut un cycle deploy indépendant,</w:t>
      </w:r>
      <w:r>
        <w:t xml:space="preserve"> </w:t>
      </w:r>
      <w:r>
        <w:t xml:space="preserve">- exigences de sandboxing supérieures.</w:t>
      </w:r>
    </w:p>
    <w:p>
      <w:pPr>
        <w:pStyle w:val="BodyText"/>
      </w:pPr>
      <w:r>
        <w:t xml:space="preserve">Approche cohérente avec “Monolith First” : on découvre d’abord les bonnes frontières dans un monolithe, puis on extrait seulement quand l’interface est stable.</w:t>
      </w:r>
      <w:r>
        <w:t xml:space="preserve"> </w:t>
      </w:r>
      <w:hyperlink r:id="rId90">
        <w:r>
          <w:rPr>
            <w:rStyle w:val="Hyperlink"/>
          </w:rPr>
          <w:t xml:space="preserve">[51]</w:t>
        </w:r>
      </w:hyperlink>
    </w:p>
    <w:bookmarkEnd w:id="91"/>
    <w:bookmarkEnd w:id="92"/>
    <w:bookmarkStart w:id="110" w:name="Xefe163ea443cb91c9c23009bc2d0fbfe06dc1f9"/>
    <w:p>
      <w:pPr>
        <w:pStyle w:val="Heading2"/>
      </w:pPr>
      <w:r>
        <w:t xml:space="preserve">Sécurité, multi‑tenancy, APIs, qualité totale et run en production</w:t>
      </w:r>
    </w:p>
    <w:bookmarkStart w:id="93" w:name="authnauthz-jwtoidc-rbac-puis-abac"/>
    <w:p>
      <w:pPr>
        <w:pStyle w:val="Heading3"/>
      </w:pPr>
      <w:r>
        <w:t xml:space="preserve">AuthN/AuthZ : JWT/OIDC, RBAC puis ABAC</w:t>
      </w:r>
    </w:p>
    <w:p>
      <w:pPr>
        <w:pStyle w:val="Compact"/>
        <w:numPr>
          <w:ilvl w:val="0"/>
          <w:numId w:val="1007"/>
        </w:numPr>
      </w:pPr>
      <w:r>
        <w:t xml:space="preserve">Resource server Spring Security JWT (issuer/jwks).</w:t>
      </w:r>
      <w:r>
        <w:t xml:space="preserve"> </w:t>
      </w:r>
      <w:hyperlink r:id="rId64">
        <w:r>
          <w:rPr>
            <w:rStyle w:val="Hyperlink"/>
          </w:rPr>
          <w:t xml:space="preserve">[52]</w:t>
        </w:r>
      </w:hyperlink>
    </w:p>
    <w:p>
      <w:pPr>
        <w:pStyle w:val="Compact"/>
        <w:numPr>
          <w:ilvl w:val="0"/>
          <w:numId w:val="1007"/>
        </w:numPr>
      </w:pPr>
      <w:r>
        <w:t xml:space="preserve">RBAC V1 : roles clairs + policies endpoint‑level.</w:t>
      </w:r>
    </w:p>
    <w:p>
      <w:pPr>
        <w:pStyle w:val="Compact"/>
        <w:numPr>
          <w:ilvl w:val="0"/>
          <w:numId w:val="1007"/>
        </w:numPr>
      </w:pPr>
      <w:r>
        <w:t>ABAC plus fin : évolution future possible lorsque les surfaces et attributions métier le justifieront.</w:t>
      </w:r>
    </w:p>
    <w:bookmarkEnd w:id="93"/>
    <w:bookmarkStart w:id="96" w:name="Xaa4019ab957c2e30f5898f1e30ad107c1f8099f"/>
    <w:p>
      <w:pPr>
        <w:pStyle w:val="Heading3"/>
      </w:pPr>
      <w:r>
        <w:t xml:space="preserve">Multi‑tenant isolation : application d’abord, RLS ensuite</w:t>
      </w:r>
    </w:p>
    <w:p>
      <w:pPr>
        <w:pStyle w:val="FirstParagraph"/>
      </w:pPr>
      <w:r>
        <w:t>Couche application - tenant_id sur toutes les tables ; X-Tenant-Id comme header canonique du tenant actif ; repositories toujours “scopés tenant” (pas de findById sans tenant) ; tests d’isolation systématiques en CI (bloquants).</w:t>
      </w:r>
    </w:p>
    <w:p>
      <w:pPr>
        <w:pStyle w:val="BodyText"/>
      </w:pPr>
      <w:r>
        <w:rPr>
          <w:b/>
          <w:bCs/>
        </w:rPr>
        <w:t xml:space="preserve">Couche DB : Row Level Security progressive</w:t>
      </w:r>
      <w:r>
        <w:t xml:space="preserve"> </w:t>
      </w:r>
      <w:r>
        <w:t xml:space="preserve">La doc PostgreSQL précise : superusers et rôles BYPASSRLS contournent RLS, et les owners contournent RLS sauf si FORCE ROW LEVEL SECURITY est activé.</w:t>
      </w:r>
      <w:r>
        <w:t xml:space="preserve"> </w:t>
      </w:r>
      <w:hyperlink r:id="rId94">
        <w:r>
          <w:rPr>
            <w:rStyle w:val="Hyperlink"/>
          </w:rPr>
          <w:t xml:space="preserve">[53]</w:t>
        </w:r>
      </w:hyperlink>
    </w:p>
    <w:p>
      <w:pPr>
        <w:pStyle w:val="BodyText"/>
      </w:pPr>
      <w:r>
        <w:t xml:space="preserve">Politique recommandée :</w:t>
      </w:r>
      <w:r>
        <w:t xml:space="preserve"> </w:t>
      </w:r>
      <w:r>
        <w:t xml:space="preserve">- Sprint A–D : tenant_id + filtres app + tests d’isolation.</w:t>
      </w:r>
      <w:r>
        <w:t xml:space="preserve"> </w:t>
      </w:r>
      <w:r>
        <w:t xml:space="preserve">- Hardening : activer RLS sur tables critiques (documents, audit_event, imports, mappings).</w:t>
      </w:r>
      <w:r>
        <w:t xml:space="preserve"> </w:t>
      </w:r>
      <w:r>
        <w:t xml:space="preserve">- En staging : utiliser FORCE sur tables critiques, et vérifier que</w:t>
      </w:r>
      <w:r>
        <w:t xml:space="preserve"> </w:t>
      </w:r>
      <w:r>
        <w:rPr>
          <w:rStyle w:val="VerbatimChar"/>
        </w:rPr>
        <w:t xml:space="preserve">row_security</w:t>
      </w:r>
      <w:r>
        <w:t xml:space="preserve"> </w:t>
      </w:r>
      <w:r>
        <w:t xml:space="preserve">est bien géré (pg_dump met row_security=off et l’owner/superuser bypass).</w:t>
      </w:r>
      <w:r>
        <w:t xml:space="preserve"> </w:t>
      </w:r>
      <w:hyperlink r:id="rId95">
        <w:r>
          <w:rPr>
            <w:rStyle w:val="Hyperlink"/>
          </w:rPr>
          <w:t xml:space="preserve">[54]</w:t>
        </w:r>
      </w:hyperlink>
    </w:p>
    <w:bookmarkEnd w:id="96"/>
    <w:bookmarkStart w:id="97" w:name="audit-logging-schéma-minimum-banquegrade"/>
    <w:p>
      <w:pPr>
        <w:pStyle w:val="Heading3"/>
      </w:pPr>
      <w:r>
        <w:t xml:space="preserve">Audit logging : schéma minimum banque‑grade</w:t>
      </w:r>
    </w:p>
    <w:p>
      <w:pPr>
        <w:pStyle w:val="FirstParagraph"/>
      </w:pPr>
      <w:r>
        <w:t xml:space="preserve">Table</w:t>
      </w:r>
      <w:r>
        <w:t xml:space="preserve"> </w:t>
      </w:r>
      <w:r>
        <w:rPr>
          <w:rStyle w:val="VerbatimChar"/>
        </w:rPr>
        <w:t xml:space="preserve">audit_event</w:t>
      </w:r>
      <w:r>
        <w:t xml:space="preserve"> </w:t>
      </w:r>
      <w:r>
        <w:t xml:space="preserve">(append‑only) :</w:t>
      </w:r>
      <w:r>
        <w:t xml:space="preserve"> </w:t>
      </w:r>
      <w:r>
        <w:t xml:space="preserve">- tenant_id, occurred_at,</w:t>
      </w:r>
      <w:r>
        <w:t xml:space="preserve"> </w:t>
      </w:r>
      <w:r>
        <w:t xml:space="preserve">- actor_user_id, actor_roles,</w:t>
      </w:r>
      <w:r>
        <w:t xml:space="preserve"> </w:t>
      </w:r>
      <w:r>
        <w:t xml:space="preserve">- request_id, trace_id, ip, user_agent,</w:t>
      </w:r>
      <w:r>
        <w:t xml:space="preserve"> </w:t>
      </w:r>
      <w:r>
        <w:t xml:space="preserve">- action (enum), resource_type, resource_id,</w:t>
      </w:r>
      <w:r>
        <w:t xml:space="preserve"> </w:t>
      </w:r>
      <w:r>
        <w:t xml:space="preserve">- metadata jsonb (diffs, raisons),</w:t>
      </w:r>
      <w:r>
        <w:t xml:space="preserve"> </w:t>
      </w:r>
      <w:r>
        <w:t xml:space="preserve">- ai_metadata (model_version, prompt_version, schema_version, outcome accept/reject).</w:t>
      </w:r>
    </w:p>
    <w:p>
      <w:pPr>
        <w:pStyle w:val="BodyText"/>
      </w:pPr>
      <w:r>
        <w:t xml:space="preserve">Objectif : pouvoir répondre “qui a validé quoi, sur quelle base, à quel moment”, y compris pour les décisions assistées IA.</w:t>
      </w:r>
    </w:p>
    <w:bookmarkEnd w:id="97"/>
    <w:bookmarkStart w:id="99" w:name="X3f21dbe34a8b221a9cf4a9aa78a3e430d90fac6"/>
    <w:p>
      <w:pPr>
        <w:pStyle w:val="Heading3"/>
      </w:pPr>
      <w:r>
        <w:t xml:space="preserve">API design : REST first + OpenAPI, GraphQL plus tard (sécurisé)</w:t>
      </w:r>
    </w:p>
    <w:p>
      <w:pPr>
        <w:pStyle w:val="Compact"/>
        <w:numPr>
          <w:ilvl w:val="0"/>
          <w:numId w:val="1008"/>
        </w:numPr>
      </w:pPr>
      <w:r>
        <w:t xml:space="preserve">REST en V1 (simplifie le delivery et réduit la surface).</w:t>
      </w:r>
    </w:p>
    <w:p>
      <w:pPr>
        <w:pStyle w:val="Compact"/>
        <w:numPr>
          <w:ilvl w:val="0"/>
          <w:numId w:val="1008"/>
        </w:numPr>
      </w:pPr>
      <w:r>
        <w:t xml:space="preserve">OpenAPI auto‑générée (springdoc) pour servir de contrat à l’équipe front et à Codex, et pour accélérer les tests de contrat.</w:t>
      </w:r>
      <w:r>
        <w:t xml:space="preserve"> </w:t>
      </w:r>
      <w:hyperlink r:id="rId38">
        <w:r>
          <w:rPr>
            <w:rStyle w:val="Hyperlink"/>
          </w:rPr>
          <w:t xml:space="preserve">[55]</w:t>
        </w:r>
      </w:hyperlink>
    </w:p>
    <w:p>
      <w:pPr>
        <w:pStyle w:val="FirstParagraph"/>
      </w:pPr>
      <w:r>
        <w:t xml:space="preserve">GraphQL (plus tard) :</w:t>
      </w:r>
      <w:r>
        <w:t xml:space="preserve"> </w:t>
      </w:r>
      <w:r>
        <w:t xml:space="preserve">- GraphQL.org recommande de limiter profondeur, list nesting, et d’utiliser rate limiting / query complexity.</w:t>
      </w:r>
      <w:r>
        <w:t xml:space="preserve"> </w:t>
      </w:r>
      <w:hyperlink r:id="rId27">
        <w:r>
          <w:rPr>
            <w:rStyle w:val="Hyperlink"/>
          </w:rPr>
          <w:t xml:space="preserve">[5]</w:t>
        </w:r>
      </w:hyperlink>
      <w:r>
        <w:br/>
      </w:r>
      <w:r>
        <w:t xml:space="preserve">- OWASP</w:t>
      </w:r>
      <w:hyperlink r:id="rId43">
        <w:r>
          <w:rPr>
            <w:rStyle w:val="Hyperlink"/>
          </w:rPr>
          <w:t xml:space="preserve">[56]</w:t>
        </w:r>
      </w:hyperlink>
      <w:r>
        <w:t xml:space="preserve"> </w:t>
      </w:r>
      <w:r>
        <w:t xml:space="preserve">recommande aussi de limiter les requêtes coûteuses, de désactiver introspection/GraphiQL en prod, et d’assurer l’access control.</w:t>
      </w:r>
      <w:r>
        <w:t xml:space="preserve"> </w:t>
      </w:r>
      <w:hyperlink r:id="rId98">
        <w:r>
          <w:rPr>
            <w:rStyle w:val="Hyperlink"/>
          </w:rPr>
          <w:t xml:space="preserve">[57]</w:t>
        </w:r>
      </w:hyperlink>
    </w:p>
    <w:bookmarkEnd w:id="99"/>
    <w:bookmarkStart w:id="100" w:name="endpoints-et-contrats-exemples"/>
    <w:p>
      <w:pPr>
        <w:pStyle w:val="Heading3"/>
      </w:pPr>
      <w:r>
        <w:t xml:space="preserve">Endpoints et contrats (exemples)</w:t>
      </w:r>
    </w:p>
    <w:p>
      <w:pPr>
        <w:pStyle w:val="FirstParagraph"/>
      </w:pPr>
      <w:r>
        <w:t>Closing - POST /api/closings ; GET /api/closings/{closingId} ; PATCH /api/closings/{closingId}/archive. Retour : identité du dossier, période, statut et contexte tenant.</w:t>
      </w:r>
    </w:p>
    <w:p>
      <w:pPr>
        <w:pStyle w:val="BodyText"/>
      </w:pPr>
      <w:r>
        <w:t>Import balance - POST /api/closings/{closingId}/imports/balance (multipart CSV) ; GET /api/closings/{closingId}/imports. Retour : importId, stats, erreurs, horodatage.</w:t>
      </w:r>
    </w:p>
    <w:p>
      <w:pPr>
        <w:pStyle w:val="SourceCode"/>
      </w:pPr>
      <w:r>
        <w:rPr>
          <w:rStyle w:val="VerbatimChar"/>
        </w:rPr>
        <w:t xml:space="preserve">{</w:t>
      </w:r>
      <w:r>
        <w:br/>
      </w:r>
      <w:r>
        <w:rPr>
          <w:rStyle w:val="VerbatimChar"/>
        </w:rPr>
        <w:t xml:space="preserve">  "mappings": [</w:t>
      </w:r>
      <w:r>
        <w:br/>
      </w:r>
      <w:r>
        <w:rPr>
          <w:rStyle w:val="VerbatimChar"/>
        </w:rPr>
        <w:t xml:space="preserve">    { "accountId": "1200", "targetRubricId": "ASSETS.CASH.CASH" },</w:t>
      </w:r>
      <w:r>
        <w:br/>
      </w:r>
      <w:r>
        <w:rPr>
          <w:rStyle w:val="VerbatimChar"/>
        </w:rPr>
        <w:t xml:space="preserve">    { "accountId": "1020", "targetRubricId": "ASSETS.CASH.BANK" }</w:t>
      </w:r>
      <w:r>
        <w:br/>
      </w:r>
      <w:r>
        <w:rPr>
          <w:rStyle w:val="VerbatimChar"/>
        </w:rPr>
        <w:t xml:space="preserve">  ]</w:t>
      </w:r>
      <w:r>
        <w:br/>
      </w:r>
      <w:r>
        <w:rPr>
          <w:rStyle w:val="VerbatimChar"/>
        </w:rPr>
        <w:t xml:space="preserve">}</w:t>
      </w:r>
    </w:p>
    <w:p>
      <w:pPr>
        <w:pStyle w:val="FirstParagraph"/>
      </w:pPr>
      <w:r>
        <w:t>Mapping - GET /api/closings/{closingId}/mapping ; PUT /api/closings/{closingId}/mapping. Le contrat doit rester centré sur le dernier import actif et sur la projection courante.</w:t>
      </w:r>
    </w:p>
    <w:p>
      <w:pPr>
        <w:pStyle w:val="BodyText"/>
      </w:pPr>
      <w:r>
        <w:t>Controls - POST /api/closings/{closingId}/controls/run ; GET /api/closings/{closingId}/controls. C’est la prochaine surface API structurante.</w:t>
      </w:r>
    </w:p>
    <w:p>
      <w:pPr>
        <w:pStyle w:val="BodyText"/>
      </w:pPr>
      <w:r>
        <w:t>Financials / workpapers : endpoints futurs, à ouvrir seulement lorsque ces modules entrent réellement dans le périmètre de delivery.</w:t>
      </w:r>
    </w:p>
    <w:p>
      <w:pPr>
        <w:pStyle w:val="BodyText"/>
      </w:pPr>
      <w:r>
        <w:t>Exports : endpoint futur ; ne pas figer de contrat final tant que le gate draft/final et les livrables ne sont pas stabilisés.</w:t>
      </w:r>
    </w:p>
    <w:bookmarkEnd w:id="100"/>
    <w:bookmarkStart w:id="103" w:name="observabilité-et-sre-minimal"/>
    <w:p>
      <w:pPr>
        <w:pStyle w:val="Heading3"/>
      </w:pPr>
      <w:r>
        <w:t xml:space="preserve">Observabilité et SRE minimal</w:t>
      </w:r>
    </w:p>
    <w:p>
      <w:pPr>
        <w:pStyle w:val="Compact"/>
        <w:numPr>
          <w:ilvl w:val="0"/>
          <w:numId w:val="1009"/>
        </w:numPr>
      </w:pPr>
      <w:r>
        <w:t xml:space="preserve">Google Cloud Observability (Logging/Monitoring/Trace) pour monitorer, tracer et diagnostiquer.</w:t>
      </w:r>
      <w:r>
        <w:t xml:space="preserve"> </w:t>
      </w:r>
      <w:hyperlink r:id="rId54">
        <w:r>
          <w:rPr>
            <w:rStyle w:val="Hyperlink"/>
          </w:rPr>
          <w:t xml:space="preserve">[27]</w:t>
        </w:r>
      </w:hyperlink>
    </w:p>
    <w:p>
      <w:pPr>
        <w:pStyle w:val="Compact"/>
        <w:numPr>
          <w:ilvl w:val="0"/>
          <w:numId w:val="1009"/>
        </w:numPr>
      </w:pPr>
      <w:r>
        <w:t xml:space="preserve">Cloud Run documente la supervision (logs, Error Reporting, metrics, tracing).</w:t>
      </w:r>
      <w:r>
        <w:t xml:space="preserve"> </w:t>
      </w:r>
      <w:hyperlink r:id="rId101">
        <w:r>
          <w:rPr>
            <w:rStyle w:val="Hyperlink"/>
          </w:rPr>
          <w:t xml:space="preserve">[59]</w:t>
        </w:r>
      </w:hyperlink>
    </w:p>
    <w:p>
      <w:pPr>
        <w:pStyle w:val="Compact"/>
        <w:numPr>
          <w:ilvl w:val="0"/>
          <w:numId w:val="1009"/>
        </w:numPr>
      </w:pPr>
      <w:r>
        <w:t xml:space="preserve">Spring Modulith Insight starter expose des infos d’architecture via Actuator et capture metrics/traces des interactions de modules.</w:t>
      </w:r>
      <w:r>
        <w:t xml:space="preserve"> </w:t>
      </w:r>
      <w:hyperlink r:id="rId102">
        <w:r>
          <w:rPr>
            <w:rStyle w:val="Hyperlink"/>
          </w:rPr>
          <w:t xml:space="preserve">[60]</w:t>
        </w:r>
      </w:hyperlink>
    </w:p>
    <w:p>
      <w:pPr>
        <w:pStyle w:val="Compact"/>
        <w:numPr>
          <w:ilvl w:val="0"/>
          <w:numId w:val="1009"/>
        </w:numPr>
      </w:pPr>
      <w:r>
        <w:t xml:space="preserve">Spring AI observability : metrics et traces pour ChatClient/ChatModel/VectorStore (utile pour diagnostiquer latence et dérive).</w:t>
      </w:r>
      <w:r>
        <w:t xml:space="preserve"> </w:t>
      </w:r>
      <w:hyperlink r:id="rId88">
        <w:r>
          <w:rPr>
            <w:rStyle w:val="Hyperlink"/>
          </w:rPr>
          <w:t xml:space="preserve">[50]</w:t>
        </w:r>
      </w:hyperlink>
    </w:p>
    <w:bookmarkEnd w:id="103"/>
    <w:bookmarkStart w:id="105" w:name="X9b4b1c1623ea0a7e38d70f753a15a0d2b69e862"/>
    <w:p>
      <w:pPr>
        <w:pStyle w:val="Heading3"/>
      </w:pPr>
      <w:r>
        <w:t xml:space="preserve">Stratégie de tests (qualité non négociable)</w:t>
      </w:r>
    </w:p>
    <w:p>
      <w:pPr>
        <w:pStyle w:val="Compact"/>
        <w:numPr>
          <w:ilvl w:val="0"/>
          <w:numId w:val="1010"/>
        </w:numPr>
      </w:pPr>
      <w:r>
        <w:t>Unit tests : closing, import, mapping, règles de tenancy, audit, puis controls.</w:t>
      </w:r>
    </w:p>
    <w:p>
      <w:pPr>
        <w:pStyle w:val="Compact"/>
        <w:numPr>
          <w:ilvl w:val="0"/>
          <w:numId w:val="1010"/>
        </w:numPr>
      </w:pPr>
      <w:r>
        <w:t xml:space="preserve">Integration tests :</w:t>
      </w:r>
    </w:p>
    <w:p>
      <w:pPr>
        <w:pStyle w:val="Compact"/>
        <w:numPr>
          <w:ilvl w:val="0"/>
          <w:numId w:val="1010"/>
        </w:numPr>
      </w:pPr>
      <w:r>
        <w:t xml:space="preserve">Spring Modulith : tests d’intégration de modules isolés.</w:t>
      </w:r>
      <w:r>
        <w:t xml:space="preserve"> </w:t>
      </w:r>
      <w:hyperlink r:id="rId104">
        <w:r>
          <w:rPr>
            <w:rStyle w:val="Hyperlink"/>
          </w:rPr>
          <w:t xml:space="preserve">[61]</w:t>
        </w:r>
      </w:hyperlink>
    </w:p>
    <w:p>
      <w:pPr>
        <w:pStyle w:val="Compact"/>
        <w:numPr>
          <w:ilvl w:val="0"/>
          <w:numId w:val="1010"/>
        </w:numPr>
      </w:pPr>
      <w:r>
        <w:t>Validation DB réelle via PostgreSQL explicite / dbIntegrationTest ; pas de dépendance nominale à Testcontainers.</w:t>
      </w:r>
    </w:p>
    <w:p>
      <w:pPr>
        <w:pStyle w:val="Compact"/>
        <w:numPr>
          <w:ilvl w:val="0"/>
          <w:numId w:val="1010"/>
        </w:numPr>
      </w:pPr>
      <w:r>
        <w:t xml:space="preserve">Sécurité (RBAC + cross‑tenant).</w:t>
      </w:r>
    </w:p>
    <w:p>
      <w:pPr>
        <w:pStyle w:val="Compact"/>
        <w:numPr>
          <w:ilvl w:val="0"/>
          <w:numId w:val="1010"/>
        </w:numPr>
      </w:pPr>
      <w:r>
        <w:t xml:space="preserve">Tests d’architecture :</w:t>
      </w:r>
      <w:r>
        <w:t xml:space="preserve"> </w:t>
      </w:r>
      <w:r>
        <w:rPr>
          <w:rStyle w:val="VerbatimChar"/>
        </w:rPr>
        <w:t xml:space="preserve">ApplicationModules.verify()</w:t>
      </w:r>
      <w:r>
        <w:t xml:space="preserve"> </w:t>
      </w:r>
      <w:r>
        <w:t xml:space="preserve">obligatoire.</w:t>
      </w:r>
      <w:r>
        <w:t xml:space="preserve"> </w:t>
      </w:r>
      <w:hyperlink r:id="rId64">
        <w:r>
          <w:rPr>
            <w:rStyle w:val="Hyperlink"/>
          </w:rPr>
          <w:t xml:space="preserve">[35]</w:t>
        </w:r>
      </w:hyperlink>
    </w:p>
    <w:p>
      <w:pPr>
        <w:pStyle w:val="Compact"/>
        <w:numPr>
          <w:ilvl w:val="0"/>
          <w:numId w:val="1010"/>
        </w:numPr>
      </w:pPr>
      <w:r>
        <w:t xml:space="preserve">E2E (staging Cloud) : scénario complet “closing” sur dataset fixe.</w:t>
      </w:r>
    </w:p>
    <w:p>
      <w:pPr>
        <w:pStyle w:val="Compact"/>
        <w:numPr>
          <w:ilvl w:val="0"/>
          <w:numId w:val="1010"/>
        </w:numPr>
      </w:pPr>
      <w:r>
        <w:t>Perf checks : import 10k–50k lignes, endpoints critiques du cockpit, et latence p95 sur les surfaces réellement actives.</w:t>
      </w:r>
    </w:p>
    <w:bookmarkEnd w:id="105"/>
    <w:bookmarkStart w:id="109" w:name="déploiement-google-cloud-cicd-et-dr"/>
    <w:p>
      <w:pPr>
        <w:pStyle w:val="Heading3"/>
      </w:pPr>
      <w:r>
        <w:t xml:space="preserve">Déploiement Google Cloud, CI/CD et DR</w:t>
      </w:r>
    </w:p>
    <w:p>
      <w:pPr>
        <w:pStyle w:val="Compact"/>
        <w:numPr>
          <w:ilvl w:val="0"/>
          <w:numId w:val="1011"/>
        </w:numPr>
      </w:pPr>
      <w:r>
        <w:t xml:space="preserve">Cloud Build : exécute les builds et peut produire des artefacts (conteneurs).</w:t>
      </w:r>
      <w:r>
        <w:t xml:space="preserve"> </w:t>
      </w:r>
      <w:hyperlink r:id="rId53">
        <w:r>
          <w:rPr>
            <w:rStyle w:val="Hyperlink"/>
          </w:rPr>
          <w:t xml:space="preserve">[62]</w:t>
        </w:r>
      </w:hyperlink>
    </w:p>
    <w:p>
      <w:pPr>
        <w:pStyle w:val="Compact"/>
        <w:numPr>
          <w:ilvl w:val="0"/>
          <w:numId w:val="1011"/>
        </w:numPr>
      </w:pPr>
      <w:r>
        <w:t xml:space="preserve">Artifact Registry : “single location” pour stocker images et packages.</w:t>
      </w:r>
      <w:r>
        <w:t xml:space="preserve"> </w:t>
      </w:r>
      <w:hyperlink r:id="rId106">
        <w:r>
          <w:rPr>
            <w:rStyle w:val="Hyperlink"/>
          </w:rPr>
          <w:t xml:space="preserve">[63]</w:t>
        </w:r>
      </w:hyperlink>
    </w:p>
    <w:p>
      <w:pPr>
        <w:pStyle w:val="Compact"/>
        <w:numPr>
          <w:ilvl w:val="0"/>
          <w:numId w:val="1011"/>
        </w:numPr>
      </w:pPr>
      <w:r>
        <w:t xml:space="preserve">Déploiement Cloud Run : doc dédiée au déploiement de conteneurs.</w:t>
      </w:r>
      <w:r>
        <w:t xml:space="preserve"> </w:t>
      </w:r>
      <w:hyperlink r:id="rId107">
        <w:r>
          <w:rPr>
            <w:rStyle w:val="Hyperlink"/>
          </w:rPr>
          <w:t xml:space="preserve">[64]</w:t>
        </w:r>
      </w:hyperlink>
    </w:p>
    <w:p>
      <w:pPr>
        <w:pStyle w:val="Compact"/>
        <w:numPr>
          <w:ilvl w:val="0"/>
          <w:numId w:val="1011"/>
        </w:numPr>
      </w:pPr>
      <w:r>
        <w:t xml:space="preserve">Secrets : Cloud Run peut monter des secrets Secret Manager (fichier/env).</w:t>
      </w:r>
      <w:r>
        <w:t xml:space="preserve"> </w:t>
      </w:r>
      <w:hyperlink r:id="rId108">
        <w:r>
          <w:rPr>
            <w:rStyle w:val="Hyperlink"/>
          </w:rPr>
          <w:t xml:space="preserve">[65]</w:t>
        </w:r>
      </w:hyperlink>
    </w:p>
    <w:p>
      <w:pPr>
        <w:pStyle w:val="Compact"/>
        <w:numPr>
          <w:ilvl w:val="0"/>
          <w:numId w:val="1011"/>
        </w:numPr>
      </w:pPr>
      <w:r>
        <w:t xml:space="preserve">Backups &amp; DR Cloud SQL :</w:t>
      </w:r>
    </w:p>
    <w:p>
      <w:pPr>
        <w:pStyle w:val="Compact"/>
        <w:numPr>
          <w:ilvl w:val="0"/>
          <w:numId w:val="1011"/>
        </w:numPr>
      </w:pPr>
      <w:r>
        <w:t xml:space="preserve">PITR : restauration à un point dans le temps, y compris pour une instance supprimée (restaure vers une nouvelle instance).</w:t>
      </w:r>
      <w:r>
        <w:t xml:space="preserve"> </w:t>
      </w:r>
      <w:hyperlink r:id="rId72">
        <w:r>
          <w:rPr>
            <w:rStyle w:val="Hyperlink"/>
          </w:rPr>
          <w:t xml:space="preserve">[66]</w:t>
        </w:r>
      </w:hyperlink>
    </w:p>
    <w:p>
      <w:pPr>
        <w:pStyle w:val="Compact"/>
        <w:numPr>
          <w:ilvl w:val="0"/>
          <w:numId w:val="1011"/>
        </w:numPr>
      </w:pPr>
      <w:r>
        <w:t xml:space="preserve">HA : Cloud SQL recommande HA régionale pour prod ; et HA crée une instance régionale (failover multi‑zone).</w:t>
      </w:r>
      <w:r>
        <w:t xml:space="preserve"> </w:t>
      </w:r>
      <w:hyperlink r:id="rId59">
        <w:r>
          <w:rPr>
            <w:rStyle w:val="Hyperlink"/>
          </w:rPr>
          <w:t xml:space="preserve">[67]</w:t>
        </w:r>
      </w:hyperlink>
    </w:p>
    <w:bookmarkEnd w:id="109"/>
    <w:bookmarkEnd w:id="110"/>
    <w:bookmarkStart w:id="120" w:name="X0cad71022186fd0b3cf5530bfddcb6a0e8c3690"/>
    <w:p>
      <w:pPr>
        <w:pStyle w:val="Heading2"/>
      </w:pPr>
      <w:r>
        <w:t xml:space="preserve">Brief “Codex agent” prêt à copier-coller, plan pilote et annexes</w:t>
      </w:r>
    </w:p>
    <w:bookmarkStart w:id="115" w:name="brief-codex-agent"/>
    <w:p>
      <w:pPr>
        <w:pStyle w:val="Heading3"/>
      </w:pPr>
      <w:r>
        <w:t xml:space="preserve">Brief Codex agent</w:t>
      </w:r>
    </w:p>
    <w:p>
      <w:pPr>
        <w:pStyle w:val="FirstParagraph"/>
      </w:pPr>
      <w:r>
        <w:t xml:space="preserve">Le but est que Codex produise du code</w:t>
      </w:r>
      <w:r>
        <w:t xml:space="preserve"> </w:t>
      </w:r>
      <w:r>
        <w:rPr>
          <w:b/>
          <w:bCs/>
        </w:rPr>
        <w:t xml:space="preserve">mergeable</w:t>
      </w:r>
      <w:r>
        <w:t xml:space="preserve"> </w:t>
      </w:r>
      <w:r>
        <w:t xml:space="preserve">avec tests et critères d’acceptation. OpenAI décrit l’usage de Codex pour des tâches long‑horizon avec automatisations.</w:t>
      </w:r>
      <w:r>
        <w:t xml:space="preserve"> </w:t>
      </w:r>
      <w:hyperlink r:id="rId86">
        <w:r>
          <w:rPr>
            <w:rStyle w:val="Hyperlink"/>
          </w:rPr>
          <w:t xml:space="preserve">[68]</w:t>
        </w:r>
      </w:hyperlink>
    </w:p>
    <w:bookmarkStart w:id="111" w:name="tâches-exactes-ordre-recommandé"/>
    <w:p>
      <w:pPr>
        <w:pStyle w:val="Heading4"/>
      </w:pPr>
      <w:r>
        <w:t xml:space="preserve">Tâches exactes (ordre recommandé)</w:t>
      </w:r>
    </w:p>
    <w:p>
      <w:pPr>
        <w:pStyle w:val="FirstParagraph"/>
      </w:pPr>
      <w:r>
        <w:t>1) Vérifier l’alignement repo  /  ADRs  /  2.3  /  AGENTS.md.</w:t>
        <w:br/>
      </w:r>
      <w:r>
        <w:t>2) Stabiliser le module controls/readiness dans le monolithe existant.</w:t>
        <w:br/>
      </w:r>
      <w:r>
        <w:t>3) Renforcer les tests cross-tenant et audit_event sur les mutations significatives.</w:t>
        <w:br/>
      </w:r>
      <w:r>
        <w:t>4) Fixer les contrats REST closing/import/mapping/controls dans OpenAPI.</w:t>
        <w:br/>
      </w:r>
      <w:r>
        <w:t>5) Consolider le rail de tests nominal sans Docker local ; réserver la validation PostgreSQL réelle à dbIntegrationTest.</w:t>
        <w:br/>
      </w:r>
      <w:r>
        <w:t>6) Préparer les ports IA côté backend sans activer de runtime IA structurant.</w:t>
        <w:br/>
      </w:r>
      <w:r>
        <w:t>7) Documenter les triggers d’introduction de financials/workpapers/exports plutôt que de les coder prématurément.</w:t>
        <w:br/>
      </w:r>
      <w:r>
        <w:t>8) Ajouter les métriques et alertes utiles au cockpit actuel.</w:t>
        <w:br/>
      </w:r>
      <w:r>
        <w:t>9) Préparer le plan pilote sur le flux closing  -&gt;  import  -&gt;  mapping  -&gt;  controls.</w:t>
        <w:br/>
      </w:r>
      <w:r>
        <w:t>10) Réserver les vagues EF, exports et IA assistée à des specs dédiées quand le backbone est validé.</w:t>
      </w:r>
    </w:p>
    <w:bookmarkEnd w:id="111"/>
    <w:bookmarkStart w:id="112" w:name="tests-dacceptation-à-imposer-à-codex"/>
    <w:p>
      <w:pPr>
        <w:pStyle w:val="Heading4"/>
      </w:pPr>
      <w:r>
        <w:t xml:space="preserve">Tests d’acceptation à imposer à Codex</w:t>
      </w:r>
    </w:p>
    <w:p>
      <w:pPr>
        <w:pStyle w:val="Compact"/>
        <w:numPr>
          <w:ilvl w:val="0"/>
          <w:numId w:val="1012"/>
        </w:numPr>
      </w:pPr>
      <w:r>
        <w:t xml:space="preserve">Un test d’isolation cross‑tenant (A ne voit pas B) doit exister dès Sprint A.</w:t>
      </w:r>
    </w:p>
    <w:p>
      <w:pPr>
        <w:pStyle w:val="Compact"/>
        <w:numPr>
          <w:ilvl w:val="0"/>
          <w:numId w:val="1012"/>
        </w:numPr>
      </w:pPr>
      <w:r>
        <w:rPr>
          <w:rStyle w:val="VerbatimChar"/>
        </w:rPr>
        <w:t xml:space="preserve">ApplicationModules.verify()</w:t>
      </w:r>
      <w:r>
        <w:t xml:space="preserve"> </w:t>
      </w:r>
      <w:r>
        <w:t xml:space="preserve">doit tourner dans CI à chaque PR.</w:t>
      </w:r>
      <w:r>
        <w:t xml:space="preserve"> </w:t>
      </w:r>
      <w:hyperlink r:id="rId64">
        <w:r>
          <w:rPr>
            <w:rStyle w:val="Hyperlink"/>
          </w:rPr>
          <w:t xml:space="preserve">[35]</w:t>
        </w:r>
      </w:hyperlink>
    </w:p>
    <w:p>
      <w:pPr>
        <w:pStyle w:val="Compact"/>
        <w:numPr>
          <w:ilvl w:val="0"/>
          <w:numId w:val="1012"/>
        </w:numPr>
      </w:pPr>
      <w:r>
        <w:t xml:space="preserve">Import de dataset de 10k lignes &lt; seuil p95 défini (ex. 5–10s en staging).</w:t>
      </w:r>
    </w:p>
    <w:p>
      <w:pPr>
        <w:pStyle w:val="Compact"/>
        <w:numPr>
          <w:ilvl w:val="0"/>
          <w:numId w:val="1012"/>
        </w:numPr>
      </w:pPr>
      <w:r>
        <w:t>Controls/readiness : un dataset de référence produit des statuts explicites, reproductibles et lisibles.</w:t>
      </w:r>
    </w:p>
    <w:p>
      <w:pPr>
        <w:pStyle w:val="Compact"/>
        <w:numPr>
          <w:ilvl w:val="0"/>
          <w:numId w:val="1012"/>
        </w:numPr>
      </w:pPr>
      <w:r>
        <w:t>Audit_event : exactement un événement structuré est émis pour chaque mutation significative couverte.</w:t>
      </w:r>
    </w:p>
    <w:p>
      <w:pPr>
        <w:pStyle w:val="Compact"/>
        <w:numPr>
          <w:ilvl w:val="0"/>
          <w:numId w:val="1012"/>
        </w:numPr>
      </w:pPr>
      <w:r>
        <w:t>Toute future suggestion IA doit être rejetée si elle ne valide pas le schéma strict ou si la feature est désactivée.</w:t>
      </w:r>
    </w:p>
    <w:bookmarkEnd w:id="112"/>
    <w:bookmarkStart w:id="113" w:name="pr-checklist-bloquante"/>
    <w:p>
      <w:pPr>
        <w:pStyle w:val="Heading4"/>
      </w:pPr>
      <w:r>
        <w:t xml:space="preserve">PR checklist (bloquante)</w:t>
      </w:r>
    </w:p>
    <w:p>
      <w:pPr>
        <w:pStyle w:val="Compact"/>
        <w:numPr>
          <w:ilvl w:val="0"/>
          <w:numId w:val="1013"/>
        </w:numPr>
      </w:pPr>
      <w:r>
        <w:t xml:space="preserve">build + tests verts</w:t>
      </w:r>
    </w:p>
    <w:p>
      <w:pPr>
        <w:pStyle w:val="Compact"/>
        <w:numPr>
          <w:ilvl w:val="0"/>
          <w:numId w:val="1013"/>
        </w:numPr>
      </w:pPr>
      <w:r>
        <w:rPr>
          <w:rStyle w:val="VerbatimChar"/>
        </w:rPr>
        <w:t xml:space="preserve">ApplicationModules.verify()</w:t>
      </w:r>
      <w:r>
        <w:t xml:space="preserve"> </w:t>
      </w:r>
      <w:r>
        <w:t xml:space="preserve">vert</w:t>
      </w:r>
      <w:r>
        <w:t xml:space="preserve"> </w:t>
      </w:r>
      <w:hyperlink r:id="rId64">
        <w:r>
          <w:rPr>
            <w:rStyle w:val="Hyperlink"/>
          </w:rPr>
          <w:t xml:space="preserve">[35]</w:t>
        </w:r>
      </w:hyperlink>
    </w:p>
    <w:p>
      <w:pPr>
        <w:pStyle w:val="Compact"/>
        <w:numPr>
          <w:ilvl w:val="0"/>
          <w:numId w:val="1013"/>
        </w:numPr>
      </w:pPr>
      <w:r>
        <w:t xml:space="preserve">tests cross‑tenant présents</w:t>
      </w:r>
    </w:p>
    <w:p>
      <w:pPr>
        <w:pStyle w:val="Compact"/>
        <w:numPr>
          <w:ilvl w:val="0"/>
          <w:numId w:val="1013"/>
        </w:numPr>
      </w:pPr>
      <w:r>
        <w:t xml:space="preserve">migrations DB incluses</w:t>
      </w:r>
    </w:p>
    <w:p>
      <w:pPr>
        <w:pStyle w:val="Compact"/>
        <w:numPr>
          <w:ilvl w:val="0"/>
          <w:numId w:val="1013"/>
        </w:numPr>
      </w:pPr>
      <w:r>
        <w:t xml:space="preserve">audit_event émis pour action critique</w:t>
      </w:r>
    </w:p>
    <w:p>
      <w:pPr>
        <w:pStyle w:val="Compact"/>
        <w:numPr>
          <w:ilvl w:val="0"/>
          <w:numId w:val="1013"/>
        </w:numPr>
      </w:pPr>
      <w:r>
        <w:t xml:space="preserve">OpenAPI à jour</w:t>
      </w:r>
    </w:p>
    <w:p>
      <w:pPr>
        <w:pStyle w:val="Compact"/>
        <w:numPr>
          <w:ilvl w:val="0"/>
          <w:numId w:val="1013"/>
        </w:numPr>
      </w:pPr>
      <w:r>
        <w:t xml:space="preserve">observabilité : logs structurés + métriques clés</w:t>
      </w:r>
    </w:p>
    <w:bookmarkEnd w:id="113"/>
    <w:bookmarkStart w:id="114" w:name="adrs-à-créer"/>
    <w:p>
      <w:pPr>
        <w:pStyle w:val="Heading4"/>
      </w:pPr>
      <w:r>
        <w:t xml:space="preserve">ADRs à créer</w:t>
      </w:r>
    </w:p>
    <w:p>
      <w:pPr>
        <w:pStyle w:val="Compact"/>
        <w:numPr>
          <w:ilvl w:val="0"/>
          <w:numId w:val="1014"/>
        </w:numPr>
      </w:pPr>
      <w:r>
        <w:t xml:space="preserve">Monolithe modulaire + critères d’extraction future (référence “Monolith First”).</w:t>
      </w:r>
      <w:r>
        <w:t xml:space="preserve"> </w:t>
      </w:r>
      <w:hyperlink r:id="rId90">
        <w:r>
          <w:rPr>
            <w:rStyle w:val="Hyperlink"/>
          </w:rPr>
          <w:t xml:space="preserve">[51]</w:t>
        </w:r>
      </w:hyperlink>
    </w:p>
    <w:p>
      <w:pPr>
        <w:pStyle w:val="Compact"/>
        <w:numPr>
          <w:ilvl w:val="0"/>
          <w:numId w:val="1014"/>
        </w:numPr>
      </w:pPr>
      <w:r>
        <w:t xml:space="preserve">Sécurité multi‑tenant + politique RLS progressive (BYPASSRLS, FORCE).</w:t>
      </w:r>
      <w:r>
        <w:t xml:space="preserve"> </w:t>
      </w:r>
      <w:hyperlink r:id="rId94">
        <w:r>
          <w:rPr>
            <w:rStyle w:val="Hyperlink"/>
          </w:rPr>
          <w:t xml:space="preserve">[73]</w:t>
        </w:r>
      </w:hyperlink>
    </w:p>
    <w:p>
      <w:pPr>
        <w:pStyle w:val="Compact"/>
        <w:numPr>
          <w:ilvl w:val="0"/>
          <w:numId w:val="1014"/>
        </w:numPr>
      </w:pPr>
      <w:r>
        <w:t xml:space="preserve">REST first + condition d’introduction GraphQL (depth/complexity).</w:t>
      </w:r>
      <w:r>
        <w:t xml:space="preserve"> </w:t>
      </w:r>
      <w:hyperlink r:id="rId27">
        <w:r>
          <w:rPr>
            <w:rStyle w:val="Hyperlink"/>
          </w:rPr>
          <w:t xml:space="preserve">[74]</w:t>
        </w:r>
      </w:hyperlink>
    </w:p>
    <w:p>
      <w:pPr>
        <w:pStyle w:val="Compact"/>
        <w:numPr>
          <w:ilvl w:val="0"/>
          <w:numId w:val="1014"/>
        </w:numPr>
      </w:pPr>
      <w:r>
        <w:t xml:space="preserve">AI Gateway ports + structured outputs + evals + pinning.</w:t>
      </w:r>
      <w:r>
        <w:t xml:space="preserve"> </w:t>
      </w:r>
      <w:hyperlink r:id="rId71">
        <w:r>
          <w:rPr>
            <w:rStyle w:val="Hyperlink"/>
          </w:rPr>
          <w:t xml:space="preserve">[75]</w:t>
        </w:r>
      </w:hyperlink>
    </w:p>
    <w:bookmarkEnd w:id="114"/>
    <w:bookmarkEnd w:id="115"/>
    <w:bookmarkStart w:id="116" w:name="plan-pilote-5-fiduciaires-et-kpis-6-mois"/>
    <w:p>
      <w:pPr>
        <w:pStyle w:val="Heading3"/>
      </w:pPr>
      <w:r>
        <w:t xml:space="preserve">Plan pilote 5 fiduciaires et KPIs (6 mois)</w:t>
      </w:r>
    </w:p>
    <w:p>
      <w:pPr>
        <w:pStyle w:val="FirstParagraph"/>
      </w:pPr>
      <w:r>
        <w:rPr>
          <w:b/>
          <w:bCs/>
        </w:rPr>
        <w:t xml:space="preserve">Objectif pilote</w:t>
      </w:r>
      <w:r>
        <w:t xml:space="preserve"> </w:t>
      </w:r>
      <w:r>
        <w:t xml:space="preserve">: prouver (i) gain de temps, (ii) adoption, (iii) sécurité et auditabilité.</w:t>
      </w:r>
    </w:p>
    <w:p>
      <w:pPr>
        <w:pStyle w:val="BodyText"/>
      </w:pPr>
      <w:r>
        <w:t>Onboarding (cadence) : - Pilote 1 : après controls/readiness, sur le flux closing  -&gt;  import  -&gt;  mapping  -&gt;  controls. - Pilotes 2–3 : une fois la stabilité multi-tenant et l’observabilité confirmées. - Pilotes 4–5 : après élargissement maîtrisé à une vague supplémentaire (financials ou exports), pas avant.</w:t>
      </w:r>
    </w:p>
    <w:p>
      <w:pPr>
        <w:pStyle w:val="BodyText"/>
      </w:pPr>
      <w:r>
        <w:t>KPIs suivi mensuel (6 mois) : - Temps de traitement sur le flux cœur. - Taux de complétion closing  -&gt;  import  -&gt;  mapping  -&gt;  controls. - Nombre d’erreurs ou retours reviewer par dossier. - Latence p95 import/controls. - Adoption et satisfaction sur le noyau. - IA : seulement quand activée, taux accept/reject/modify.</w:t>
      </w:r>
    </w:p>
    <w:bookmarkEnd w:id="116"/>
    <w:bookmarkStart w:id="119" w:name="annexes"/>
    <w:p>
      <w:pPr>
        <w:pStyle w:val="Heading3"/>
      </w:pPr>
      <w:r>
        <w:t xml:space="preserve">Annexes</w:t>
      </w:r>
    </w:p>
    <w:bookmarkStart w:id="117" w:name="Xc986cf604085a572b75d566eda1b9315e82debe"/>
    <w:p>
      <w:pPr>
        <w:pStyle w:val="Heading4"/>
      </w:pPr>
      <w:r>
        <w:t xml:space="preserve">Comparatif in‑process Spring AI vs microservice Python (critères et triggers)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pPr>
            <w:r>
              <w:t xml:space="preserve">In‑process (Spring AI)</w:t>
            </w:r>
          </w:p>
        </w:tc>
        <w:tc>
          <w:tcPr/>
          <w:p>
            <w:pPr>
              <w:pStyle w:val="Compact"/>
            </w:pPr>
            <w:r>
              <w:t xml:space="preserve">Microservice Python</w:t>
            </w:r>
          </w:p>
        </w:tc>
        <w:tc>
          <w:tcPr/>
          <w:p>
            <w:pPr>
              <w:pStyle w:val="Compact"/>
            </w:pPr>
            <w:r>
              <w:t xml:space="preserve">Triggers/critères</w:t>
            </w:r>
          </w:p>
        </w:tc>
      </w:tr>
      <w:tr>
        <w:tc>
          <w:tcPr/>
          <w:p>
            <w:pPr>
              <w:pStyle w:val="Compact"/>
            </w:pPr>
            <w:r>
              <w:t xml:space="preserve">Time‑to‑market</w:t>
            </w:r>
          </w:p>
        </w:tc>
        <w:tc>
          <w:tcPr/>
          <w:p>
            <w:pPr>
              <w:pStyle w:val="Compact"/>
            </w:pPr>
            <w:r>
              <w:t xml:space="preserve">Très rapide (même repo)</w:t>
            </w:r>
          </w:p>
        </w:tc>
        <w:tc>
          <w:tcPr/>
          <w:p>
            <w:pPr>
              <w:pStyle w:val="Compact"/>
            </w:pPr>
            <w:r>
              <w:t xml:space="preserve">Plus lent (auth, réseau, ops)</w:t>
            </w:r>
          </w:p>
        </w:tc>
        <w:tc>
          <w:tcPr/>
          <w:p>
            <w:pPr>
              <w:pStyle w:val="Compact"/>
            </w:pPr>
            <w:r>
              <w:t>V1  -&gt;  in‑process</w:t>
            </w:r>
          </w:p>
        </w:tc>
      </w:tr>
      <w:tr>
        <w:tc>
          <w:tcPr/>
          <w:p>
            <w:pPr>
              <w:pStyle w:val="Compact"/>
            </w:pPr>
            <w:r>
              <w:t xml:space="preserve">Résilience</w:t>
            </w:r>
          </w:p>
        </w:tc>
        <w:tc>
          <w:tcPr/>
          <w:p>
            <w:pPr>
              <w:pStyle w:val="Compact"/>
            </w:pPr>
            <w:r>
              <w:t xml:space="preserve">Moins de dépendances</w:t>
            </w:r>
          </w:p>
        </w:tc>
        <w:tc>
          <w:tcPr/>
          <w:p>
            <w:pPr>
              <w:pStyle w:val="Compact"/>
            </w:pPr>
            <w:r>
              <w:t xml:space="preserve">Plus de points de panne</w:t>
            </w:r>
          </w:p>
        </w:tc>
        <w:tc>
          <w:tcPr/>
          <w:p>
            <w:pPr>
              <w:pStyle w:val="Compact"/>
            </w:pPr>
            <w:r>
              <w:t>Besoin isolation IA stricte  -&gt;  microservice</w:t>
            </w:r>
          </w:p>
        </w:tc>
      </w:tr>
      <w:tr>
        <w:tc>
          <w:tcPr/>
          <w:p>
            <w:pPr>
              <w:pStyle w:val="Compact"/>
            </w:pPr>
            <w:r>
              <w:t xml:space="preserve">Coût ops</w:t>
            </w:r>
          </w:p>
        </w:tc>
        <w:tc>
          <w:tcPr/>
          <w:p>
            <w:pPr>
              <w:pStyle w:val="Compact"/>
            </w:pPr>
            <w:r>
              <w:t xml:space="preserve">Faible</w:t>
            </w:r>
          </w:p>
        </w:tc>
        <w:tc>
          <w:tcPr/>
          <w:p>
            <w:pPr>
              <w:pStyle w:val="Compact"/>
            </w:pPr>
            <w:r>
              <w:t xml:space="preserve">Plus élevé</w:t>
            </w:r>
          </w:p>
        </w:tc>
        <w:tc>
          <w:tcPr/>
          <w:p>
            <w:pPr>
              <w:pStyle w:val="Compact"/>
            </w:pPr>
            <w:r>
              <w:t>équipe ops petite  -&gt;  in‑process</w:t>
            </w:r>
          </w:p>
        </w:tc>
      </w:tr>
      <w:tr>
        <w:tc>
          <w:tcPr/>
          <w:p>
            <w:pPr>
              <w:pStyle w:val="Compact"/>
            </w:pPr>
            <w:r>
              <w:t xml:space="preserve">OCR/Document AI</w:t>
            </w:r>
          </w:p>
        </w:tc>
        <w:tc>
          <w:tcPr/>
          <w:p>
            <w:pPr>
              <w:pStyle w:val="Compact"/>
            </w:pPr>
            <w:r>
              <w:t xml:space="preserve">JVM moins riche</w:t>
            </w:r>
          </w:p>
        </w:tc>
        <w:tc>
          <w:tcPr/>
          <w:p>
            <w:pPr>
              <w:pStyle w:val="Compact"/>
            </w:pPr>
            <w:r>
              <w:t xml:space="preserve">Écosystème Python riche</w:t>
            </w:r>
          </w:p>
        </w:tc>
        <w:tc>
          <w:tcPr/>
          <w:p>
            <w:pPr>
              <w:pStyle w:val="Compact"/>
            </w:pPr>
            <w:r>
              <w:t>OCR/tables pdf  -&gt;  microservice</w:t>
            </w:r>
          </w:p>
        </w:tc>
      </w:tr>
      <w:tr>
        <w:tc>
          <w:tcPr/>
          <w:p>
            <w:pPr>
              <w:pStyle w:val="Compact"/>
            </w:pPr>
            <w:r>
              <w:t xml:space="preserve">GPU/local models</w:t>
            </w:r>
          </w:p>
        </w:tc>
        <w:tc>
          <w:tcPr/>
          <w:p>
            <w:pPr>
              <w:pStyle w:val="Compact"/>
            </w:pPr>
            <w:r>
              <w:t xml:space="preserve">Complexe</w:t>
            </w:r>
          </w:p>
        </w:tc>
        <w:tc>
          <w:tcPr/>
          <w:p>
            <w:pPr>
              <w:pStyle w:val="Compact"/>
            </w:pPr>
            <w:r>
              <w:t xml:space="preserve">Naturel</w:t>
            </w:r>
          </w:p>
        </w:tc>
        <w:tc>
          <w:tcPr/>
          <w:p>
            <w:pPr>
              <w:pStyle w:val="Compact"/>
            </w:pPr>
            <w:r>
              <w:t>besoin GPU  -&gt;  microservice</w:t>
            </w:r>
          </w:p>
        </w:tc>
      </w:tr>
      <w:tr>
        <w:tc>
          <w:tcPr/>
          <w:p>
            <w:pPr>
              <w:pStyle w:val="Compact"/>
            </w:pPr>
            <w:r>
              <w:t xml:space="preserve">Scalabilité IA</w:t>
            </w:r>
          </w:p>
        </w:tc>
        <w:tc>
          <w:tcPr/>
          <w:p>
            <w:pPr>
              <w:pStyle w:val="Compact"/>
            </w:pPr>
            <w:r>
              <w:t xml:space="preserve">scale monolithe</w:t>
            </w:r>
          </w:p>
        </w:tc>
        <w:tc>
          <w:tcPr/>
          <w:p>
            <w:pPr>
              <w:pStyle w:val="Compact"/>
            </w:pPr>
            <w:r>
              <w:t xml:space="preserve">scale IA séparément</w:t>
            </w:r>
          </w:p>
        </w:tc>
        <w:tc>
          <w:tcPr/>
          <w:p>
            <w:pPr>
              <w:pStyle w:val="Compact"/>
            </w:pPr>
            <w:r>
              <w:t>charge IA variable  -&gt;  microservice</w:t>
            </w:r>
          </w:p>
        </w:tc>
      </w:tr>
      <w:tr>
        <w:tc>
          <w:tcPr/>
          <w:p>
            <w:pPr>
              <w:pStyle w:val="Compact"/>
            </w:pPr>
            <w:r>
              <w:t xml:space="preserve">Gouvernance</w:t>
            </w:r>
          </w:p>
        </w:tc>
        <w:tc>
          <w:tcPr/>
          <w:p>
            <w:pPr>
              <w:pStyle w:val="Compact"/>
            </w:pPr>
            <w:r>
              <w:t xml:space="preserve">plus simple</w:t>
            </w:r>
          </w:p>
        </w:tc>
        <w:tc>
          <w:tcPr/>
          <w:p>
            <w:pPr>
              <w:pStyle w:val="Compact"/>
            </w:pPr>
            <w:r>
              <w:t xml:space="preserve">double observabilité</w:t>
            </w:r>
          </w:p>
        </w:tc>
        <w:tc>
          <w:tcPr/>
          <w:p>
            <w:pPr>
              <w:pStyle w:val="Compact"/>
            </w:pPr>
            <w:r>
              <w:t>si perfs IA dominent  -&gt;  microservice</w:t>
            </w:r>
          </w:p>
        </w:tc>
      </w:tr>
    </w:tbl>
    <w:bookmarkEnd w:id="117"/>
    <w:bookmarkStart w:id="118" w:name="X0ad2218b94a8ea1a4357bbef6900d586b5d8a32"/>
    <w:p>
      <w:pPr>
        <w:pStyle w:val="Heading4"/>
      </w:pPr>
      <w:r>
        <w:t>Checklist des 10 actions immédiates (étape actuelle)</w:t>
      </w:r>
    </w:p>
    <w:p>
      <w:pPr>
        <w:pStyle w:val="FirstParagraph"/>
      </w:pPr>
      <w:r>
        <w:t>1) Vérifier les ADRs actifs et le cadrage 2.3 avant toute nouvelle spec.</w:t>
        <w:br/>
      </w:r>
      <w:r>
        <w:t>2) Fermer proprement la prochaine vague controls/readiness.</w:t>
        <w:br/>
      </w:r>
      <w:r>
        <w:t>3) Renforcer les tests tenant-scoped sur closing/import/mapping.</w:t>
        <w:br/>
      </w:r>
      <w:r>
        <w:t>4) Stabiliser X-Tenant-Id et les règles d’autorisation persistée.</w:t>
        <w:br/>
      </w:r>
      <w:r>
        <w:t>5) Maintenir audit_event append-only sur mutations significatives.</w:t>
        <w:br/>
      </w:r>
      <w:r>
        <w:t>6) Garder le rail nominal sans Docker local.</w:t>
        <w:br/>
      </w:r>
      <w:r>
        <w:t>7) Préparer les ports IA sans activer de dépendance runtime forte.</w:t>
        <w:br/>
      </w:r>
      <w:r>
        <w:t>8) Réserver financials, workpapers et exports à des vagues explicites.</w:t>
        <w:br/>
      </w:r>
      <w:r>
        <w:t>9) Préparer le pilote sur le flux cœur seulement.</w:t>
        <w:br/>
      </w:r>
      <w:r>
        <w:t>10) Mesurer avant d’élargir : pas d’IA ni de GraphQL sans douleur réelle.</w:t>
      </w:r>
    </w:p>
    <w:p>
      <w:pPr>
        <w:pStyle w:val="BodyText"/>
      </w:pPr>
      <w:r>
        <w:t>Pour finir, un repère utile : si tu dois expliquer ce plan en 30 secondes à ton équipe, dis-le comme ceci — “Le closing est d’abord un moteur déterministe, tenant-scoped et auditable. On stabilise le cockpit closing  -&gt;  import  -&gt;  mapping  -&gt;  controls, puis on ouvre les couches documentaires, d’export et d’IA seulement quand elles deviennent crédibles et rentables.”</w:t>
      </w:r>
    </w:p>
    <w:bookmarkEnd w:id="118"/>
    <w:bookmarkEnd w:id="119"/>
    <w:bookmarkEnd w:id="120"/>
    <w:bookmarkEnd w:id="121"/>
    <w:bookmarkEnd w:id="122"/>
    <w:p>
      <w:r>
        <w:pict>
          <v:rect style="width:0;height:1.5pt" o:hralign="center" o:hrstd="t" o:hr="t"/>
        </w:pict>
      </w:r>
    </w:p>
    <w:bookmarkStart w:id="123" w:name="citations"/>
    <w:p>
      <w:pPr>
        <w:pStyle w:val="FirstParagraph"/>
      </w:pPr>
      <w:hyperlink r:id="rId21">
        <w:r>
          <w:rPr>
            <w:rStyle w:val="Hyperlink"/>
          </w:rPr>
          <w:t xml:space="preserve">[1]</w:t>
        </w:r>
      </w:hyperlink>
      <w:r>
        <w:t xml:space="preserve"> </w:t>
      </w:r>
      <w:r>
        <w:t xml:space="preserve">Getting Started :: Spring AI Reference</w:t>
      </w:r>
    </w:p>
    <w:p>
      <w:pPr>
        <w:pStyle w:val="BodyText"/>
      </w:pPr>
      <w:hyperlink r:id="rId21">
        <w:r>
          <w:rPr>
            <w:rStyle w:val="Hyperlink"/>
          </w:rPr>
          <w:t xml:space="preserve">https://docs.spring.io/spring-ai/reference/getting-started.html?utm_source=chatgpt.com</w:t>
        </w:r>
      </w:hyperlink>
    </w:p>
    <w:p>
      <w:pPr>
        <w:pStyle w:val="BodyText"/>
      </w:pPr>
      <w:hyperlink r:id="rId22">
        <w:r>
          <w:rPr>
            <w:rStyle w:val="Hyperlink"/>
          </w:rPr>
          <w:t xml:space="preserve">[2]</w:t>
        </w:r>
      </w:hyperlink>
      <w:r>
        <w:t xml:space="preserve"> </w:t>
      </w:r>
      <w:r>
        <w:t xml:space="preserve">What is Cloud Run</w:t>
      </w:r>
    </w:p>
    <w:p>
      <w:pPr>
        <w:pStyle w:val="BodyText"/>
      </w:pPr>
      <w:hyperlink r:id="rId22">
        <w:r>
          <w:rPr>
            <w:rStyle w:val="Hyperlink"/>
          </w:rPr>
          <w:t xml:space="preserve">https://docs.cloud.google.com/run/docs/overview/what-is-cloud-run?utm_source=chatgpt.com</w:t>
        </w:r>
      </w:hyperlink>
    </w:p>
    <w:p>
      <w:pPr>
        <w:pStyle w:val="BodyText"/>
      </w:pPr>
      <w:hyperlink r:id="rId25">
        <w:r>
          <w:rPr>
            <w:rStyle w:val="Hyperlink"/>
          </w:rPr>
          <w:t xml:space="preserve">[3]</w:t>
        </w:r>
      </w:hyperlink>
      <w:r>
        <w:t xml:space="preserve"> </w:t>
      </w:r>
      <w:hyperlink r:id="rId25">
        <w:r>
          <w:rPr>
            <w:rStyle w:val="Hyperlink"/>
          </w:rPr>
          <w:t xml:space="preserve">[10]</w:t>
        </w:r>
      </w:hyperlink>
      <w:r>
        <w:t xml:space="preserve"> </w:t>
      </w:r>
      <w:hyperlink r:id="rId25">
        <w:r>
          <w:rPr>
            <w:rStyle w:val="Hyperlink"/>
          </w:rPr>
          <w:t xml:space="preserve">[33]</w:t>
        </w:r>
      </w:hyperlink>
      <w:r>
        <w:t xml:space="preserve"> </w:t>
      </w:r>
      <w:hyperlink r:id="rId25">
        <w:r>
          <w:rPr>
            <w:rStyle w:val="Hyperlink"/>
          </w:rPr>
          <w:t xml:space="preserve">[34]</w:t>
        </w:r>
      </w:hyperlink>
      <w:r>
        <w:t xml:space="preserve"> </w:t>
      </w:r>
      <w:r>
        <w:t xml:space="preserve">Fundamentals :: Spring Modulith</w:t>
      </w:r>
    </w:p>
    <w:p>
      <w:pPr>
        <w:pStyle w:val="BodyText"/>
      </w:pPr>
      <w:hyperlink r:id="rId25">
        <w:r>
          <w:rPr>
            <w:rStyle w:val="Hyperlink"/>
          </w:rPr>
          <w:t xml:space="preserve">https://docs.spring.io/spring-modulith/reference/fundamentals.html?utm_source=chatgpt.com</w:t>
        </w:r>
      </w:hyperlink>
    </w:p>
    <w:p>
      <w:pPr>
        <w:pStyle w:val="BodyText"/>
      </w:pPr>
      <w:hyperlink r:id="rId26">
        <w:r>
          <w:rPr>
            <w:rStyle w:val="Hyperlink"/>
          </w:rPr>
          <w:t xml:space="preserve">[4]</w:t>
        </w:r>
      </w:hyperlink>
      <w:r>
        <w:t xml:space="preserve"> </w:t>
      </w:r>
      <w:r>
        <w:t xml:space="preserve">Working with Application Events :: Spring Modulith</w:t>
      </w:r>
    </w:p>
    <w:p>
      <w:pPr>
        <w:pStyle w:val="BodyText"/>
      </w:pPr>
      <w:hyperlink r:id="rId26">
        <w:r>
          <w:rPr>
            <w:rStyle w:val="Hyperlink"/>
          </w:rPr>
          <w:t xml:space="preserve">https://docs.spring.io/spring-modulith/reference/events.html?utm_source=chatgpt.com</w:t>
        </w:r>
      </w:hyperlink>
    </w:p>
    <w:p>
      <w:pPr>
        <w:pStyle w:val="BodyText"/>
      </w:pPr>
      <w:hyperlink r:id="rId27">
        <w:r>
          <w:rPr>
            <w:rStyle w:val="Hyperlink"/>
          </w:rPr>
          <w:t xml:space="preserve">[5]</w:t>
        </w:r>
      </w:hyperlink>
      <w:r>
        <w:t xml:space="preserve"> </w:t>
      </w:r>
      <w:hyperlink r:id="rId27">
        <w:r>
          <w:rPr>
            <w:rStyle w:val="Hyperlink"/>
          </w:rPr>
          <w:t xml:space="preserve">[74]</w:t>
        </w:r>
      </w:hyperlink>
      <w:r>
        <w:t xml:space="preserve"> </w:t>
      </w:r>
      <w:r>
        <w:t xml:space="preserve">Security</w:t>
      </w:r>
    </w:p>
    <w:p>
      <w:pPr>
        <w:pStyle w:val="BodyText"/>
      </w:pPr>
      <w:hyperlink r:id="rId27">
        <w:r>
          <w:rPr>
            <w:rStyle w:val="Hyperlink"/>
          </w:rPr>
          <w:t xml:space="preserve">https://graphql.org/learn/security/?utm_source=chatgpt.com</w:t>
        </w:r>
      </w:hyperlink>
    </w:p>
    <w:p>
      <w:pPr>
        <w:pStyle w:val="BodyText"/>
      </w:pPr>
      <w:hyperlink r:id="rId29">
        <w:r>
          <w:rPr>
            <w:rStyle w:val="Hyperlink"/>
          </w:rPr>
          <w:t xml:space="preserve">[6]</w:t>
        </w:r>
      </w:hyperlink>
      <w:r>
        <w:t xml:space="preserve"> </w:t>
      </w:r>
      <w:hyperlink r:id="rId29">
        <w:r>
          <w:rPr>
            <w:rStyle w:val="Hyperlink"/>
          </w:rPr>
          <w:t xml:space="preserve">[47]</w:t>
        </w:r>
      </w:hyperlink>
      <w:r>
        <w:t xml:space="preserve"> </w:t>
      </w:r>
      <w:r>
        <w:t xml:space="preserve">Evaluation best practices | OpenAI API</w:t>
      </w:r>
    </w:p>
    <w:p>
      <w:pPr>
        <w:pStyle w:val="BodyText"/>
      </w:pPr>
      <w:hyperlink r:id="rId29">
        <w:r>
          <w:rPr>
            <w:rStyle w:val="Hyperlink"/>
          </w:rPr>
          <w:t xml:space="preserve">https://developers.openai.com/api/docs/guides/evaluation-best-practices/?utm_source=chatgpt.com</w:t>
        </w:r>
      </w:hyperlink>
    </w:p>
    <w:p>
      <w:pPr>
        <w:pStyle w:val="BodyText"/>
      </w:pPr>
      <w:hyperlink r:id="rId32">
        <w:r>
          <w:rPr>
            <w:rStyle w:val="Hyperlink"/>
          </w:rPr>
          <w:t xml:space="preserve">[7]</w:t>
        </w:r>
      </w:hyperlink>
      <w:r>
        <w:t xml:space="preserve"> </w:t>
      </w:r>
      <w:r>
        <w:t xml:space="preserve">Kotlin release process | Kotlin Documentation</w:t>
      </w:r>
    </w:p>
    <w:p>
      <w:pPr>
        <w:pStyle w:val="BodyText"/>
      </w:pPr>
      <w:hyperlink r:id="rId32">
        <w:r>
          <w:rPr>
            <w:rStyle w:val="Hyperlink"/>
          </w:rPr>
          <w:t xml:space="preserve">https://kotlinlang.org/docs/releases.html?utm_source=chatgpt.com</w:t>
        </w:r>
      </w:hyperlink>
    </w:p>
    <w:p>
      <w:pPr>
        <w:pStyle w:val="BodyText"/>
      </w:pPr>
      <w:hyperlink r:id="rId33">
        <w:r>
          <w:rPr>
            <w:rStyle w:val="Hyperlink"/>
          </w:rPr>
          <w:t xml:space="preserve">[8]</w:t>
        </w:r>
      </w:hyperlink>
      <w:r>
        <w:t xml:space="preserve"> </w:t>
      </w:r>
      <w:r>
        <w:t xml:space="preserve">Installing Spring Boot</w:t>
      </w:r>
    </w:p>
    <w:p>
      <w:pPr>
        <w:pStyle w:val="BodyText"/>
      </w:pPr>
      <w:hyperlink r:id="rId33">
        <w:r>
          <w:rPr>
            <w:rStyle w:val="Hyperlink"/>
          </w:rPr>
          <w:t xml:space="preserve">https://docs.spring.io/spring-boot/installing.html?utm_source=chatgpt.com</w:t>
        </w:r>
      </w:hyperlink>
    </w:p>
    <w:p>
      <w:pPr>
        <w:pStyle w:val="BodyText"/>
      </w:pPr>
      <w:hyperlink r:id="rId34">
        <w:r>
          <w:rPr>
            <w:rStyle w:val="Hyperlink"/>
          </w:rPr>
          <w:t xml:space="preserve">[9]</w:t>
        </w:r>
      </w:hyperlink>
      <w:r>
        <w:t xml:space="preserve"> </w:t>
      </w:r>
      <w:hyperlink r:id="rId34">
        <w:r>
          <w:rPr>
            <w:rStyle w:val="Hyperlink"/>
          </w:rPr>
          <w:t xml:space="preserve">[69]</w:t>
        </w:r>
      </w:hyperlink>
      <w:r>
        <w:t xml:space="preserve"> </w:t>
      </w:r>
      <w:hyperlink r:id="rId34">
        <w:r>
          <w:rPr>
            <w:rStyle w:val="Hyperlink"/>
          </w:rPr>
          <w:t xml:space="preserve">[76]</w:t>
        </w:r>
      </w:hyperlink>
      <w:r>
        <w:t xml:space="preserve"> </w:t>
      </w:r>
      <w:r>
        <w:t xml:space="preserve">Spring Boot 3.5.11 available now</w:t>
      </w:r>
    </w:p>
    <w:p>
      <w:pPr>
        <w:pStyle w:val="BodyText"/>
      </w:pPr>
      <w:hyperlink r:id="rId34">
        <w:r>
          <w:rPr>
            <w:rStyle w:val="Hyperlink"/>
          </w:rPr>
          <w:t xml:space="preserve">https://spring.io/blog/2026/02/19/spring-boot-3-5-11-available-now?utm_source=chatgpt.com</w:t>
        </w:r>
      </w:hyperlink>
    </w:p>
    <w:p>
      <w:pPr>
        <w:pStyle w:val="BodyText"/>
      </w:pPr>
      <w:hyperlink r:id="rId35">
        <w:r>
          <w:rPr>
            <w:rStyle w:val="Hyperlink"/>
          </w:rPr>
          <w:t xml:space="preserve">[11]</w:t>
        </w:r>
      </w:hyperlink>
      <w:r>
        <w:t xml:space="preserve"> </w:t>
      </w:r>
      <w:r>
        <w:t xml:space="preserve">Spring AI 1.1 GA Released</w:t>
      </w:r>
    </w:p>
    <w:p>
      <w:pPr>
        <w:pStyle w:val="BodyText"/>
      </w:pPr>
      <w:hyperlink r:id="rId35">
        <w:r>
          <w:rPr>
            <w:rStyle w:val="Hyperlink"/>
          </w:rPr>
          <w:t xml:space="preserve">https://spring.io/blog/2025/11/12/spring-ai-1-1-GA-released?utm_source=chatgpt.com</w:t>
        </w:r>
      </w:hyperlink>
    </w:p>
    <w:p>
      <w:pPr>
        <w:pStyle w:val="BodyText"/>
      </w:pPr>
      <w:hyperlink r:id="rId36">
        <w:r>
          <w:rPr>
            <w:rStyle w:val="Hyperlink"/>
          </w:rPr>
          <w:t xml:space="preserve">[12]</w:t>
        </w:r>
      </w:hyperlink>
      <w:r>
        <w:t xml:space="preserve"> </w:t>
      </w:r>
      <w:r>
        <w:t xml:space="preserve">Gradle | Releases</w:t>
      </w:r>
    </w:p>
    <w:p>
      <w:pPr>
        <w:pStyle w:val="BodyText"/>
      </w:pPr>
      <w:hyperlink r:id="rId36">
        <w:r>
          <w:rPr>
            <w:rStyle w:val="Hyperlink"/>
          </w:rPr>
          <w:t xml:space="preserve">https://gradle.org/releases/?utm_source=chatgpt.com</w:t>
        </w:r>
      </w:hyperlink>
    </w:p>
    <w:p>
      <w:pPr>
        <w:pStyle w:val="BodyText"/>
      </w:pPr>
      <w:hyperlink r:id="rId37">
        <w:r>
          <w:rPr>
            <w:rStyle w:val="Hyperlink"/>
          </w:rPr>
          <w:t xml:space="preserve">[13]</w:t>
        </w:r>
      </w:hyperlink>
      <w:r>
        <w:t xml:space="preserve"> </w:t>
      </w:r>
      <w:hyperlink r:id="rId37">
        <w:r>
          <w:rPr>
            <w:rStyle w:val="Hyperlink"/>
          </w:rPr>
          <w:t xml:space="preserve">[20]</w:t>
        </w:r>
      </w:hyperlink>
      <w:r>
        <w:t xml:space="preserve"> </w:t>
      </w:r>
      <w:hyperlink r:id="rId37">
        <w:r>
          <w:rPr>
            <w:rStyle w:val="Hyperlink"/>
          </w:rPr>
          <w:t xml:space="preserve">[78]</w:t>
        </w:r>
      </w:hyperlink>
      <w:r>
        <w:t xml:space="preserve"> </w:t>
      </w:r>
      <w:r>
        <w:t xml:space="preserve">Database versions and version policies | Cloud SQL for ...</w:t>
      </w:r>
    </w:p>
    <w:p>
      <w:pPr>
        <w:pStyle w:val="BodyText"/>
      </w:pPr>
      <w:hyperlink r:id="rId37">
        <w:r>
          <w:rPr>
            <w:rStyle w:val="Hyperlink"/>
          </w:rPr>
          <w:t xml:space="preserve">https://docs.cloud.google.com/sql/docs/postgres/db-versions?utm_source=chatgpt.com</w:t>
        </w:r>
      </w:hyperlink>
    </w:p>
    <w:p>
      <w:pPr>
        <w:pStyle w:val="BodyText"/>
      </w:pPr>
      <w:hyperlink r:id="rId38">
        <w:r>
          <w:rPr>
            <w:rStyle w:val="Hyperlink"/>
          </w:rPr>
          <w:t xml:space="preserve">[14]</w:t>
        </w:r>
      </w:hyperlink>
      <w:r>
        <w:t xml:space="preserve"> </w:t>
      </w:r>
      <w:hyperlink r:id="rId38">
        <w:r>
          <w:rPr>
            <w:rStyle w:val="Hyperlink"/>
          </w:rPr>
          <w:t xml:space="preserve">[55]</w:t>
        </w:r>
      </w:hyperlink>
      <w:r>
        <w:t xml:space="preserve"> </w:t>
      </w:r>
      <w:r>
        <w:t xml:space="preserve">Build sources to containers | Cloud Run</w:t>
      </w:r>
    </w:p>
    <w:p>
      <w:pPr>
        <w:pStyle w:val="BodyText"/>
      </w:pPr>
      <w:hyperlink r:id="rId38">
        <w:r>
          <w:rPr>
            <w:rStyle w:val="Hyperlink"/>
          </w:rPr>
          <w:t xml:space="preserve">https://docs.cloud.google.com/run/docs/building/containers?utm_source=chatgpt.com</w:t>
        </w:r>
      </w:hyperlink>
    </w:p>
    <w:p>
      <w:pPr>
        <w:pStyle w:val="BodyText"/>
      </w:pPr>
      <w:hyperlink r:id="rId39">
        <w:r>
          <w:rPr>
            <w:rStyle w:val="Hyperlink"/>
          </w:rPr>
          <w:t xml:space="preserve">[15]</w:t>
        </w:r>
      </w:hyperlink>
      <w:r>
        <w:t xml:space="preserve"> </w:t>
      </w:r>
      <w:hyperlink r:id="rId39">
        <w:r>
          <w:rPr>
            <w:rStyle w:val="Hyperlink"/>
          </w:rPr>
          <w:t xml:space="preserve">[79]</w:t>
        </w:r>
      </w:hyperlink>
      <w:r>
        <w:t xml:space="preserve"> </w:t>
      </w:r>
      <w:r>
        <w:t xml:space="preserve">Metrics :: Spring Boot</w:t>
      </w:r>
    </w:p>
    <w:p>
      <w:pPr>
        <w:pStyle w:val="BodyText"/>
      </w:pPr>
      <w:hyperlink r:id="rId39">
        <w:r>
          <w:rPr>
            <w:rStyle w:val="Hyperlink"/>
          </w:rPr>
          <w:t xml:space="preserve">https://docs.spring.io/spring-boot/reference/actuator/metrics.html?utm_source=chatgpt.com</w:t>
        </w:r>
      </w:hyperlink>
    </w:p>
    <w:p>
      <w:pPr>
        <w:pStyle w:val="BodyText"/>
      </w:pPr>
      <w:hyperlink r:id="rId41">
        <w:r>
          <w:rPr>
            <w:rStyle w:val="Hyperlink"/>
          </w:rPr>
          <w:t xml:space="preserve">[16]</w:t>
        </w:r>
      </w:hyperlink>
      <w:r>
        <w:t xml:space="preserve"> </w:t>
      </w:r>
      <w:r>
        <w:t xml:space="preserve">Deployment options and resource model | Cloud Run</w:t>
      </w:r>
    </w:p>
    <w:p>
      <w:pPr>
        <w:pStyle w:val="BodyText"/>
      </w:pPr>
      <w:hyperlink r:id="rId41">
        <w:r>
          <w:rPr>
            <w:rStyle w:val="Hyperlink"/>
          </w:rPr>
          <w:t xml:space="preserve">https://docs.cloud.google.com/run/docs/resource-model?utm_source=chatgpt.com</w:t>
        </w:r>
      </w:hyperlink>
    </w:p>
    <w:p>
      <w:pPr>
        <w:pStyle w:val="BodyText"/>
      </w:pPr>
      <w:hyperlink r:id="rId43">
        <w:r>
          <w:rPr>
            <w:rStyle w:val="Hyperlink"/>
          </w:rPr>
          <w:t xml:space="preserve">[17]</w:t>
        </w:r>
      </w:hyperlink>
      <w:r>
        <w:t xml:space="preserve"> </w:t>
      </w:r>
      <w:hyperlink r:id="rId43">
        <w:r>
          <w:rPr>
            <w:rStyle w:val="Hyperlink"/>
          </w:rPr>
          <w:t xml:space="preserve">[56]</w:t>
        </w:r>
      </w:hyperlink>
      <w:r>
        <w:t xml:space="preserve"> </w:t>
      </w:r>
      <w:r>
        <w:t xml:space="preserve">GKE Autopilot overview | Google Kubernetes Engine (GKE)</w:t>
      </w:r>
    </w:p>
    <w:p>
      <w:pPr>
        <w:pStyle w:val="BodyText"/>
      </w:pPr>
      <w:hyperlink r:id="rId43">
        <w:r>
          <w:rPr>
            <w:rStyle w:val="Hyperlink"/>
          </w:rPr>
          <w:t xml:space="preserve">https://docs.cloud.google.com/kubernetes-engine/docs/concepts/autopilot-overview?utm_source=chatgpt.com</w:t>
        </w:r>
      </w:hyperlink>
    </w:p>
    <w:p>
      <w:pPr>
        <w:pStyle w:val="BodyText"/>
      </w:pPr>
      <w:hyperlink r:id="rId44">
        <w:r>
          <w:rPr>
            <w:rStyle w:val="Hyperlink"/>
          </w:rPr>
          <w:t xml:space="preserve">[18]</w:t>
        </w:r>
      </w:hyperlink>
      <w:r>
        <w:t xml:space="preserve"> </w:t>
      </w:r>
      <w:r>
        <w:t xml:space="preserve">Regional clusters | Google Kubernetes Engine (GKE)</w:t>
      </w:r>
    </w:p>
    <w:p>
      <w:pPr>
        <w:pStyle w:val="BodyText"/>
      </w:pPr>
      <w:hyperlink r:id="rId44">
        <w:r>
          <w:rPr>
            <w:rStyle w:val="Hyperlink"/>
          </w:rPr>
          <w:t xml:space="preserve">https://docs.cloud.google.com/kubernetes-engine/docs/concepts/regional-clusters?utm_source=chatgpt.com</w:t>
        </w:r>
      </w:hyperlink>
    </w:p>
    <w:p>
      <w:pPr>
        <w:pStyle w:val="BodyText"/>
      </w:pPr>
      <w:hyperlink r:id="rId47">
        <w:r>
          <w:rPr>
            <w:rStyle w:val="Hyperlink"/>
          </w:rPr>
          <w:t xml:space="preserve">[19]</w:t>
        </w:r>
      </w:hyperlink>
      <w:r>
        <w:t xml:space="preserve"> </w:t>
      </w:r>
      <w:r>
        <w:t xml:space="preserve">Regions and zones | Compute Engine</w:t>
      </w:r>
    </w:p>
    <w:p>
      <w:pPr>
        <w:pStyle w:val="BodyText"/>
      </w:pPr>
      <w:hyperlink r:id="rId47">
        <w:r>
          <w:rPr>
            <w:rStyle w:val="Hyperlink"/>
          </w:rPr>
          <w:t xml:space="preserve">https://docs.cloud.google.com/compute/docs/regions-zones?utm_source=chatgpt.com</w:t>
        </w:r>
      </w:hyperlink>
    </w:p>
    <w:p>
      <w:pPr>
        <w:pStyle w:val="BodyText"/>
      </w:pPr>
      <w:hyperlink r:id="rId48">
        <w:r>
          <w:rPr>
            <w:rStyle w:val="Hyperlink"/>
          </w:rPr>
          <w:t xml:space="preserve">[21]</w:t>
        </w:r>
      </w:hyperlink>
      <w:r>
        <w:t xml:space="preserve"> </w:t>
      </w:r>
      <w:hyperlink r:id="rId48">
        <w:r>
          <w:rPr>
            <w:rStyle w:val="Hyperlink"/>
          </w:rPr>
          <w:t xml:space="preserve">[37]</w:t>
        </w:r>
      </w:hyperlink>
      <w:r>
        <w:t xml:space="preserve"> </w:t>
      </w:r>
      <w:hyperlink r:id="rId48">
        <w:r>
          <w:rPr>
            <w:rStyle w:val="Hyperlink"/>
          </w:rPr>
          <w:t xml:space="preserve">[58]</w:t>
        </w:r>
      </w:hyperlink>
      <w:r>
        <w:t xml:space="preserve"> </w:t>
      </w:r>
      <w:hyperlink r:id="rId48">
        <w:r>
          <w:rPr>
            <w:rStyle w:val="Hyperlink"/>
          </w:rPr>
          <w:t xml:space="preserve">[72]</w:t>
        </w:r>
      </w:hyperlink>
      <w:r>
        <w:t xml:space="preserve"> </w:t>
      </w:r>
      <w:r>
        <w:t xml:space="preserve">Signed URLs | Cloud Storage</w:t>
      </w:r>
    </w:p>
    <w:p>
      <w:pPr>
        <w:pStyle w:val="BodyText"/>
      </w:pPr>
      <w:hyperlink r:id="rId48">
        <w:r>
          <w:rPr>
            <w:rStyle w:val="Hyperlink"/>
          </w:rPr>
          <w:t xml:space="preserve">https://docs.cloud.google.com/storage/docs/access-control/signed-urls?utm_source=chatgpt.com</w:t>
        </w:r>
      </w:hyperlink>
    </w:p>
    <w:p>
      <w:pPr>
        <w:pStyle w:val="BodyText"/>
      </w:pPr>
      <w:hyperlink r:id="rId49">
        <w:r>
          <w:rPr>
            <w:rStyle w:val="Hyperlink"/>
          </w:rPr>
          <w:t xml:space="preserve">[22]</w:t>
        </w:r>
      </w:hyperlink>
      <w:r>
        <w:t xml:space="preserve"> </w:t>
      </w:r>
      <w:r>
        <w:t xml:space="preserve">Secret Manager overview</w:t>
      </w:r>
    </w:p>
    <w:p>
      <w:pPr>
        <w:pStyle w:val="BodyText"/>
      </w:pPr>
      <w:hyperlink r:id="rId49">
        <w:r>
          <w:rPr>
            <w:rStyle w:val="Hyperlink"/>
          </w:rPr>
          <w:t xml:space="preserve">https://docs.cloud.google.com/secret-manager/docs/overview?utm_source=chatgpt.com</w:t>
        </w:r>
      </w:hyperlink>
    </w:p>
    <w:p>
      <w:pPr>
        <w:pStyle w:val="BodyText"/>
      </w:pPr>
      <w:hyperlink r:id="rId50">
        <w:r>
          <w:rPr>
            <w:rStyle w:val="Hyperlink"/>
          </w:rPr>
          <w:t xml:space="preserve">[23]</w:t>
        </w:r>
      </w:hyperlink>
      <w:r>
        <w:t xml:space="preserve"> </w:t>
      </w:r>
      <w:r>
        <w:t xml:space="preserve">Best practices for managing service account keys</w:t>
      </w:r>
    </w:p>
    <w:p>
      <w:pPr>
        <w:pStyle w:val="BodyText"/>
      </w:pPr>
      <w:hyperlink r:id="rId50">
        <w:r>
          <w:rPr>
            <w:rStyle w:val="Hyperlink"/>
          </w:rPr>
          <w:t xml:space="preserve">https://docs.cloud.google.com/iam/docs/best-practices-for-managing-service-account-keys?utm_source=chatgpt.com</w:t>
        </w:r>
      </w:hyperlink>
    </w:p>
    <w:p>
      <w:pPr>
        <w:pStyle w:val="BodyText"/>
      </w:pPr>
      <w:hyperlink r:id="rId51">
        <w:r>
          <w:rPr>
            <w:rStyle w:val="Hyperlink"/>
          </w:rPr>
          <w:t xml:space="preserve">[24]</w:t>
        </w:r>
      </w:hyperlink>
      <w:r>
        <w:t xml:space="preserve"> </w:t>
      </w:r>
      <w:r>
        <w:t xml:space="preserve">Introduction to service identity | Cloud Run</w:t>
      </w:r>
    </w:p>
    <w:p>
      <w:pPr>
        <w:pStyle w:val="BodyText"/>
      </w:pPr>
      <w:hyperlink r:id="rId51">
        <w:r>
          <w:rPr>
            <w:rStyle w:val="Hyperlink"/>
          </w:rPr>
          <w:t xml:space="preserve">https://docs.cloud.google.com/run/docs/securing/service-identity?utm_source=chatgpt.com</w:t>
        </w:r>
      </w:hyperlink>
    </w:p>
    <w:p>
      <w:pPr>
        <w:pStyle w:val="BodyText"/>
      </w:pPr>
      <w:hyperlink r:id="rId52">
        <w:r>
          <w:rPr>
            <w:rStyle w:val="Hyperlink"/>
          </w:rPr>
          <w:t xml:space="preserve">[25]</w:t>
        </w:r>
      </w:hyperlink>
      <w:r>
        <w:t xml:space="preserve"> </w:t>
      </w:r>
      <w:r>
        <w:t xml:space="preserve">About Workload Identity Federation for GKE | GKE security</w:t>
      </w:r>
    </w:p>
    <w:p>
      <w:pPr>
        <w:pStyle w:val="BodyText"/>
      </w:pPr>
      <w:hyperlink r:id="rId52">
        <w:r>
          <w:rPr>
            <w:rStyle w:val="Hyperlink"/>
          </w:rPr>
          <w:t xml:space="preserve">https://docs.cloud.google.com/kubernetes-engine/docs/concepts/workload-identity?utm_source=chatgpt.com</w:t>
        </w:r>
      </w:hyperlink>
    </w:p>
    <w:p>
      <w:pPr>
        <w:pStyle w:val="BodyText"/>
      </w:pPr>
      <w:hyperlink r:id="rId53">
        <w:r>
          <w:rPr>
            <w:rStyle w:val="Hyperlink"/>
          </w:rPr>
          <w:t xml:space="preserve">[26]</w:t>
        </w:r>
      </w:hyperlink>
      <w:r>
        <w:t xml:space="preserve"> </w:t>
      </w:r>
      <w:hyperlink r:id="rId53">
        <w:r>
          <w:rPr>
            <w:rStyle w:val="Hyperlink"/>
          </w:rPr>
          <w:t xml:space="preserve">[62]</w:t>
        </w:r>
      </w:hyperlink>
      <w:r>
        <w:t xml:space="preserve"> </w:t>
      </w:r>
      <w:hyperlink r:id="rId53">
        <w:r>
          <w:rPr>
            <w:rStyle w:val="Hyperlink"/>
          </w:rPr>
          <w:t xml:space="preserve">[77]</w:t>
        </w:r>
      </w:hyperlink>
      <w:r>
        <w:t xml:space="preserve"> </w:t>
      </w:r>
      <w:r>
        <w:t xml:space="preserve">Cloud Build documentation</w:t>
      </w:r>
    </w:p>
    <w:p>
      <w:pPr>
        <w:pStyle w:val="BodyText"/>
      </w:pPr>
      <w:hyperlink r:id="rId53">
        <w:r>
          <w:rPr>
            <w:rStyle w:val="Hyperlink"/>
          </w:rPr>
          <w:t xml:space="preserve">https://docs.cloud.google.com/build/docs?utm_source=chatgpt.com</w:t>
        </w:r>
      </w:hyperlink>
    </w:p>
    <w:p>
      <w:pPr>
        <w:pStyle w:val="BodyText"/>
      </w:pPr>
      <w:hyperlink r:id="rId54">
        <w:r>
          <w:rPr>
            <w:rStyle w:val="Hyperlink"/>
          </w:rPr>
          <w:t xml:space="preserve">[27]</w:t>
        </w:r>
      </w:hyperlink>
      <w:r>
        <w:t xml:space="preserve"> </w:t>
      </w:r>
      <w:r>
        <w:t xml:space="preserve">Observability: cloud monitoring and logging</w:t>
      </w:r>
    </w:p>
    <w:p>
      <w:pPr>
        <w:pStyle w:val="BodyText"/>
      </w:pPr>
      <w:hyperlink r:id="rId54">
        <w:r>
          <w:rPr>
            <w:rStyle w:val="Hyperlink"/>
          </w:rPr>
          <w:t xml:space="preserve">https://cloud.google.com/products/observability?utm_source=chatgpt.com</w:t>
        </w:r>
      </w:hyperlink>
    </w:p>
    <w:p>
      <w:pPr>
        <w:pStyle w:val="BodyText"/>
      </w:pPr>
      <w:hyperlink r:id="rId56">
        <w:r>
          <w:rPr>
            <w:rStyle w:val="Hyperlink"/>
          </w:rPr>
          <w:t xml:space="preserve">[28]</w:t>
        </w:r>
      </w:hyperlink>
      <w:r>
        <w:t xml:space="preserve"> </w:t>
      </w:r>
      <w:r>
        <w:t xml:space="preserve">Connect from Cloud Run | Cloud SQL for PostgreSQL</w:t>
      </w:r>
    </w:p>
    <w:p>
      <w:pPr>
        <w:pStyle w:val="BodyText"/>
      </w:pPr>
      <w:hyperlink r:id="rId56">
        <w:r>
          <w:rPr>
            <w:rStyle w:val="Hyperlink"/>
          </w:rPr>
          <w:t xml:space="preserve">https://docs.cloud.google.com/sql/docs/postgres/connect-run?utm_source=chatgpt.com</w:t>
        </w:r>
      </w:hyperlink>
    </w:p>
    <w:p>
      <w:pPr>
        <w:pStyle w:val="BodyText"/>
      </w:pPr>
      <w:hyperlink r:id="rId57">
        <w:r>
          <w:rPr>
            <w:rStyle w:val="Hyperlink"/>
          </w:rPr>
          <w:t xml:space="preserve">[29]</w:t>
        </w:r>
      </w:hyperlink>
      <w:r>
        <w:t xml:space="preserve"> </w:t>
      </w:r>
      <w:r>
        <w:t xml:space="preserve">Connect using Cloud SQL Language Connectors</w:t>
      </w:r>
    </w:p>
    <w:p>
      <w:pPr>
        <w:pStyle w:val="BodyText"/>
      </w:pPr>
      <w:hyperlink r:id="rId57">
        <w:r>
          <w:rPr>
            <w:rStyle w:val="Hyperlink"/>
          </w:rPr>
          <w:t xml:space="preserve">https://docs.cloud.google.com/sql/docs/postgres/connect-connectors?utm_source=chatgpt.com</w:t>
        </w:r>
      </w:hyperlink>
    </w:p>
    <w:p>
      <w:pPr>
        <w:pStyle w:val="BodyText"/>
      </w:pPr>
      <w:hyperlink r:id="rId59">
        <w:r>
          <w:rPr>
            <w:rStyle w:val="Hyperlink"/>
          </w:rPr>
          <w:t xml:space="preserve">[30]</w:t>
        </w:r>
      </w:hyperlink>
      <w:r>
        <w:t xml:space="preserve"> </w:t>
      </w:r>
      <w:hyperlink r:id="rId59">
        <w:r>
          <w:rPr>
            <w:rStyle w:val="Hyperlink"/>
          </w:rPr>
          <w:t xml:space="preserve">[67]</w:t>
        </w:r>
      </w:hyperlink>
      <w:r>
        <w:t xml:space="preserve"> </w:t>
      </w:r>
      <w:r>
        <w:t xml:space="preserve">About instance settings | Cloud SQL for PostgreSQL</w:t>
      </w:r>
    </w:p>
    <w:p>
      <w:pPr>
        <w:pStyle w:val="BodyText"/>
      </w:pPr>
      <w:hyperlink r:id="rId59">
        <w:r>
          <w:rPr>
            <w:rStyle w:val="Hyperlink"/>
          </w:rPr>
          <w:t xml:space="preserve">https://docs.cloud.google.com/sql/docs/postgres/instance-settings?utm_source=chatgpt.com</w:t>
        </w:r>
      </w:hyperlink>
    </w:p>
    <w:p>
      <w:pPr>
        <w:pStyle w:val="BodyText"/>
      </w:pPr>
      <w:hyperlink r:id="rId60">
        <w:r>
          <w:rPr>
            <w:rStyle w:val="Hyperlink"/>
          </w:rPr>
          <w:t xml:space="preserve">[31]</w:t>
        </w:r>
      </w:hyperlink>
      <w:r>
        <w:t xml:space="preserve"> </w:t>
      </w:r>
      <w:r>
        <w:t xml:space="preserve">Configure point-in-time recovery (PITR) | Cloud SQL for ...</w:t>
      </w:r>
    </w:p>
    <w:p>
      <w:pPr>
        <w:pStyle w:val="BodyText"/>
      </w:pPr>
      <w:hyperlink r:id="rId60">
        <w:r>
          <w:rPr>
            <w:rStyle w:val="Hyperlink"/>
          </w:rPr>
          <w:t xml:space="preserve">https://docs.cloud.google.com/sql/docs/postgres/backup-recovery/configure-pitr?utm_source=chatgpt.com</w:t>
        </w:r>
      </w:hyperlink>
    </w:p>
    <w:p>
      <w:pPr>
        <w:pStyle w:val="BodyText"/>
      </w:pPr>
      <w:hyperlink r:id="rId61">
        <w:r>
          <w:rPr>
            <w:rStyle w:val="Hyperlink"/>
          </w:rPr>
          <w:t xml:space="preserve">[32]</w:t>
        </w:r>
      </w:hyperlink>
      <w:r>
        <w:t xml:space="preserve"> </w:t>
      </w:r>
      <w:r>
        <w:t xml:space="preserve">Enable and disable high availability | Cloud SQL for ...</w:t>
      </w:r>
    </w:p>
    <w:p>
      <w:pPr>
        <w:pStyle w:val="BodyText"/>
      </w:pPr>
      <w:hyperlink r:id="rId61">
        <w:r>
          <w:rPr>
            <w:rStyle w:val="Hyperlink"/>
          </w:rPr>
          <w:t xml:space="preserve">https://docs.cloud.google.com/sql/docs/postgres/configure-ha?utm_source=chatgpt.com</w:t>
        </w:r>
      </w:hyperlink>
    </w:p>
    <w:p>
      <w:pPr>
        <w:pStyle w:val="BodyText"/>
      </w:pPr>
      <w:hyperlink r:id="rId64">
        <w:r>
          <w:rPr>
            <w:rStyle w:val="Hyperlink"/>
          </w:rPr>
          <w:t xml:space="preserve">[35]</w:t>
        </w:r>
      </w:hyperlink>
      <w:r>
        <w:t xml:space="preserve"> </w:t>
      </w:r>
      <w:hyperlink r:id="rId64">
        <w:r>
          <w:rPr>
            <w:rStyle w:val="Hyperlink"/>
          </w:rPr>
          <w:t xml:space="preserve">[52]</w:t>
        </w:r>
      </w:hyperlink>
      <w:r>
        <w:t xml:space="preserve"> </w:t>
      </w:r>
      <w:hyperlink r:id="rId64">
        <w:r>
          <w:rPr>
            <w:rStyle w:val="Hyperlink"/>
          </w:rPr>
          <w:t xml:space="preserve">[70]</w:t>
        </w:r>
      </w:hyperlink>
      <w:r>
        <w:t xml:space="preserve"> </w:t>
      </w:r>
      <w:r>
        <w:t xml:space="preserve">Verifying Application Module Structure</w:t>
      </w:r>
    </w:p>
    <w:p>
      <w:pPr>
        <w:pStyle w:val="BodyText"/>
      </w:pPr>
      <w:hyperlink r:id="rId64">
        <w:r>
          <w:rPr>
            <w:rStyle w:val="Hyperlink"/>
          </w:rPr>
          <w:t xml:space="preserve">https://docs.spring.io/spring-modulith/reference/verification.html?utm_source=chatgpt.com</w:t>
        </w:r>
      </w:hyperlink>
    </w:p>
    <w:p>
      <w:pPr>
        <w:pStyle w:val="BodyText"/>
      </w:pPr>
      <w:hyperlink r:id="rId65">
        <w:r>
          <w:rPr>
            <w:rStyle w:val="Hyperlink"/>
          </w:rPr>
          <w:t xml:space="preserve">[36]</w:t>
        </w:r>
      </w:hyperlink>
      <w:r>
        <w:t xml:space="preserve"> </w:t>
      </w:r>
      <w:r>
        <w:t xml:space="preserve">Spring Modulith Runtime Support</w:t>
      </w:r>
    </w:p>
    <w:p>
      <w:pPr>
        <w:pStyle w:val="BodyText"/>
      </w:pPr>
      <w:hyperlink r:id="rId65">
        <w:r>
          <w:rPr>
            <w:rStyle w:val="Hyperlink"/>
          </w:rPr>
          <w:t xml:space="preserve">https://docs.spring.io/spring-modulith/reference/runtime.html?utm_source=chatgpt.com</w:t>
        </w:r>
      </w:hyperlink>
    </w:p>
    <w:p>
      <w:pPr>
        <w:pStyle w:val="BodyText"/>
      </w:pPr>
      <w:hyperlink r:id="rId71">
        <w:r>
          <w:rPr>
            <w:rStyle w:val="Hyperlink"/>
          </w:rPr>
          <w:t xml:space="preserve">[38]</w:t>
        </w:r>
      </w:hyperlink>
      <w:r>
        <w:t xml:space="preserve"> </w:t>
      </w:r>
      <w:hyperlink r:id="rId71">
        <w:r>
          <w:rPr>
            <w:rStyle w:val="Hyperlink"/>
          </w:rPr>
          <w:t xml:space="preserve">[40]</w:t>
        </w:r>
      </w:hyperlink>
      <w:r>
        <w:t xml:space="preserve"> </w:t>
      </w:r>
      <w:hyperlink r:id="rId71">
        <w:r>
          <w:rPr>
            <w:rStyle w:val="Hyperlink"/>
          </w:rPr>
          <w:t xml:space="preserve">[71]</w:t>
        </w:r>
      </w:hyperlink>
      <w:r>
        <w:t xml:space="preserve"> </w:t>
      </w:r>
      <w:hyperlink r:id="rId71">
        <w:r>
          <w:rPr>
            <w:rStyle w:val="Hyperlink"/>
          </w:rPr>
          <w:t xml:space="preserve">[75]</w:t>
        </w:r>
      </w:hyperlink>
      <w:r>
        <w:t xml:space="preserve"> </w:t>
      </w:r>
      <w:hyperlink r:id="rId71">
        <w:r>
          <w:rPr>
            <w:rStyle w:val="Hyperlink"/>
          </w:rPr>
          <w:t xml:space="preserve">[80]</w:t>
        </w:r>
      </w:hyperlink>
      <w:r>
        <w:t xml:space="preserve"> </w:t>
      </w:r>
      <w:r>
        <w:t xml:space="preserve">Structured model outputs | OpenAI API</w:t>
      </w:r>
    </w:p>
    <w:p>
      <w:pPr>
        <w:pStyle w:val="BodyText"/>
      </w:pPr>
      <w:hyperlink r:id="rId71">
        <w:r>
          <w:rPr>
            <w:rStyle w:val="Hyperlink"/>
          </w:rPr>
          <w:t xml:space="preserve">https://developers.openai.com/api/docs/guides/structured-outputs/?utm_source=chatgpt.com</w:t>
        </w:r>
      </w:hyperlink>
    </w:p>
    <w:p>
      <w:pPr>
        <w:pStyle w:val="BodyText"/>
      </w:pPr>
      <w:hyperlink r:id="rId72">
        <w:r>
          <w:rPr>
            <w:rStyle w:val="Hyperlink"/>
          </w:rPr>
          <w:t xml:space="preserve">[39]</w:t>
        </w:r>
      </w:hyperlink>
      <w:r>
        <w:t xml:space="preserve"> </w:t>
      </w:r>
      <w:hyperlink r:id="rId72">
        <w:r>
          <w:rPr>
            <w:rStyle w:val="Hyperlink"/>
          </w:rPr>
          <w:t xml:space="preserve">[66]</w:t>
        </w:r>
      </w:hyperlink>
      <w:r>
        <w:t xml:space="preserve"> </w:t>
      </w:r>
      <w:r>
        <w:t xml:space="preserve">Perform point-in-time recovery (PITR)</w:t>
      </w:r>
    </w:p>
    <w:p>
      <w:pPr>
        <w:pStyle w:val="BodyText"/>
      </w:pPr>
      <w:hyperlink r:id="rId72">
        <w:r>
          <w:rPr>
            <w:rStyle w:val="Hyperlink"/>
          </w:rPr>
          <w:t xml:space="preserve">https://docs.cloud.google.com/sql/docs/postgres/backup-recovery/pitr?utm_source=chatgpt.com</w:t>
        </w:r>
      </w:hyperlink>
    </w:p>
    <w:p>
      <w:pPr>
        <w:pStyle w:val="BodyText"/>
      </w:pPr>
      <w:hyperlink r:id="rId76">
        <w:r>
          <w:rPr>
            <w:rStyle w:val="Hyperlink"/>
          </w:rPr>
          <w:t xml:space="preserve">[41]</w:t>
        </w:r>
      </w:hyperlink>
      <w:r>
        <w:t xml:space="preserve"> </w:t>
      </w:r>
      <w:r>
        <w:t xml:space="preserve">Structured Output Converter :: Spring AI Reference</w:t>
      </w:r>
    </w:p>
    <w:p>
      <w:pPr>
        <w:pStyle w:val="BodyText"/>
      </w:pPr>
      <w:hyperlink r:id="rId76">
        <w:r>
          <w:rPr>
            <w:rStyle w:val="Hyperlink"/>
          </w:rPr>
          <w:t xml:space="preserve">https://docs.spring.io/spring-ai/reference/api/structured-output-converter.html?utm_source=chatgpt.com</w:t>
        </w:r>
      </w:hyperlink>
    </w:p>
    <w:p>
      <w:pPr>
        <w:pStyle w:val="BodyText"/>
      </w:pPr>
      <w:hyperlink r:id="rId77">
        <w:r>
          <w:rPr>
            <w:rStyle w:val="Hyperlink"/>
          </w:rPr>
          <w:t xml:space="preserve">[42]</w:t>
        </w:r>
      </w:hyperlink>
      <w:r>
        <w:t xml:space="preserve"> </w:t>
      </w:r>
      <w:r>
        <w:t xml:space="preserve">OpenAI Chat :: Spring AI Reference</w:t>
      </w:r>
    </w:p>
    <w:p>
      <w:pPr>
        <w:pStyle w:val="BodyText"/>
      </w:pPr>
      <w:hyperlink r:id="rId77">
        <w:r>
          <w:rPr>
            <w:rStyle w:val="Hyperlink"/>
          </w:rPr>
          <w:t xml:space="preserve">https://docs.spring.io/spring-ai/reference/api/chat/openai-chat.html?utm_source=chatgpt.com</w:t>
        </w:r>
      </w:hyperlink>
    </w:p>
    <w:p>
      <w:pPr>
        <w:pStyle w:val="BodyText"/>
      </w:pPr>
      <w:hyperlink r:id="rId80">
        <w:r>
          <w:rPr>
            <w:rStyle w:val="Hyperlink"/>
          </w:rPr>
          <w:t xml:space="preserve">[43]</w:t>
        </w:r>
      </w:hyperlink>
      <w:r>
        <w:t xml:space="preserve"> </w:t>
      </w:r>
      <w:r>
        <w:t xml:space="preserve">Tool Calling :: Spring AI Reference</w:t>
      </w:r>
    </w:p>
    <w:p>
      <w:pPr>
        <w:pStyle w:val="BodyText"/>
      </w:pPr>
      <w:hyperlink r:id="rId80">
        <w:r>
          <w:rPr>
            <w:rStyle w:val="Hyperlink"/>
          </w:rPr>
          <w:t xml:space="preserve">https://docs.spring.io/spring-ai/reference/api/tools.html?utm_source=chatgpt.com</w:t>
        </w:r>
      </w:hyperlink>
    </w:p>
    <w:p>
      <w:pPr>
        <w:pStyle w:val="BodyText"/>
      </w:pPr>
      <w:hyperlink r:id="rId81">
        <w:r>
          <w:rPr>
            <w:rStyle w:val="Hyperlink"/>
          </w:rPr>
          <w:t xml:space="preserve">[44]</w:t>
        </w:r>
      </w:hyperlink>
      <w:r>
        <w:t xml:space="preserve"> </w:t>
      </w:r>
      <w:r>
        <w:t xml:space="preserve">Function calling | OpenAI API</w:t>
      </w:r>
    </w:p>
    <w:p>
      <w:pPr>
        <w:pStyle w:val="BodyText"/>
      </w:pPr>
      <w:hyperlink r:id="rId81">
        <w:r>
          <w:rPr>
            <w:rStyle w:val="Hyperlink"/>
          </w:rPr>
          <w:t xml:space="preserve">https://developers.openai.com/api/docs/guides/function-calling/?utm_source=chatgpt.com</w:t>
        </w:r>
      </w:hyperlink>
    </w:p>
    <w:p>
      <w:pPr>
        <w:pStyle w:val="BodyText"/>
      </w:pPr>
      <w:hyperlink r:id="rId83">
        <w:r>
          <w:rPr>
            <w:rStyle w:val="Hyperlink"/>
          </w:rPr>
          <w:t xml:space="preserve">[45]</w:t>
        </w:r>
      </w:hyperlink>
      <w:r>
        <w:t xml:space="preserve"> </w:t>
      </w:r>
      <w:r>
        <w:t xml:space="preserve">Retrieval Augmented Generation :: Spring AI Reference</w:t>
      </w:r>
    </w:p>
    <w:p>
      <w:pPr>
        <w:pStyle w:val="BodyText"/>
      </w:pPr>
      <w:hyperlink r:id="rId83">
        <w:r>
          <w:rPr>
            <w:rStyle w:val="Hyperlink"/>
          </w:rPr>
          <w:t xml:space="preserve">https://docs.spring.io/spring-ai/reference/api/retrieval-augmented-generation.html?utm_source=chatgpt.com</w:t>
        </w:r>
      </w:hyperlink>
    </w:p>
    <w:p>
      <w:pPr>
        <w:pStyle w:val="BodyText"/>
      </w:pPr>
      <w:hyperlink r:id="rId84">
        <w:r>
          <w:rPr>
            <w:rStyle w:val="Hyperlink"/>
          </w:rPr>
          <w:t xml:space="preserve">[46]</w:t>
        </w:r>
      </w:hyperlink>
      <w:r>
        <w:t xml:space="preserve"> </w:t>
      </w:r>
      <w:r>
        <w:t xml:space="preserve">Evaluation Testing :: Spring AI Reference</w:t>
      </w:r>
    </w:p>
    <w:p>
      <w:pPr>
        <w:pStyle w:val="BodyText"/>
      </w:pPr>
      <w:hyperlink r:id="rId84">
        <w:r>
          <w:rPr>
            <w:rStyle w:val="Hyperlink"/>
          </w:rPr>
          <w:t xml:space="preserve">https://docs.spring.io/spring-ai/reference/api/testing.html?utm_source=chatgpt.com</w:t>
        </w:r>
      </w:hyperlink>
    </w:p>
    <w:p>
      <w:pPr>
        <w:pStyle w:val="BodyText"/>
      </w:pPr>
      <w:hyperlink r:id="rId86">
        <w:r>
          <w:rPr>
            <w:rStyle w:val="Hyperlink"/>
          </w:rPr>
          <w:t xml:space="preserve">[48]</w:t>
        </w:r>
      </w:hyperlink>
      <w:r>
        <w:t xml:space="preserve"> </w:t>
      </w:r>
      <w:hyperlink r:id="rId86">
        <w:r>
          <w:rPr>
            <w:rStyle w:val="Hyperlink"/>
          </w:rPr>
          <w:t xml:space="preserve">[68]</w:t>
        </w:r>
      </w:hyperlink>
      <w:r>
        <w:t xml:space="preserve"> </w:t>
      </w:r>
      <w:r>
        <w:t xml:space="preserve">Production best practices | OpenAI API</w:t>
      </w:r>
    </w:p>
    <w:p>
      <w:pPr>
        <w:pStyle w:val="BodyText"/>
      </w:pPr>
      <w:hyperlink r:id="rId86">
        <w:r>
          <w:rPr>
            <w:rStyle w:val="Hyperlink"/>
          </w:rPr>
          <w:t xml:space="preserve">https://developers.openai.com/api/docs/guides/production-best-practices/?utm_source=chatgpt.com</w:t>
        </w:r>
      </w:hyperlink>
    </w:p>
    <w:p>
      <w:pPr>
        <w:pStyle w:val="BodyText"/>
      </w:pPr>
      <w:hyperlink r:id="rId87">
        <w:r>
          <w:rPr>
            <w:rStyle w:val="Hyperlink"/>
          </w:rPr>
          <w:t xml:space="preserve">[49]</w:t>
        </w:r>
      </w:hyperlink>
      <w:r>
        <w:t xml:space="preserve"> </w:t>
      </w:r>
      <w:r>
        <w:t xml:space="preserve">Data controls in the OpenAI platform</w:t>
      </w:r>
    </w:p>
    <w:p>
      <w:pPr>
        <w:pStyle w:val="BodyText"/>
      </w:pPr>
      <w:hyperlink r:id="rId87">
        <w:r>
          <w:rPr>
            <w:rStyle w:val="Hyperlink"/>
          </w:rPr>
          <w:t xml:space="preserve">https://developers.openai.com/api/docs/guides/your-data/?utm_source=chatgpt.com</w:t>
        </w:r>
      </w:hyperlink>
    </w:p>
    <w:p>
      <w:pPr>
        <w:pStyle w:val="BodyText"/>
      </w:pPr>
      <w:hyperlink r:id="rId88">
        <w:r>
          <w:rPr>
            <w:rStyle w:val="Hyperlink"/>
          </w:rPr>
          <w:t xml:space="preserve">[50]</w:t>
        </w:r>
      </w:hyperlink>
      <w:r>
        <w:t xml:space="preserve"> </w:t>
      </w:r>
      <w:r>
        <w:t xml:space="preserve">Observability :: Spring AI Reference</w:t>
      </w:r>
    </w:p>
    <w:p>
      <w:pPr>
        <w:pStyle w:val="BodyText"/>
      </w:pPr>
      <w:hyperlink r:id="rId88">
        <w:r>
          <w:rPr>
            <w:rStyle w:val="Hyperlink"/>
          </w:rPr>
          <w:t xml:space="preserve">https://docs.spring.io/spring-ai/reference/observability/index.html?utm_source=chatgpt.com</w:t>
        </w:r>
      </w:hyperlink>
    </w:p>
    <w:p>
      <w:pPr>
        <w:pStyle w:val="BodyText"/>
      </w:pPr>
      <w:hyperlink r:id="rId90">
        <w:r>
          <w:rPr>
            <w:rStyle w:val="Hyperlink"/>
          </w:rPr>
          <w:t xml:space="preserve">[51]</w:t>
        </w:r>
      </w:hyperlink>
      <w:r>
        <w:t xml:space="preserve"> </w:t>
      </w:r>
      <w:r>
        <w:t xml:space="preserve">Practical Guide for Model Selection for Real‑World Use ...</w:t>
      </w:r>
    </w:p>
    <w:p>
      <w:pPr>
        <w:pStyle w:val="BodyText"/>
      </w:pPr>
      <w:hyperlink r:id="rId90">
        <w:r>
          <w:rPr>
            <w:rStyle w:val="Hyperlink"/>
          </w:rPr>
          <w:t xml:space="preserve">https://developers.openai.com/cookbook/examples/partners/model_selection_guide/model_selection_guide/?utm_source=chatgpt.com</w:t>
        </w:r>
      </w:hyperlink>
    </w:p>
    <w:p>
      <w:pPr>
        <w:pStyle w:val="BodyText"/>
      </w:pPr>
      <w:hyperlink r:id="rId94">
        <w:r>
          <w:rPr>
            <w:rStyle w:val="Hyperlink"/>
          </w:rPr>
          <w:t xml:space="preserve">[53]</w:t>
        </w:r>
      </w:hyperlink>
      <w:r>
        <w:t xml:space="preserve"> </w:t>
      </w:r>
      <w:hyperlink r:id="rId94">
        <w:r>
          <w:rPr>
            <w:rStyle w:val="Hyperlink"/>
          </w:rPr>
          <w:t xml:space="preserve">[73]</w:t>
        </w:r>
      </w:hyperlink>
      <w:r>
        <w:t xml:space="preserve"> </w:t>
      </w:r>
      <w:r>
        <w:t xml:space="preserve">Documentation: 18: 5.9. Row Security Policies</w:t>
      </w:r>
    </w:p>
    <w:p>
      <w:pPr>
        <w:pStyle w:val="BodyText"/>
      </w:pPr>
      <w:hyperlink r:id="rId94">
        <w:r>
          <w:rPr>
            <w:rStyle w:val="Hyperlink"/>
          </w:rPr>
          <w:t xml:space="preserve">https://www.postgresql.org/docs/current/ddl-rowsecurity.html?utm_source=chatgpt.com</w:t>
        </w:r>
      </w:hyperlink>
    </w:p>
    <w:p>
      <w:pPr>
        <w:pStyle w:val="BodyText"/>
      </w:pPr>
      <w:hyperlink r:id="rId95">
        <w:r>
          <w:rPr>
            <w:rStyle w:val="Hyperlink"/>
          </w:rPr>
          <w:t xml:space="preserve">[54]</w:t>
        </w:r>
      </w:hyperlink>
      <w:r>
        <w:t xml:space="preserve"> </w:t>
      </w:r>
      <w:r>
        <w:t xml:space="preserve">CREATE ROLE - PostgreSQL: Documentation: 18</w:t>
      </w:r>
    </w:p>
    <w:p>
      <w:pPr>
        <w:pStyle w:val="BodyText"/>
      </w:pPr>
      <w:hyperlink r:id="rId95">
        <w:r>
          <w:rPr>
            <w:rStyle w:val="Hyperlink"/>
          </w:rPr>
          <w:t xml:space="preserve">https://www.postgresql.org/docs/current/sql-createrole.html?utm_source=chatgpt.com</w:t>
        </w:r>
      </w:hyperlink>
    </w:p>
    <w:p>
      <w:pPr>
        <w:pStyle w:val="BodyText"/>
      </w:pPr>
      <w:hyperlink r:id="rId98">
        <w:r>
          <w:rPr>
            <w:rStyle w:val="Hyperlink"/>
          </w:rPr>
          <w:t xml:space="preserve">[57]</w:t>
        </w:r>
      </w:hyperlink>
      <w:r>
        <w:t xml:space="preserve"> </w:t>
      </w:r>
      <w:r>
        <w:t xml:space="preserve">GraphQL - OWASP Cheat Sheet Series</w:t>
      </w:r>
    </w:p>
    <w:p>
      <w:pPr>
        <w:pStyle w:val="BodyText"/>
      </w:pPr>
      <w:hyperlink r:id="rId98">
        <w:r>
          <w:rPr>
            <w:rStyle w:val="Hyperlink"/>
          </w:rPr>
          <w:t xml:space="preserve">https://cheatsheetseries.owasp.org/cheatsheets/GraphQL_Cheat_Sheet.html?utm_source=chatgpt.com</w:t>
        </w:r>
      </w:hyperlink>
    </w:p>
    <w:p>
      <w:pPr>
        <w:pStyle w:val="BodyText"/>
      </w:pPr>
      <w:hyperlink r:id="rId101">
        <w:r>
          <w:rPr>
            <w:rStyle w:val="Hyperlink"/>
          </w:rPr>
          <w:t xml:space="preserve">[59]</w:t>
        </w:r>
      </w:hyperlink>
      <w:r>
        <w:t xml:space="preserve"> </w:t>
      </w:r>
      <w:r>
        <w:t xml:space="preserve">Monitoring and logging overview | Cloud Run</w:t>
      </w:r>
    </w:p>
    <w:p>
      <w:pPr>
        <w:pStyle w:val="BodyText"/>
      </w:pPr>
      <w:hyperlink r:id="rId101">
        <w:r>
          <w:rPr>
            <w:rStyle w:val="Hyperlink"/>
          </w:rPr>
          <w:t xml:space="preserve">https://docs.cloud.google.com/run/docs/monitoring-overview?utm_source=chatgpt.com</w:t>
        </w:r>
      </w:hyperlink>
    </w:p>
    <w:p>
      <w:pPr>
        <w:pStyle w:val="BodyText"/>
      </w:pPr>
      <w:hyperlink r:id="rId102">
        <w:r>
          <w:rPr>
            <w:rStyle w:val="Hyperlink"/>
          </w:rPr>
          <w:t xml:space="preserve">[60]</w:t>
        </w:r>
      </w:hyperlink>
      <w:r>
        <w:t xml:space="preserve"> </w:t>
      </w:r>
      <w:r>
        <w:t xml:space="preserve">Production-ready Features :: Spring Modulith</w:t>
      </w:r>
    </w:p>
    <w:p>
      <w:pPr>
        <w:pStyle w:val="BodyText"/>
      </w:pPr>
      <w:hyperlink r:id="rId102">
        <w:r>
          <w:rPr>
            <w:rStyle w:val="Hyperlink"/>
          </w:rPr>
          <w:t xml:space="preserve">https://docs.spring.io/spring-modulith/reference/production-ready.html?utm_source=chatgpt.com</w:t>
        </w:r>
      </w:hyperlink>
    </w:p>
    <w:p>
      <w:pPr>
        <w:pStyle w:val="BodyText"/>
      </w:pPr>
      <w:hyperlink r:id="rId104">
        <w:r>
          <w:rPr>
            <w:rStyle w:val="Hyperlink"/>
          </w:rPr>
          <w:t xml:space="preserve">[61]</w:t>
        </w:r>
      </w:hyperlink>
      <w:r>
        <w:t xml:space="preserve"> </w:t>
      </w:r>
      <w:r>
        <w:t xml:space="preserve">Integration Testing Application Modules :: Spring Modulith</w:t>
      </w:r>
    </w:p>
    <w:p>
      <w:pPr>
        <w:pStyle w:val="BodyText"/>
      </w:pPr>
      <w:hyperlink r:id="rId104">
        <w:r>
          <w:rPr>
            <w:rStyle w:val="Hyperlink"/>
          </w:rPr>
          <w:t xml:space="preserve">https://docs.spring.io/spring-modulith/reference/testing.html?utm_source=chatgpt.com</w:t>
        </w:r>
      </w:hyperlink>
    </w:p>
    <w:p>
      <w:pPr>
        <w:pStyle w:val="BodyText"/>
      </w:pPr>
      <w:hyperlink r:id="rId106">
        <w:r>
          <w:rPr>
            <w:rStyle w:val="Hyperlink"/>
          </w:rPr>
          <w:t xml:space="preserve">[63]</w:t>
        </w:r>
      </w:hyperlink>
      <w:r>
        <w:t xml:space="preserve"> </w:t>
      </w:r>
      <w:r>
        <w:t xml:space="preserve">Artifact Registry overview</w:t>
      </w:r>
    </w:p>
    <w:p>
      <w:pPr>
        <w:pStyle w:val="BodyText"/>
      </w:pPr>
      <w:hyperlink r:id="rId106">
        <w:r>
          <w:rPr>
            <w:rStyle w:val="Hyperlink"/>
          </w:rPr>
          <w:t xml:space="preserve">https://docs.cloud.google.com/artifact-registry/docs/overview?utm_source=chatgpt.com</w:t>
        </w:r>
      </w:hyperlink>
    </w:p>
    <w:p>
      <w:pPr>
        <w:pStyle w:val="BodyText"/>
      </w:pPr>
      <w:hyperlink r:id="rId107">
        <w:r>
          <w:rPr>
            <w:rStyle w:val="Hyperlink"/>
          </w:rPr>
          <w:t xml:space="preserve">[64]</w:t>
        </w:r>
      </w:hyperlink>
      <w:r>
        <w:t xml:space="preserve"> </w:t>
      </w:r>
      <w:r>
        <w:t xml:space="preserve">Deploying container images to Cloud Run</w:t>
      </w:r>
    </w:p>
    <w:p>
      <w:pPr>
        <w:pStyle w:val="BodyText"/>
      </w:pPr>
      <w:hyperlink r:id="rId107">
        <w:r>
          <w:rPr>
            <w:rStyle w:val="Hyperlink"/>
          </w:rPr>
          <w:t xml:space="preserve">https://docs.cloud.google.com/run/docs/deploying?utm_source=chatgpt.com</w:t>
        </w:r>
      </w:hyperlink>
    </w:p>
    <w:p>
      <w:pPr>
        <w:pStyle w:val="BodyText"/>
      </w:pPr>
      <w:hyperlink r:id="rId108">
        <w:r>
          <w:rPr>
            <w:rStyle w:val="Hyperlink"/>
          </w:rPr>
          <w:t xml:space="preserve">[65]</w:t>
        </w:r>
      </w:hyperlink>
      <w:r>
        <w:t xml:space="preserve"> </w:t>
      </w:r>
      <w:r>
        <w:t xml:space="preserve">Configure secrets for services | Cloud Run</w:t>
      </w:r>
    </w:p>
    <w:p>
      <w:pPr>
        <w:pStyle w:val="BodyText"/>
      </w:pPr>
      <w:hyperlink r:id="rId108">
        <w:r>
          <w:rPr>
            <w:rStyle w:val="Hyperlink"/>
          </w:rPr>
          <w:t xml:space="preserve">https://docs.cloud.google.com/run/docs/configuring/services/secrets?utm_source=chatgpt.com</w:t>
        </w:r>
      </w:hyperlink>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8" Type="http://schemas.openxmlformats.org/officeDocument/2006/relationships/hyperlink" Target="https://cheatsheetseries.owasp.org/cheatsheets/GraphQL_Cheat_Sheet.html?utm_source=chatgpt.com" TargetMode="External"/><Relationship Id="rId54" Type="http://schemas.openxmlformats.org/officeDocument/2006/relationships/hyperlink" Target="https://cloud.google.com/products/observability?utm_source=chatgpt.com" TargetMode="External"/><Relationship Id="rId29" Type="http://schemas.openxmlformats.org/officeDocument/2006/relationships/hyperlink" Target="https://developers.openai.com/api/docs/guides/evaluation-best-practices/?utm_source=chatgpt.com" TargetMode="External"/><Relationship Id="rId81" Type="http://schemas.openxmlformats.org/officeDocument/2006/relationships/hyperlink" Target="https://developers.openai.com/api/docs/guides/function-calling/?utm_source=chatgpt.com" TargetMode="External"/><Relationship Id="rId86" Type="http://schemas.openxmlformats.org/officeDocument/2006/relationships/hyperlink" Target="https://developers.openai.com/api/docs/guides/production-best-practices/?utm_source=chatgpt.com" TargetMode="External"/><Relationship Id="rId71" Type="http://schemas.openxmlformats.org/officeDocument/2006/relationships/hyperlink" Target="https://developers.openai.com/api/docs/guides/structured-outputs/?utm_source=chatgpt.com" TargetMode="External"/><Relationship Id="rId87" Type="http://schemas.openxmlformats.org/officeDocument/2006/relationships/hyperlink" Target="https://developers.openai.com/api/docs/guides/your-data/?utm_source=chatgpt.com" TargetMode="External"/><Relationship Id="rId90" Type="http://schemas.openxmlformats.org/officeDocument/2006/relationships/hyperlink" Target="https://developers.openai.com/cookbook/examples/partners/model_selection_guide/model_selection_guide/?utm_source=chatgpt.com" TargetMode="External"/><Relationship Id="rId106" Type="http://schemas.openxmlformats.org/officeDocument/2006/relationships/hyperlink" Target="https://docs.cloud.google.com/artifact-registry/docs/overview?utm_source=chatgpt.com" TargetMode="External"/><Relationship Id="rId53" Type="http://schemas.openxmlformats.org/officeDocument/2006/relationships/hyperlink" Target="https://docs.cloud.google.com/build/docs?utm_source=chatgpt.com" TargetMode="External"/><Relationship Id="rId47" Type="http://schemas.openxmlformats.org/officeDocument/2006/relationships/hyperlink" Target="https://docs.cloud.google.com/compute/docs/regions-zones?utm_source=chatgpt.com" TargetMode="External"/><Relationship Id="rId50" Type="http://schemas.openxmlformats.org/officeDocument/2006/relationships/hyperlink" Target="https://docs.cloud.google.com/iam/docs/best-practices-for-managing-service-account-keys?utm_source=chatgpt.com" TargetMode="External"/><Relationship Id="rId43" Type="http://schemas.openxmlformats.org/officeDocument/2006/relationships/hyperlink" Target="https://docs.cloud.google.com/kubernetes-engine/docs/concepts/autopilot-overview?utm_source=chatgpt.com" TargetMode="External"/><Relationship Id="rId44" Type="http://schemas.openxmlformats.org/officeDocument/2006/relationships/hyperlink" Target="https://docs.cloud.google.com/kubernetes-engine/docs/concepts/regional-clusters?utm_source=chatgpt.com" TargetMode="External"/><Relationship Id="rId52" Type="http://schemas.openxmlformats.org/officeDocument/2006/relationships/hyperlink" Target="https://docs.cloud.google.com/kubernetes-engine/docs/concepts/workload-identity?utm_source=chatgpt.com" TargetMode="External"/><Relationship Id="rId38" Type="http://schemas.openxmlformats.org/officeDocument/2006/relationships/hyperlink" Target="https://docs.cloud.google.com/run/docs/building/containers?utm_source=chatgpt.com" TargetMode="External"/><Relationship Id="rId108" Type="http://schemas.openxmlformats.org/officeDocument/2006/relationships/hyperlink" Target="https://docs.cloud.google.com/run/docs/configuring/services/secrets?utm_source=chatgpt.com" TargetMode="External"/><Relationship Id="rId107" Type="http://schemas.openxmlformats.org/officeDocument/2006/relationships/hyperlink" Target="https://docs.cloud.google.com/run/docs/deploying?utm_source=chatgpt.com" TargetMode="External"/><Relationship Id="rId101" Type="http://schemas.openxmlformats.org/officeDocument/2006/relationships/hyperlink" Target="https://docs.cloud.google.com/run/docs/monitoring-overview?utm_source=chatgpt.com" TargetMode="External"/><Relationship Id="rId22" Type="http://schemas.openxmlformats.org/officeDocument/2006/relationships/hyperlink" Target="https://docs.cloud.google.com/run/docs/overview/what-is-cloud-run?utm_source=chatgpt.com" TargetMode="External"/><Relationship Id="rId41" Type="http://schemas.openxmlformats.org/officeDocument/2006/relationships/hyperlink" Target="https://docs.cloud.google.com/run/docs/resource-model?utm_source=chatgpt.com" TargetMode="External"/><Relationship Id="rId51" Type="http://schemas.openxmlformats.org/officeDocument/2006/relationships/hyperlink" Target="https://docs.cloud.google.com/run/docs/securing/service-identity?utm_source=chatgpt.com" TargetMode="External"/><Relationship Id="rId49" Type="http://schemas.openxmlformats.org/officeDocument/2006/relationships/hyperlink" Target="https://docs.cloud.google.com/secret-manager/docs/overview?utm_source=chatgpt.com" TargetMode="External"/><Relationship Id="rId60" Type="http://schemas.openxmlformats.org/officeDocument/2006/relationships/hyperlink" Target="https://docs.cloud.google.com/sql/docs/postgres/backup-recovery/configure-pitr?utm_source=chatgpt.com" TargetMode="External"/><Relationship Id="rId72" Type="http://schemas.openxmlformats.org/officeDocument/2006/relationships/hyperlink" Target="https://docs.cloud.google.com/sql/docs/postgres/backup-recovery/pitr?utm_source=chatgpt.com" TargetMode="External"/><Relationship Id="rId61" Type="http://schemas.openxmlformats.org/officeDocument/2006/relationships/hyperlink" Target="https://docs.cloud.google.com/sql/docs/postgres/configure-ha?utm_source=chatgpt.com" TargetMode="External"/><Relationship Id="rId57" Type="http://schemas.openxmlformats.org/officeDocument/2006/relationships/hyperlink" Target="https://docs.cloud.google.com/sql/docs/postgres/connect-connectors?utm_source=chatgpt.com" TargetMode="External"/><Relationship Id="rId56" Type="http://schemas.openxmlformats.org/officeDocument/2006/relationships/hyperlink" Target="https://docs.cloud.google.com/sql/docs/postgres/connect-run?utm_source=chatgpt.com" TargetMode="External"/><Relationship Id="rId37" Type="http://schemas.openxmlformats.org/officeDocument/2006/relationships/hyperlink" Target="https://docs.cloud.google.com/sql/docs/postgres/db-versions?utm_source=chatgpt.com" TargetMode="External"/><Relationship Id="rId59" Type="http://schemas.openxmlformats.org/officeDocument/2006/relationships/hyperlink" Target="https://docs.cloud.google.com/sql/docs/postgres/instance-settings?utm_source=chatgpt.com" TargetMode="External"/><Relationship Id="rId48" Type="http://schemas.openxmlformats.org/officeDocument/2006/relationships/hyperlink" Target="https://docs.cloud.google.com/storage/docs/access-control/signed-urls?utm_source=chatgpt.com" TargetMode="External"/><Relationship Id="rId77" Type="http://schemas.openxmlformats.org/officeDocument/2006/relationships/hyperlink" Target="https://docs.spring.io/spring-ai/reference/api/chat/openai-chat.html?utm_source=chatgpt.com" TargetMode="External"/><Relationship Id="rId83" Type="http://schemas.openxmlformats.org/officeDocument/2006/relationships/hyperlink" Target="https://docs.spring.io/spring-ai/reference/api/retrieval-augmented-generation.html?utm_source=chatgpt.com" TargetMode="External"/><Relationship Id="rId76" Type="http://schemas.openxmlformats.org/officeDocument/2006/relationships/hyperlink" Target="https://docs.spring.io/spring-ai/reference/api/structured-output-converter.html?utm_source=chatgpt.com" TargetMode="External"/><Relationship Id="rId84" Type="http://schemas.openxmlformats.org/officeDocument/2006/relationships/hyperlink" Target="https://docs.spring.io/spring-ai/reference/api/testing.html?utm_source=chatgpt.com" TargetMode="External"/><Relationship Id="rId80" Type="http://schemas.openxmlformats.org/officeDocument/2006/relationships/hyperlink" Target="https://docs.spring.io/spring-ai/reference/api/tools.html?utm_source=chatgpt.com" TargetMode="External"/><Relationship Id="rId21" Type="http://schemas.openxmlformats.org/officeDocument/2006/relationships/hyperlink" Target="https://docs.spring.io/spring-ai/reference/getting-started.html?utm_source=chatgpt.com" TargetMode="External"/><Relationship Id="rId88" Type="http://schemas.openxmlformats.org/officeDocument/2006/relationships/hyperlink" Target="https://docs.spring.io/spring-ai/reference/observability/index.html?utm_source=chatgpt.com" TargetMode="External"/><Relationship Id="rId33" Type="http://schemas.openxmlformats.org/officeDocument/2006/relationships/hyperlink" Target="https://docs.spring.io/spring-boot/installing.html?utm_source=chatgpt.com" TargetMode="External"/><Relationship Id="rId39" Type="http://schemas.openxmlformats.org/officeDocument/2006/relationships/hyperlink" Target="https://docs.spring.io/spring-boot/reference/actuator/metrics.html?utm_source=chatgpt.com" TargetMode="External"/><Relationship Id="rId26" Type="http://schemas.openxmlformats.org/officeDocument/2006/relationships/hyperlink" Target="https://docs.spring.io/spring-modulith/reference/events.html?utm_source=chatgpt.com" TargetMode="External"/><Relationship Id="rId25" Type="http://schemas.openxmlformats.org/officeDocument/2006/relationships/hyperlink" Target="https://docs.spring.io/spring-modulith/reference/fundamentals.html?utm_source=chatgpt.com" TargetMode="External"/><Relationship Id="rId102" Type="http://schemas.openxmlformats.org/officeDocument/2006/relationships/hyperlink" Target="https://docs.spring.io/spring-modulith/reference/production-ready.html?utm_source=chatgpt.com" TargetMode="External"/><Relationship Id="rId65" Type="http://schemas.openxmlformats.org/officeDocument/2006/relationships/hyperlink" Target="https://docs.spring.io/spring-modulith/reference/runtime.html?utm_source=chatgpt.com" TargetMode="External"/><Relationship Id="rId104" Type="http://schemas.openxmlformats.org/officeDocument/2006/relationships/hyperlink" Target="https://docs.spring.io/spring-modulith/reference/testing.html?utm_source=chatgpt.com" TargetMode="External"/><Relationship Id="rId64" Type="http://schemas.openxmlformats.org/officeDocument/2006/relationships/hyperlink" Target="https://docs.spring.io/spring-modulith/reference/verification.html?utm_source=chatgpt.com" TargetMode="External"/><Relationship Id="rId36" Type="http://schemas.openxmlformats.org/officeDocument/2006/relationships/hyperlink" Target="https://gradle.org/releases/?utm_source=chatgpt.com" TargetMode="External"/><Relationship Id="rId27" Type="http://schemas.openxmlformats.org/officeDocument/2006/relationships/hyperlink" Target="https://graphql.org/learn/security/?utm_source=chatgpt.com" TargetMode="External"/><Relationship Id="rId32" Type="http://schemas.openxmlformats.org/officeDocument/2006/relationships/hyperlink" Target="https://kotlinlang.org/docs/releases.html?utm_source=chatgpt.com" TargetMode="External"/><Relationship Id="rId35" Type="http://schemas.openxmlformats.org/officeDocument/2006/relationships/hyperlink" Target="https://spring.io/blog/2025/11/12/spring-ai-1-1-GA-released?utm_source=chatgpt.com" TargetMode="External"/><Relationship Id="rId34" Type="http://schemas.openxmlformats.org/officeDocument/2006/relationships/hyperlink" Target="https://spring.io/blog/2026/02/19/spring-boot-3-5-11-available-now?utm_source=chatgpt.com" TargetMode="External"/><Relationship Id="rId94" Type="http://schemas.openxmlformats.org/officeDocument/2006/relationships/hyperlink" Target="https://www.postgresql.org/docs/current/ddl-rowsecurity.html?utm_source=chatgpt.com" TargetMode="External"/><Relationship Id="rId95" Type="http://schemas.openxmlformats.org/officeDocument/2006/relationships/hyperlink" Target="https://www.postgresql.org/docs/current/sql-createrole.html?utm_source=chatgpt.com" TargetMode="External"/></Relationships>
</file>

<file path=word/_rels/footnotes.xml.rels><?xml version='1.0' encoding='UTF-8' standalone='yes'?>
<Relationships xmlns="http://schemas.openxmlformats.org/package/2006/relationships"><Relationship Id="rId98" Type="http://schemas.openxmlformats.org/officeDocument/2006/relationships/hyperlink" Target="https://cheatsheetseries.owasp.org/cheatsheets/GraphQL_Cheat_Sheet.html?utm_source=chatgpt.com" TargetMode="External"/><Relationship Id="rId54" Type="http://schemas.openxmlformats.org/officeDocument/2006/relationships/hyperlink" Target="https://cloud.google.com/products/observability?utm_source=chatgpt.com" TargetMode="External"/><Relationship Id="rId29" Type="http://schemas.openxmlformats.org/officeDocument/2006/relationships/hyperlink" Target="https://developers.openai.com/api/docs/guides/evaluation-best-practices/?utm_source=chatgpt.com" TargetMode="External"/><Relationship Id="rId81" Type="http://schemas.openxmlformats.org/officeDocument/2006/relationships/hyperlink" Target="https://developers.openai.com/api/docs/guides/function-calling/?utm_source=chatgpt.com" TargetMode="External"/><Relationship Id="rId86" Type="http://schemas.openxmlformats.org/officeDocument/2006/relationships/hyperlink" Target="https://developers.openai.com/api/docs/guides/production-best-practices/?utm_source=chatgpt.com" TargetMode="External"/><Relationship Id="rId71" Type="http://schemas.openxmlformats.org/officeDocument/2006/relationships/hyperlink" Target="https://developers.openai.com/api/docs/guides/structured-outputs/?utm_source=chatgpt.com" TargetMode="External"/><Relationship Id="rId87" Type="http://schemas.openxmlformats.org/officeDocument/2006/relationships/hyperlink" Target="https://developers.openai.com/api/docs/guides/your-data/?utm_source=chatgpt.com" TargetMode="External"/><Relationship Id="rId90" Type="http://schemas.openxmlformats.org/officeDocument/2006/relationships/hyperlink" Target="https://developers.openai.com/cookbook/examples/partners/model_selection_guide/model_selection_guide/?utm_source=chatgpt.com" TargetMode="External"/><Relationship Id="rId106" Type="http://schemas.openxmlformats.org/officeDocument/2006/relationships/hyperlink" Target="https://docs.cloud.google.com/artifact-registry/docs/overview?utm_source=chatgpt.com" TargetMode="External"/><Relationship Id="rId53" Type="http://schemas.openxmlformats.org/officeDocument/2006/relationships/hyperlink" Target="https://docs.cloud.google.com/build/docs?utm_source=chatgpt.com" TargetMode="External"/><Relationship Id="rId47" Type="http://schemas.openxmlformats.org/officeDocument/2006/relationships/hyperlink" Target="https://docs.cloud.google.com/compute/docs/regions-zones?utm_source=chatgpt.com" TargetMode="External"/><Relationship Id="rId50" Type="http://schemas.openxmlformats.org/officeDocument/2006/relationships/hyperlink" Target="https://docs.cloud.google.com/iam/docs/best-practices-for-managing-service-account-keys?utm_source=chatgpt.com" TargetMode="External"/><Relationship Id="rId43" Type="http://schemas.openxmlformats.org/officeDocument/2006/relationships/hyperlink" Target="https://docs.cloud.google.com/kubernetes-engine/docs/concepts/autopilot-overview?utm_source=chatgpt.com" TargetMode="External"/><Relationship Id="rId44" Type="http://schemas.openxmlformats.org/officeDocument/2006/relationships/hyperlink" Target="https://docs.cloud.google.com/kubernetes-engine/docs/concepts/regional-clusters?utm_source=chatgpt.com" TargetMode="External"/><Relationship Id="rId52" Type="http://schemas.openxmlformats.org/officeDocument/2006/relationships/hyperlink" Target="https://docs.cloud.google.com/kubernetes-engine/docs/concepts/workload-identity?utm_source=chatgpt.com" TargetMode="External"/><Relationship Id="rId38" Type="http://schemas.openxmlformats.org/officeDocument/2006/relationships/hyperlink" Target="https://docs.cloud.google.com/run/docs/building/containers?utm_source=chatgpt.com" TargetMode="External"/><Relationship Id="rId108" Type="http://schemas.openxmlformats.org/officeDocument/2006/relationships/hyperlink" Target="https://docs.cloud.google.com/run/docs/configuring/services/secrets?utm_source=chatgpt.com" TargetMode="External"/><Relationship Id="rId107" Type="http://schemas.openxmlformats.org/officeDocument/2006/relationships/hyperlink" Target="https://docs.cloud.google.com/run/docs/deploying?utm_source=chatgpt.com" TargetMode="External"/><Relationship Id="rId101" Type="http://schemas.openxmlformats.org/officeDocument/2006/relationships/hyperlink" Target="https://docs.cloud.google.com/run/docs/monitoring-overview?utm_source=chatgpt.com" TargetMode="External"/><Relationship Id="rId22" Type="http://schemas.openxmlformats.org/officeDocument/2006/relationships/hyperlink" Target="https://docs.cloud.google.com/run/docs/overview/what-is-cloud-run?utm_source=chatgpt.com" TargetMode="External"/><Relationship Id="rId41" Type="http://schemas.openxmlformats.org/officeDocument/2006/relationships/hyperlink" Target="https://docs.cloud.google.com/run/docs/resource-model?utm_source=chatgpt.com" TargetMode="External"/><Relationship Id="rId51" Type="http://schemas.openxmlformats.org/officeDocument/2006/relationships/hyperlink" Target="https://docs.cloud.google.com/run/docs/securing/service-identity?utm_source=chatgpt.com" TargetMode="External"/><Relationship Id="rId49" Type="http://schemas.openxmlformats.org/officeDocument/2006/relationships/hyperlink" Target="https://docs.cloud.google.com/secret-manager/docs/overview?utm_source=chatgpt.com" TargetMode="External"/><Relationship Id="rId60" Type="http://schemas.openxmlformats.org/officeDocument/2006/relationships/hyperlink" Target="https://docs.cloud.google.com/sql/docs/postgres/backup-recovery/configure-pitr?utm_source=chatgpt.com" TargetMode="External"/><Relationship Id="rId72" Type="http://schemas.openxmlformats.org/officeDocument/2006/relationships/hyperlink" Target="https://docs.cloud.google.com/sql/docs/postgres/backup-recovery/pitr?utm_source=chatgpt.com" TargetMode="External"/><Relationship Id="rId61" Type="http://schemas.openxmlformats.org/officeDocument/2006/relationships/hyperlink" Target="https://docs.cloud.google.com/sql/docs/postgres/configure-ha?utm_source=chatgpt.com" TargetMode="External"/><Relationship Id="rId57" Type="http://schemas.openxmlformats.org/officeDocument/2006/relationships/hyperlink" Target="https://docs.cloud.google.com/sql/docs/postgres/connect-connectors?utm_source=chatgpt.com" TargetMode="External"/><Relationship Id="rId56" Type="http://schemas.openxmlformats.org/officeDocument/2006/relationships/hyperlink" Target="https://docs.cloud.google.com/sql/docs/postgres/connect-run?utm_source=chatgpt.com" TargetMode="External"/><Relationship Id="rId37" Type="http://schemas.openxmlformats.org/officeDocument/2006/relationships/hyperlink" Target="https://docs.cloud.google.com/sql/docs/postgres/db-versions?utm_source=chatgpt.com" TargetMode="External"/><Relationship Id="rId59" Type="http://schemas.openxmlformats.org/officeDocument/2006/relationships/hyperlink" Target="https://docs.cloud.google.com/sql/docs/postgres/instance-settings?utm_source=chatgpt.com" TargetMode="External"/><Relationship Id="rId48" Type="http://schemas.openxmlformats.org/officeDocument/2006/relationships/hyperlink" Target="https://docs.cloud.google.com/storage/docs/access-control/signed-urls?utm_source=chatgpt.com" TargetMode="External"/><Relationship Id="rId77" Type="http://schemas.openxmlformats.org/officeDocument/2006/relationships/hyperlink" Target="https://docs.spring.io/spring-ai/reference/api/chat/openai-chat.html?utm_source=chatgpt.com" TargetMode="External"/><Relationship Id="rId83" Type="http://schemas.openxmlformats.org/officeDocument/2006/relationships/hyperlink" Target="https://docs.spring.io/spring-ai/reference/api/retrieval-augmented-generation.html?utm_source=chatgpt.com" TargetMode="External"/><Relationship Id="rId76" Type="http://schemas.openxmlformats.org/officeDocument/2006/relationships/hyperlink" Target="https://docs.spring.io/spring-ai/reference/api/structured-output-converter.html?utm_source=chatgpt.com" TargetMode="External"/><Relationship Id="rId84" Type="http://schemas.openxmlformats.org/officeDocument/2006/relationships/hyperlink" Target="https://docs.spring.io/spring-ai/reference/api/testing.html?utm_source=chatgpt.com" TargetMode="External"/><Relationship Id="rId80" Type="http://schemas.openxmlformats.org/officeDocument/2006/relationships/hyperlink" Target="https://docs.spring.io/spring-ai/reference/api/tools.html?utm_source=chatgpt.com" TargetMode="External"/><Relationship Id="rId21" Type="http://schemas.openxmlformats.org/officeDocument/2006/relationships/hyperlink" Target="https://docs.spring.io/spring-ai/reference/getting-started.html?utm_source=chatgpt.com" TargetMode="External"/><Relationship Id="rId88" Type="http://schemas.openxmlformats.org/officeDocument/2006/relationships/hyperlink" Target="https://docs.spring.io/spring-ai/reference/observability/index.html?utm_source=chatgpt.com" TargetMode="External"/><Relationship Id="rId33" Type="http://schemas.openxmlformats.org/officeDocument/2006/relationships/hyperlink" Target="https://docs.spring.io/spring-boot/installing.html?utm_source=chatgpt.com" TargetMode="External"/><Relationship Id="rId39" Type="http://schemas.openxmlformats.org/officeDocument/2006/relationships/hyperlink" Target="https://docs.spring.io/spring-boot/reference/actuator/metrics.html?utm_source=chatgpt.com" TargetMode="External"/><Relationship Id="rId26" Type="http://schemas.openxmlformats.org/officeDocument/2006/relationships/hyperlink" Target="https://docs.spring.io/spring-modulith/reference/events.html?utm_source=chatgpt.com" TargetMode="External"/><Relationship Id="rId25" Type="http://schemas.openxmlformats.org/officeDocument/2006/relationships/hyperlink" Target="https://docs.spring.io/spring-modulith/reference/fundamentals.html?utm_source=chatgpt.com" TargetMode="External"/><Relationship Id="rId102" Type="http://schemas.openxmlformats.org/officeDocument/2006/relationships/hyperlink" Target="https://docs.spring.io/spring-modulith/reference/production-ready.html?utm_source=chatgpt.com" TargetMode="External"/><Relationship Id="rId65" Type="http://schemas.openxmlformats.org/officeDocument/2006/relationships/hyperlink" Target="https://docs.spring.io/spring-modulith/reference/runtime.html?utm_source=chatgpt.com" TargetMode="External"/><Relationship Id="rId104" Type="http://schemas.openxmlformats.org/officeDocument/2006/relationships/hyperlink" Target="https://docs.spring.io/spring-modulith/reference/testing.html?utm_source=chatgpt.com" TargetMode="External"/><Relationship Id="rId64" Type="http://schemas.openxmlformats.org/officeDocument/2006/relationships/hyperlink" Target="https://docs.spring.io/spring-modulith/reference/verification.html?utm_source=chatgpt.com" TargetMode="External"/><Relationship Id="rId36" Type="http://schemas.openxmlformats.org/officeDocument/2006/relationships/hyperlink" Target="https://gradle.org/releases/?utm_source=chatgpt.com" TargetMode="External"/><Relationship Id="rId27" Type="http://schemas.openxmlformats.org/officeDocument/2006/relationships/hyperlink" Target="https://graphql.org/learn/security/?utm_source=chatgpt.com" TargetMode="External"/><Relationship Id="rId32" Type="http://schemas.openxmlformats.org/officeDocument/2006/relationships/hyperlink" Target="https://kotlinlang.org/docs/releases.html?utm_source=chatgpt.com" TargetMode="External"/><Relationship Id="rId35" Type="http://schemas.openxmlformats.org/officeDocument/2006/relationships/hyperlink" Target="https://spring.io/blog/2025/11/12/spring-ai-1-1-GA-released?utm_source=chatgpt.com" TargetMode="External"/><Relationship Id="rId34" Type="http://schemas.openxmlformats.org/officeDocument/2006/relationships/hyperlink" Target="https://spring.io/blog/2026/02/19/spring-boot-3-5-11-available-now?utm_source=chatgpt.com" TargetMode="External"/><Relationship Id="rId94" Type="http://schemas.openxmlformats.org/officeDocument/2006/relationships/hyperlink" Target="https://www.postgresql.org/docs/current/ddl-rowsecurity.html?utm_source=chatgpt.com" TargetMode="External"/><Relationship Id="rId95" Type="http://schemas.openxmlformats.org/officeDocument/2006/relationships/hyperlink" Target="https://www.postgresql.org/docs/current/sql-createrole.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2026-03-07T11:50:04Z</dcterms:created>
  <dcterms:modified xsi:type="dcterms:W3CDTF">2026-03-07T11:50:04Z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