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3300"/>
        <w:gridCol w:w="8940"/>
      </w:tblGrid>
      <w:tr>
        <w:tc>
          <w:tcPr>
            <w:tcW w:type="dxa" w:w="3300"/>
            <w:tcBorders>
              <w:top w:val="none" w:color="FFFFFF" w:sz="0"/>
              <w:left w:val="none" w:color="FFFFFF" w:sz="0"/>
              <w:bottom w:val="none" w:color="FFFFFF" w:sz="0"/>
              <w:right w:val="none" w:color="FFFFFF" w:sz="0"/>
            </w:tcBorders>
            <w:shd w:fill="1B2A4A" w:val="clear"/>
            <w:tcMar>
              <w:top w:type="dxa" w:w="560"/>
              <w:left w:type="dxa" w:w="380"/>
              <w:bottom w:type="dxa" w:w="560"/>
              <w:right w:type="dxa" w:w="340"/>
            </w:tcMar>
            <w:vAlign w:val="top"/>
          </w:tcPr>
          <w:p>
            <w:pPr>
              <w:spacing w:after="20"/>
            </w:pPr>
            <w:r>
              <w:rPr>
                <w:rFonts w:ascii="Calibri" w:cs="Calibri" w:eastAsia="Calibri" w:hAnsi="Calibri"/>
                <w:b/>
                <w:bCs/>
                <w:color w:val="FFFFFF"/>
                <w:spacing w:val="14"/>
                <w:sz w:val="34"/>
                <w:szCs w:val="34"/>
              </w:rPr>
              <w:t xml:space="preserve">GRIGOR</w:t>
            </w:r>
          </w:p>
          <w:p>
            <w:pPr>
              <w:spacing w:after="140"/>
            </w:pPr>
            <w:r>
              <w:rPr>
                <w:rFonts w:ascii="Calibri" w:cs="Calibri" w:eastAsia="Calibri" w:hAnsi="Calibri"/>
                <w:b/>
                <w:bCs/>
                <w:color w:val="FFFFFF"/>
                <w:spacing w:val="14"/>
                <w:sz w:val="34"/>
                <w:szCs w:val="34"/>
              </w:rPr>
              <w:t xml:space="preserve">KARAMYAN</w:t>
            </w:r>
          </w:p>
          <w:p>
            <w:pPr>
              <w:spacing w:after="260"/>
            </w:pPr>
            <w:r>
              <w:rPr>
                <w:rFonts w:ascii="Calibri" w:cs="Calibri" w:eastAsia="Calibri" w:hAnsi="Calibri"/>
                <w:i/>
                <w:iCs/>
                <w:color w:val="6FA8DC"/>
                <w:sz w:val="20"/>
                <w:szCs w:val="20"/>
              </w:rPr>
              <w:t xml:space="preserve">Detection Engineer</w:t>
            </w:r>
          </w:p>
          <w:p>
            <w:pPr>
              <w:pBdr>
                <w:bottom w:val="single" w:color="6FA8DC" w:sz="4" w:space="3"/>
              </w:pBdr>
              <w:spacing w:after="100" w:before="260"/>
            </w:pPr>
            <w:r>
              <w:rPr>
                <w:rFonts w:ascii="Calibri" w:cs="Calibri" w:eastAsia="Calibri" w:hAnsi="Calibri"/>
                <w:b/>
                <w:bCs/>
                <w:color w:val="6FA8DC"/>
                <w:spacing w:val="12"/>
                <w:sz w:val="19"/>
                <w:szCs w:val="19"/>
              </w:rPr>
              <w:t xml:space="preserve">CONTACT</w:t>
            </w:r>
          </w:p>
          <w:p>
            <w:pPr>
              <w:spacing w:after="60"/>
            </w:pPr>
            <w:r>
              <w:rPr>
                <w:rFonts w:ascii="Calibri" w:cs="Calibri" w:eastAsia="Calibri" w:hAnsi="Calibri"/>
                <w:b w:val="false"/>
                <w:bCs w:val="false"/>
                <w:color w:val="FFFFFF"/>
                <w:sz w:val="18"/>
                <w:szCs w:val="18"/>
              </w:rPr>
              <w:t xml:space="preserve">+374 55 802 575</w:t>
            </w:r>
          </w:p>
          <w:p>
            <w:pPr>
              <w:spacing w:after="60"/>
            </w:pPr>
            <w:r>
              <w:rPr>
                <w:rFonts w:ascii="Calibri" w:cs="Calibri" w:eastAsia="Calibri" w:hAnsi="Calibri"/>
                <w:b w:val="false"/>
                <w:bCs w:val="false"/>
                <w:color w:val="FFFFFF"/>
                <w:sz w:val="18"/>
                <w:szCs w:val="18"/>
              </w:rPr>
              <w:t xml:space="preserve">grigkaramyan@gmail.com</w:t>
            </w:r>
          </w:p>
          <w:p>
            <w:pPr>
              <w:spacing w:after="60"/>
            </w:pPr>
            <w:r>
              <w:rPr>
                <w:rFonts w:ascii="Calibri" w:cs="Calibri" w:eastAsia="Calibri" w:hAnsi="Calibri"/>
                <w:b w:val="false"/>
                <w:bCs w:val="false"/>
                <w:color w:val="FFFFFF"/>
                <w:sz w:val="18"/>
                <w:szCs w:val="18"/>
              </w:rPr>
              <w:t xml:space="preserve">Masis, Armenia</w:t>
            </w:r>
          </w:p>
          <w:p>
            <w:pPr>
              <w:spacing w:after="60"/>
            </w:pPr>
            <w:r>
              <w:rPr>
                <w:rFonts w:ascii="Calibri" w:cs="Calibri" w:eastAsia="Calibri" w:hAnsi="Calibri"/>
                <w:b w:val="false"/>
                <w:bCs w:val="false"/>
                <w:color w:val="FFFFFF"/>
                <w:sz w:val="18"/>
                <w:szCs w:val="18"/>
              </w:rPr>
              <w:t xml:space="preserve">linkedin.com/in/qartash</w:t>
            </w:r>
          </w:p>
          <w:p>
            <w:pPr>
              <w:spacing w:after="60"/>
            </w:pPr>
            <w:r>
              <w:rPr>
                <w:rFonts w:ascii="Calibri" w:cs="Calibri" w:eastAsia="Calibri" w:hAnsi="Calibri"/>
                <w:b w:val="false"/>
                <w:bCs w:val="false"/>
                <w:color w:val="FFFFFF"/>
                <w:sz w:val="18"/>
                <w:szCs w:val="18"/>
              </w:rPr>
              <w:t xml:space="preserve">github.com/Qartash</w:t>
            </w:r>
          </w:p>
          <w:p>
            <w:pPr>
              <w:pBdr>
                <w:bottom w:val="single" w:color="6FA8DC" w:sz="4" w:space="3"/>
              </w:pBdr>
              <w:spacing w:after="100" w:before="260"/>
            </w:pPr>
            <w:r>
              <w:rPr>
                <w:rFonts w:ascii="Calibri" w:cs="Calibri" w:eastAsia="Calibri" w:hAnsi="Calibri"/>
                <w:b/>
                <w:bCs/>
                <w:color w:val="6FA8DC"/>
                <w:spacing w:val="12"/>
                <w:sz w:val="19"/>
                <w:szCs w:val="19"/>
              </w:rPr>
              <w:t xml:space="preserve">SKILLS</w:t>
            </w:r>
          </w:p>
          <w:p>
            <w:pPr>
              <w:spacing w:after="20" w:before="100"/>
            </w:pPr>
            <w:r>
              <w:rPr>
                <w:rFonts w:ascii="Calibri" w:cs="Calibri" w:eastAsia="Calibri" w:hAnsi="Calibri"/>
                <w:b/>
                <w:bCs/>
                <w:color w:val="D6E1F0"/>
                <w:sz w:val="18"/>
                <w:szCs w:val="18"/>
              </w:rPr>
              <w:t xml:space="preserve">SIEM &amp; Detection</w:t>
            </w:r>
          </w:p>
          <w:p>
            <w:pPr>
              <w:spacing w:after="100"/>
            </w:pPr>
            <w:r>
              <w:rPr>
                <w:rFonts w:ascii="Calibri" w:cs="Calibri" w:eastAsia="Calibri" w:hAnsi="Calibri"/>
                <w:color w:val="FFFFFF"/>
                <w:sz w:val="17"/>
                <w:szCs w:val="17"/>
              </w:rPr>
              <w:t xml:space="preserve">Trellix (McAfee) XDR / EPO, detection rule development, log correlation, threat hunting</w:t>
            </w:r>
          </w:p>
          <w:p>
            <w:pPr>
              <w:spacing w:after="20" w:before="100"/>
            </w:pPr>
            <w:r>
              <w:rPr>
                <w:rFonts w:ascii="Calibri" w:cs="Calibri" w:eastAsia="Calibri" w:hAnsi="Calibri"/>
                <w:b/>
                <w:bCs/>
                <w:color w:val="D6E1F0"/>
                <w:sz w:val="18"/>
                <w:szCs w:val="18"/>
              </w:rPr>
              <w:t xml:space="preserve">Threat Frameworks</w:t>
            </w:r>
          </w:p>
          <w:p>
            <w:pPr>
              <w:spacing w:after="100"/>
            </w:pPr>
            <w:r>
              <w:rPr>
                <w:rFonts w:ascii="Calibri" w:cs="Calibri" w:eastAsia="Calibri" w:hAnsi="Calibri"/>
                <w:color w:val="FFFFFF"/>
                <w:sz w:val="17"/>
                <w:szCs w:val="17"/>
              </w:rPr>
              <w:t xml:space="preserve">MITRE ATT&amp;CK (active use), OWASP API Security Top 10</w:t>
            </w:r>
          </w:p>
          <w:p>
            <w:pPr>
              <w:spacing w:after="20" w:before="100"/>
            </w:pPr>
            <w:r>
              <w:rPr>
                <w:rFonts w:ascii="Calibri" w:cs="Calibri" w:eastAsia="Calibri" w:hAnsi="Calibri"/>
                <w:b/>
                <w:bCs/>
                <w:color w:val="D6E1F0"/>
                <w:sz w:val="18"/>
                <w:szCs w:val="18"/>
              </w:rPr>
              <w:t xml:space="preserve">Data Loss Prevention</w:t>
            </w:r>
          </w:p>
          <w:p>
            <w:pPr>
              <w:spacing w:after="100"/>
            </w:pPr>
            <w:r>
              <w:rPr>
                <w:rFonts w:ascii="Calibri" w:cs="Calibri" w:eastAsia="Calibri" w:hAnsi="Calibri"/>
                <w:color w:val="FFFFFF"/>
                <w:sz w:val="17"/>
                <w:szCs w:val="17"/>
              </w:rPr>
              <w:t xml:space="preserve">DLP policy configuration, exfiltration detection, incident response</w:t>
            </w:r>
          </w:p>
          <w:p>
            <w:pPr>
              <w:spacing w:after="20" w:before="100"/>
            </w:pPr>
            <w:r>
              <w:rPr>
                <w:rFonts w:ascii="Calibri" w:cs="Calibri" w:eastAsia="Calibri" w:hAnsi="Calibri"/>
                <w:b/>
                <w:bCs/>
                <w:color w:val="D6E1F0"/>
                <w:sz w:val="18"/>
                <w:szCs w:val="18"/>
              </w:rPr>
              <w:t xml:space="preserve">Automation &amp; Integration</w:t>
            </w:r>
          </w:p>
          <w:p>
            <w:pPr>
              <w:spacing w:after="100"/>
            </w:pPr>
            <w:r>
              <w:rPr>
                <w:rFonts w:ascii="Calibri" w:cs="Calibri" w:eastAsia="Calibri" w:hAnsi="Calibri"/>
                <w:color w:val="FFFFFF"/>
                <w:sz w:val="17"/>
                <w:szCs w:val="17"/>
              </w:rPr>
              <w:t xml:space="preserve">Power Automate, REST API, PowerShell, Google Apps Script, Tampermonkey, AI-assisted automation</w:t>
            </w:r>
          </w:p>
          <w:p>
            <w:pPr>
              <w:spacing w:after="20" w:before="100"/>
            </w:pPr>
            <w:r>
              <w:rPr>
                <w:rFonts w:ascii="Calibri" w:cs="Calibri" w:eastAsia="Calibri" w:hAnsi="Calibri"/>
                <w:b/>
                <w:bCs/>
                <w:color w:val="D6E1F0"/>
                <w:sz w:val="18"/>
                <w:szCs w:val="18"/>
              </w:rPr>
              <w:t xml:space="preserve">Scripting &amp; Web</w:t>
            </w:r>
          </w:p>
          <w:p>
            <w:pPr>
              <w:spacing w:after="100"/>
            </w:pPr>
            <w:r>
              <w:rPr>
                <w:rFonts w:ascii="Calibri" w:cs="Calibri" w:eastAsia="Calibri" w:hAnsi="Calibri"/>
                <w:color w:val="FFFFFF"/>
                <w:sz w:val="17"/>
                <w:szCs w:val="17"/>
              </w:rPr>
              <w:t xml:space="preserve">JavaScript, TypeScript, HTML, CSS, SCSS, XML, JSON</w:t>
            </w:r>
          </w:p>
          <w:p>
            <w:pPr>
              <w:spacing w:after="20" w:before="100"/>
            </w:pPr>
            <w:r>
              <w:rPr>
                <w:rFonts w:ascii="Calibri" w:cs="Calibri" w:eastAsia="Calibri" w:hAnsi="Calibri"/>
                <w:b/>
                <w:bCs/>
                <w:color w:val="D6E1F0"/>
                <w:sz w:val="18"/>
                <w:szCs w:val="18"/>
              </w:rPr>
              <w:t xml:space="preserve">Incident Response</w:t>
            </w:r>
          </w:p>
          <w:p>
            <w:pPr>
              <w:spacing w:after="100"/>
            </w:pPr>
            <w:r>
              <w:rPr>
                <w:rFonts w:ascii="Calibri" w:cs="Calibri" w:eastAsia="Calibri" w:hAnsi="Calibri"/>
                <w:color w:val="FFFFFF"/>
                <w:sz w:val="17"/>
                <w:szCs w:val="17"/>
              </w:rPr>
              <w:t xml:space="preserve">Alert triage, root cause analysis, playbook development, Jira</w:t>
            </w:r>
          </w:p>
          <w:p>
            <w:pPr>
              <w:spacing w:after="20" w:before="100"/>
            </w:pPr>
            <w:r>
              <w:rPr>
                <w:rFonts w:ascii="Calibri" w:cs="Calibri" w:eastAsia="Calibri" w:hAnsi="Calibri"/>
                <w:b/>
                <w:bCs/>
                <w:color w:val="D6E1F0"/>
                <w:sz w:val="18"/>
                <w:szCs w:val="18"/>
              </w:rPr>
              <w:t xml:space="preserve">Networking</w:t>
            </w:r>
          </w:p>
          <w:p>
            <w:pPr>
              <w:spacing w:after="100"/>
            </w:pPr>
            <w:r>
              <w:rPr>
                <w:rFonts w:ascii="Calibri" w:cs="Calibri" w:eastAsia="Calibri" w:hAnsi="Calibri"/>
                <w:color w:val="FFFFFF"/>
                <w:sz w:val="17"/>
                <w:szCs w:val="17"/>
              </w:rPr>
              <w:t xml:space="preserve">TCP/IP, network security fundamentals</w:t>
            </w:r>
          </w:p>
          <w:p>
            <w:pPr>
              <w:pBdr>
                <w:bottom w:val="single" w:color="6FA8DC" w:sz="4" w:space="3"/>
              </w:pBdr>
              <w:spacing w:after="100" w:before="260"/>
            </w:pPr>
            <w:r>
              <w:rPr>
                <w:rFonts w:ascii="Calibri" w:cs="Calibri" w:eastAsia="Calibri" w:hAnsi="Calibri"/>
                <w:b/>
                <w:bCs/>
                <w:color w:val="6FA8DC"/>
                <w:spacing w:val="12"/>
                <w:sz w:val="19"/>
                <w:szCs w:val="19"/>
              </w:rPr>
              <w:t xml:space="preserve">LANGUAGES</w:t>
            </w:r>
          </w:p>
          <w:p>
            <w:pPr>
              <w:spacing w:after="60"/>
            </w:pPr>
            <w:r>
              <w:rPr>
                <w:rFonts w:ascii="Calibri" w:cs="Calibri" w:eastAsia="Calibri" w:hAnsi="Calibri"/>
                <w:b w:val="false"/>
                <w:bCs w:val="false"/>
                <w:color w:val="FFFFFF"/>
                <w:sz w:val="18"/>
                <w:szCs w:val="18"/>
              </w:rPr>
              <w:t xml:space="preserve">Armenian — Native</w:t>
            </w:r>
          </w:p>
          <w:p>
            <w:pPr>
              <w:spacing w:after="60"/>
            </w:pPr>
            <w:r>
              <w:rPr>
                <w:rFonts w:ascii="Calibri" w:cs="Calibri" w:eastAsia="Calibri" w:hAnsi="Calibri"/>
                <w:b w:val="false"/>
                <w:bCs w:val="false"/>
                <w:color w:val="FFFFFF"/>
                <w:sz w:val="18"/>
                <w:szCs w:val="18"/>
              </w:rPr>
              <w:t xml:space="preserve">English — Pre-Intermediate</w:t>
            </w:r>
          </w:p>
          <w:p>
            <w:pPr>
              <w:spacing w:after="60"/>
            </w:pPr>
            <w:r>
              <w:rPr>
                <w:rFonts w:ascii="Calibri" w:cs="Calibri" w:eastAsia="Calibri" w:hAnsi="Calibri"/>
                <w:b w:val="false"/>
                <w:bCs w:val="false"/>
                <w:color w:val="FFFFFF"/>
                <w:sz w:val="18"/>
                <w:szCs w:val="18"/>
              </w:rPr>
              <w:t xml:space="preserve">Russian — Basic</w:t>
            </w:r>
          </w:p>
        </w:tc>
        <w:tc>
          <w:tcPr>
            <w:tcW w:type="dxa" w:w="8940"/>
            <w:tcBorders>
              <w:top w:val="none" w:color="FFFFFF" w:sz="0"/>
              <w:left w:val="none" w:color="FFFFFF" w:sz="0"/>
              <w:bottom w:val="none" w:color="FFFFFF" w:sz="0"/>
              <w:right w:val="none" w:color="FFFFFF" w:sz="0"/>
            </w:tcBorders>
            <w:tcMar>
              <w:top w:type="dxa" w:w="560"/>
              <w:left w:type="dxa" w:w="420"/>
              <w:bottom w:type="dxa" w:w="560"/>
              <w:right w:type="dxa" w:w="380"/>
            </w:tcMar>
            <w:vAlign w:val="top"/>
          </w:tcPr>
          <w:p>
            <w:pPr>
              <w:pBdr>
                <w:bottom w:val="single" w:color="1F3864" w:sz="6" w:space="4"/>
              </w:pBdr>
              <w:spacing w:after="120" w:before="300"/>
            </w:pPr>
            <w:r>
              <w:rPr>
                <w:rFonts w:ascii="Calibri" w:cs="Calibri" w:eastAsia="Calibri" w:hAnsi="Calibri"/>
                <w:b/>
                <w:bCs/>
                <w:color w:val="1F3864"/>
                <w:spacing w:val="10"/>
                <w:sz w:val="22"/>
                <w:szCs w:val="22"/>
              </w:rPr>
              <w:t xml:space="preserve">PROFESSIONAL SUMMARY</w:t>
            </w:r>
          </w:p>
          <w:p>
            <w:pPr>
              <w:spacing w:after="100"/>
            </w:pPr>
            <w:r>
              <w:rPr>
                <w:rFonts w:ascii="Calibri" w:cs="Calibri" w:eastAsia="Calibri" w:hAnsi="Calibri"/>
                <w:color w:val="1A1A1A"/>
                <w:sz w:val="21"/>
                <w:szCs w:val="21"/>
              </w:rPr>
              <w:t xml:space="preserve">Information security professional with 1.5+ years of hands-on experience in threat detection, security incident analysis, and SOC operations at Digitain. Specializes in building detection logic for phishing, lateral movement, data exfiltration, and endpoint threats using Trellix XDR and the MITRE ATT&amp;CK framework, with hands-on experience in DLP systems, REST API integrations, and security automation via Microsoft Power Automate.</w:t>
            </w:r>
          </w:p>
          <w:p>
            <w:pPr>
              <w:pBdr>
                <w:bottom w:val="single" w:color="1F3864" w:sz="6" w:space="4"/>
              </w:pBdr>
              <w:spacing w:after="120" w:before="300"/>
            </w:pPr>
            <w:r>
              <w:rPr>
                <w:rFonts w:ascii="Calibri" w:cs="Calibri" w:eastAsia="Calibri" w:hAnsi="Calibri"/>
                <w:b/>
                <w:bCs/>
                <w:color w:val="1F3864"/>
                <w:spacing w:val="10"/>
                <w:sz w:val="22"/>
                <w:szCs w:val="22"/>
              </w:rPr>
              <w:t xml:space="preserve">EXPERIENCE</w:t>
            </w:r>
          </w:p>
          <w:p>
            <w:pPr>
              <w:tabs>
                <w:tab w:val="right" w:pos="7920"/>
              </w:tabs>
              <w:spacing w:after="20" w:before="220"/>
            </w:pPr>
            <w:r>
              <w:rPr>
                <w:rFonts w:ascii="Calibri" w:cs="Calibri" w:eastAsia="Calibri" w:hAnsi="Calibri"/>
                <w:b/>
                <w:bCs/>
                <w:color w:val="000000"/>
                <w:sz w:val="24"/>
                <w:szCs w:val="24"/>
              </w:rPr>
              <w:t xml:space="preserve">Digitain</w:t>
            </w:r>
            <w:r>
              <w:rPr>
                <w:rFonts w:ascii="Calibri" w:cs="Calibri" w:eastAsia="Calibri" w:hAnsi="Calibri"/>
                <w:i/>
                <w:iCs/>
                <w:color w:val="595959"/>
                <w:sz w:val="20"/>
                <w:szCs w:val="20"/>
              </w:rPr>
              <w:t xml:space="preserve">	2025 – Present</w:t>
            </w:r>
          </w:p>
          <w:p>
            <w:pPr>
              <w:tabs>
                <w:tab w:val="right" w:pos="7920"/>
              </w:tabs>
              <w:spacing w:after="20" w:before="140"/>
              <w:ind w:left="200"/>
            </w:pPr>
            <w:r>
              <w:rPr>
                <w:rFonts w:ascii="Calibri" w:cs="Calibri" w:eastAsia="Calibri" w:hAnsi="Calibri"/>
                <w:b/>
                <w:bCs/>
                <w:color w:val="1F3864"/>
                <w:sz w:val="21"/>
                <w:szCs w:val="21"/>
              </w:rPr>
              <w:t xml:space="preserve">Detection Engineer</w:t>
            </w:r>
            <w:r>
              <w:rPr>
                <w:rFonts w:ascii="Calibri" w:cs="Calibri" w:eastAsia="Calibri" w:hAnsi="Calibri"/>
                <w:color w:val="595959"/>
                <w:sz w:val="19"/>
                <w:szCs w:val="19"/>
              </w:rPr>
              <w:t xml:space="preserve">	2026 – Present</w:t>
            </w:r>
          </w:p>
          <w:p>
            <w:pPr>
              <w:pStyle w:val="ListParagraph"/>
              <w:numPr>
                <w:ilvl w:val="0"/>
                <w:numId w:val="2"/>
              </w:numPr>
              <w:spacing w:after="55"/>
              <w:ind w:left="620" w:hanging="220"/>
            </w:pPr>
            <w:r>
              <w:rPr>
                <w:rFonts w:ascii="Calibri" w:cs="Calibri" w:eastAsia="Calibri" w:hAnsi="Calibri"/>
                <w:color w:val="1A1A1A"/>
                <w:sz w:val="20"/>
                <w:szCs w:val="20"/>
              </w:rPr>
              <w:t xml:space="preserve">Design, implement, and continuously tune detection rules mapped to MITRE ATT&amp;CK, covering phishing, lateral movement, privilege escalation, data exfiltration, malware, and endpoint threats.</w:t>
            </w:r>
          </w:p>
          <w:p>
            <w:pPr>
              <w:pStyle w:val="ListParagraph"/>
              <w:numPr>
                <w:ilvl w:val="0"/>
                <w:numId w:val="2"/>
              </w:numPr>
              <w:spacing w:after="55"/>
              <w:ind w:left="620" w:hanging="220"/>
            </w:pPr>
            <w:r>
              <w:rPr>
                <w:rFonts w:ascii="Calibri" w:cs="Calibri" w:eastAsia="Calibri" w:hAnsi="Calibri"/>
                <w:color w:val="1A1A1A"/>
                <w:sz w:val="20"/>
                <w:szCs w:val="20"/>
              </w:rPr>
              <w:t xml:space="preserve">Own the full detection engineering lifecycle — requirement gathering, use case development, testing, deployment, and operational support — backed by clear playbooks and technical documentation.</w:t>
            </w:r>
          </w:p>
          <w:p>
            <w:pPr>
              <w:pStyle w:val="ListParagraph"/>
              <w:numPr>
                <w:ilvl w:val="0"/>
                <w:numId w:val="2"/>
              </w:numPr>
              <w:spacing w:after="55"/>
              <w:ind w:left="620" w:hanging="220"/>
            </w:pPr>
            <w:r>
              <w:rPr>
                <w:rFonts w:ascii="Calibri" w:cs="Calibri" w:eastAsia="Calibri" w:hAnsi="Calibri"/>
                <w:color w:val="1A1A1A"/>
                <w:sz w:val="20"/>
                <w:szCs w:val="20"/>
              </w:rPr>
              <w:t xml:space="preserve">Build automation workflows in Microsoft Power Automate and integrate security tools with business systems via REST APIs to automate alert enrichment, incident handling, and reporting.</w:t>
            </w:r>
          </w:p>
          <w:p>
            <w:pPr>
              <w:pStyle w:val="ListParagraph"/>
              <w:numPr>
                <w:ilvl w:val="0"/>
                <w:numId w:val="2"/>
              </w:numPr>
              <w:spacing w:after="55"/>
              <w:ind w:left="620" w:hanging="220"/>
            </w:pPr>
            <w:r>
              <w:rPr>
                <w:rFonts w:ascii="Calibri" w:cs="Calibri" w:eastAsia="Calibri" w:hAnsi="Calibri"/>
                <w:color w:val="1A1A1A"/>
                <w:sz w:val="20"/>
                <w:szCs w:val="20"/>
              </w:rPr>
              <w:t xml:space="preserve">Operate Trellix (McAfee) XDR and EPO platforms for endpoint monitoring, threat hunting, and investigation.</w:t>
            </w:r>
          </w:p>
          <w:p>
            <w:pPr>
              <w:pStyle w:val="ListParagraph"/>
              <w:numPr>
                <w:ilvl w:val="0"/>
                <w:numId w:val="2"/>
              </w:numPr>
              <w:spacing w:after="55"/>
              <w:ind w:left="620" w:hanging="220"/>
            </w:pPr>
            <w:r>
              <w:rPr>
                <w:rFonts w:ascii="Calibri" w:cs="Calibri" w:eastAsia="Calibri" w:hAnsi="Calibri"/>
                <w:color w:val="1A1A1A"/>
                <w:sz w:val="20"/>
                <w:szCs w:val="20"/>
              </w:rPr>
              <w:t xml:space="preserve">Configure and administer DLP policies to identify and prevent sensitive data leakage.</w:t>
            </w:r>
          </w:p>
          <w:p>
            <w:pPr>
              <w:pStyle w:val="ListParagraph"/>
              <w:numPr>
                <w:ilvl w:val="0"/>
                <w:numId w:val="2"/>
              </w:numPr>
              <w:spacing w:after="55"/>
              <w:ind w:left="620" w:hanging="220"/>
            </w:pPr>
            <w:r>
              <w:rPr>
                <w:rFonts w:ascii="Calibri" w:cs="Calibri" w:eastAsia="Calibri" w:hAnsi="Calibri"/>
                <w:color w:val="1A1A1A"/>
                <w:sz w:val="20"/>
                <w:szCs w:val="20"/>
              </w:rPr>
              <w:t xml:space="preserve">Manage detection tasks, incidents, and the detection development lifecycle in Jira, including backlog planning and progress tracking.</w:t>
            </w:r>
          </w:p>
          <w:p>
            <w:pPr>
              <w:tabs>
                <w:tab w:val="right" w:pos="7920"/>
              </w:tabs>
              <w:spacing w:after="20" w:before="140"/>
              <w:ind w:left="200"/>
            </w:pPr>
            <w:r>
              <w:rPr>
                <w:rFonts w:ascii="Calibri" w:cs="Calibri" w:eastAsia="Calibri" w:hAnsi="Calibri"/>
                <w:b/>
                <w:bCs/>
                <w:color w:val="1F3864"/>
                <w:sz w:val="21"/>
                <w:szCs w:val="21"/>
              </w:rPr>
              <w:t xml:space="preserve">Security Incident Analyst</w:t>
            </w:r>
            <w:r>
              <w:rPr>
                <w:rFonts w:ascii="Calibri" w:cs="Calibri" w:eastAsia="Calibri" w:hAnsi="Calibri"/>
                <w:color w:val="595959"/>
                <w:sz w:val="19"/>
                <w:szCs w:val="19"/>
              </w:rPr>
              <w:t xml:space="preserve">	2025 – 2026</w:t>
            </w:r>
          </w:p>
          <w:p>
            <w:pPr>
              <w:pStyle w:val="ListParagraph"/>
              <w:numPr>
                <w:ilvl w:val="0"/>
                <w:numId w:val="2"/>
              </w:numPr>
              <w:spacing w:after="55"/>
              <w:ind w:left="620" w:hanging="220"/>
            </w:pPr>
            <w:r>
              <w:rPr>
                <w:rFonts w:ascii="Calibri" w:cs="Calibri" w:eastAsia="Calibri" w:hAnsi="Calibri"/>
                <w:color w:val="1A1A1A"/>
                <w:sz w:val="20"/>
                <w:szCs w:val="20"/>
              </w:rPr>
              <w:t xml:space="preserve">Triaged and investigated security alerts, determining scope, severity, and impact of incidents.</w:t>
            </w:r>
          </w:p>
          <w:p>
            <w:pPr>
              <w:pStyle w:val="ListParagraph"/>
              <w:numPr>
                <w:ilvl w:val="0"/>
                <w:numId w:val="2"/>
              </w:numPr>
              <w:spacing w:after="55"/>
              <w:ind w:left="620" w:hanging="220"/>
            </w:pPr>
            <w:r>
              <w:rPr>
                <w:rFonts w:ascii="Calibri" w:cs="Calibri" w:eastAsia="Calibri" w:hAnsi="Calibri"/>
                <w:color w:val="1A1A1A"/>
                <w:sz w:val="20"/>
                <w:szCs w:val="20"/>
              </w:rPr>
              <w:t xml:space="preserve">Performed log analysis, timeline reconstruction, and root cause analysis across multiple security event sources.</w:t>
            </w:r>
          </w:p>
          <w:p>
            <w:pPr>
              <w:pStyle w:val="ListParagraph"/>
              <w:numPr>
                <w:ilvl w:val="0"/>
                <w:numId w:val="2"/>
              </w:numPr>
              <w:spacing w:after="55"/>
              <w:ind w:left="620" w:hanging="220"/>
            </w:pPr>
            <w:r>
              <w:rPr>
                <w:rFonts w:ascii="Calibri" w:cs="Calibri" w:eastAsia="Calibri" w:hAnsi="Calibri"/>
                <w:color w:val="1A1A1A"/>
                <w:sz w:val="20"/>
                <w:szCs w:val="20"/>
              </w:rPr>
              <w:t xml:space="preserve">Collaborated with the detection team to translate investigation findings into improved detection rules.</w:t>
            </w:r>
          </w:p>
          <w:p>
            <w:pPr>
              <w:pStyle w:val="ListParagraph"/>
              <w:numPr>
                <w:ilvl w:val="0"/>
                <w:numId w:val="2"/>
              </w:numPr>
              <w:spacing w:after="55"/>
              <w:ind w:left="620" w:hanging="220"/>
            </w:pPr>
            <w:r>
              <w:rPr>
                <w:rFonts w:ascii="Calibri" w:cs="Calibri" w:eastAsia="Calibri" w:hAnsi="Calibri"/>
                <w:color w:val="1A1A1A"/>
                <w:sz w:val="20"/>
                <w:szCs w:val="20"/>
              </w:rPr>
              <w:t xml:space="preserve">Documented incident reports and contributed to building response playbooks.</w:t>
            </w:r>
          </w:p>
          <w:p>
            <w:pPr>
              <w:tabs>
                <w:tab w:val="right" w:pos="7920"/>
              </w:tabs>
              <w:spacing w:after="20" w:before="140"/>
              <w:ind w:left="200"/>
            </w:pPr>
            <w:r>
              <w:rPr>
                <w:rFonts w:ascii="Calibri" w:cs="Calibri" w:eastAsia="Calibri" w:hAnsi="Calibri"/>
                <w:b/>
                <w:bCs/>
                <w:color w:val="1F3864"/>
                <w:sz w:val="21"/>
                <w:szCs w:val="21"/>
              </w:rPr>
              <w:t xml:space="preserve">Security Operations Intern</w:t>
            </w:r>
            <w:r>
              <w:rPr>
                <w:rFonts w:ascii="Calibri" w:cs="Calibri" w:eastAsia="Calibri" w:hAnsi="Calibri"/>
                <w:color w:val="595959"/>
                <w:sz w:val="19"/>
                <w:szCs w:val="19"/>
              </w:rPr>
              <w:t xml:space="preserve">	2025</w:t>
            </w:r>
          </w:p>
          <w:p>
            <w:pPr>
              <w:pStyle w:val="ListParagraph"/>
              <w:numPr>
                <w:ilvl w:val="0"/>
                <w:numId w:val="2"/>
              </w:numPr>
              <w:spacing w:after="55"/>
              <w:ind w:left="620" w:hanging="220"/>
            </w:pPr>
            <w:r>
              <w:rPr>
                <w:rFonts w:ascii="Calibri" w:cs="Calibri" w:eastAsia="Calibri" w:hAnsi="Calibri"/>
                <w:color w:val="1A1A1A"/>
                <w:sz w:val="20"/>
                <w:szCs w:val="20"/>
              </w:rPr>
              <w:t xml:space="preserve">Supported SOC analysts in alert monitoring and initial triage during incident response activities.</w:t>
            </w:r>
          </w:p>
          <w:p>
            <w:pPr>
              <w:pStyle w:val="ListParagraph"/>
              <w:numPr>
                <w:ilvl w:val="0"/>
                <w:numId w:val="2"/>
              </w:numPr>
              <w:spacing w:after="55"/>
              <w:ind w:left="620" w:hanging="220"/>
            </w:pPr>
            <w:r>
              <w:rPr>
                <w:rFonts w:ascii="Calibri" w:cs="Calibri" w:eastAsia="Calibri" w:hAnsi="Calibri"/>
                <w:color w:val="1A1A1A"/>
                <w:sz w:val="20"/>
                <w:szCs w:val="20"/>
              </w:rPr>
              <w:t xml:space="preserve">Developed foundational skills in security tooling, log analysis, and ticketing workflows.</w:t>
            </w:r>
          </w:p>
          <w:p>
            <w:pPr>
              <w:tabs>
                <w:tab w:val="right" w:pos="7920"/>
              </w:tabs>
              <w:spacing w:after="20" w:before="220"/>
            </w:pPr>
            <w:r>
              <w:rPr>
                <w:rFonts w:ascii="Calibri" w:cs="Calibri" w:eastAsia="Calibri" w:hAnsi="Calibri"/>
                <w:b/>
                <w:bCs/>
                <w:color w:val="000000"/>
                <w:sz w:val="22"/>
                <w:szCs w:val="22"/>
              </w:rPr>
              <w:t xml:space="preserve">Fiber Optic Network Integration Specialist</w:t>
            </w:r>
            <w:r>
              <w:rPr>
                <w:rFonts w:ascii="Calibri" w:cs="Calibri" w:eastAsia="Calibri" w:hAnsi="Calibri"/>
                <w:i/>
                <w:iCs/>
                <w:color w:val="595959"/>
                <w:sz w:val="22"/>
                <w:szCs w:val="22"/>
              </w:rPr>
              <w:t xml:space="preserve">  —  ALLNET LLC</w:t>
            </w:r>
            <w:r>
              <w:rPr>
                <w:rFonts w:ascii="Calibri" w:cs="Calibri" w:eastAsia="Calibri" w:hAnsi="Calibri"/>
                <w:color w:val="595959"/>
                <w:sz w:val="20"/>
                <w:szCs w:val="20"/>
              </w:rPr>
              <w:t xml:space="preserve">	2019 – 2020</w:t>
            </w:r>
          </w:p>
          <w:p>
            <w:pPr>
              <w:pStyle w:val="ListParagraph"/>
              <w:numPr>
                <w:ilvl w:val="0"/>
                <w:numId w:val="2"/>
              </w:numPr>
              <w:spacing w:after="55"/>
              <w:ind w:left="620" w:hanging="220"/>
            </w:pPr>
            <w:r>
              <w:rPr>
                <w:rFonts w:ascii="Calibri" w:cs="Calibri" w:eastAsia="Calibri" w:hAnsi="Calibri"/>
                <w:color w:val="1A1A1A"/>
                <w:sz w:val="20"/>
                <w:szCs w:val="20"/>
              </w:rPr>
              <w:t xml:space="preserve">Participated in the design, installation, and optimization of fiber optic communication systems.</w:t>
            </w:r>
          </w:p>
          <w:p>
            <w:pPr>
              <w:pStyle w:val="ListParagraph"/>
              <w:numPr>
                <w:ilvl w:val="0"/>
                <w:numId w:val="2"/>
              </w:numPr>
              <w:spacing w:after="55"/>
              <w:ind w:left="620" w:hanging="220"/>
            </w:pPr>
            <w:r>
              <w:rPr>
                <w:rFonts w:ascii="Calibri" w:cs="Calibri" w:eastAsia="Calibri" w:hAnsi="Calibri"/>
                <w:color w:val="1A1A1A"/>
                <w:sz w:val="20"/>
                <w:szCs w:val="20"/>
              </w:rPr>
              <w:t xml:space="preserve">Ensured seamless integration of new fiber infrastructure with existing network environments.</w:t>
            </w:r>
          </w:p>
          <w:p>
            <w:pPr>
              <w:tabs>
                <w:tab w:val="right" w:pos="7920"/>
              </w:tabs>
              <w:spacing w:after="20" w:before="220"/>
            </w:pPr>
            <w:r>
              <w:rPr>
                <w:rFonts w:ascii="Calibri" w:cs="Calibri" w:eastAsia="Calibri" w:hAnsi="Calibri"/>
                <w:b/>
                <w:bCs/>
                <w:color w:val="000000"/>
                <w:sz w:val="22"/>
                <w:szCs w:val="22"/>
              </w:rPr>
              <w:t xml:space="preserve">Founder &amp; Educational Manager</w:t>
            </w:r>
            <w:r>
              <w:rPr>
                <w:rFonts w:ascii="Calibri" w:cs="Calibri" w:eastAsia="Calibri" w:hAnsi="Calibri"/>
                <w:i/>
                <w:iCs/>
                <w:color w:val="595959"/>
                <w:sz w:val="22"/>
                <w:szCs w:val="22"/>
              </w:rPr>
              <w:t xml:space="preserve">  —  Phoenix IT School</w:t>
            </w:r>
            <w:r>
              <w:rPr>
                <w:rFonts w:ascii="Calibri" w:cs="Calibri" w:eastAsia="Calibri" w:hAnsi="Calibri"/>
                <w:color w:val="595959"/>
                <w:sz w:val="20"/>
                <w:szCs w:val="20"/>
              </w:rPr>
              <w:t xml:space="preserve">	2020 – 2024</w:t>
            </w:r>
          </w:p>
          <w:p>
            <w:pPr>
              <w:pStyle w:val="ListParagraph"/>
              <w:numPr>
                <w:ilvl w:val="0"/>
                <w:numId w:val="2"/>
              </w:numPr>
              <w:spacing w:after="55"/>
              <w:ind w:left="620" w:hanging="220"/>
            </w:pPr>
            <w:r>
              <w:rPr>
                <w:rFonts w:ascii="Calibri" w:cs="Calibri" w:eastAsia="Calibri" w:hAnsi="Calibri"/>
                <w:color w:val="1A1A1A"/>
                <w:sz w:val="20"/>
                <w:szCs w:val="20"/>
              </w:rPr>
              <w:t xml:space="preserve">Founded and managed an IT training school with up to 50 students and a team of 2–3 instructors.</w:t>
            </w:r>
          </w:p>
          <w:p>
            <w:pPr>
              <w:pStyle w:val="ListParagraph"/>
              <w:numPr>
                <w:ilvl w:val="0"/>
                <w:numId w:val="2"/>
              </w:numPr>
              <w:spacing w:after="55"/>
              <w:ind w:left="620" w:hanging="220"/>
            </w:pPr>
            <w:r>
              <w:rPr>
                <w:rFonts w:ascii="Calibri" w:cs="Calibri" w:eastAsia="Calibri" w:hAnsi="Calibri"/>
                <w:color w:val="1A1A1A"/>
                <w:sz w:val="20"/>
                <w:szCs w:val="20"/>
              </w:rPr>
              <w:t xml:space="preserve">Led curriculum development, strategic planning, and operational management for the full educational process.</w:t>
            </w:r>
          </w:p>
          <w:p>
            <w:pPr>
              <w:pBdr>
                <w:bottom w:val="single" w:color="1F3864" w:sz="6" w:space="4"/>
              </w:pBdr>
              <w:spacing w:after="120" w:before="300"/>
            </w:pPr>
            <w:r>
              <w:rPr>
                <w:rFonts w:ascii="Calibri" w:cs="Calibri" w:eastAsia="Calibri" w:hAnsi="Calibri"/>
                <w:b/>
                <w:bCs/>
                <w:color w:val="1F3864"/>
                <w:spacing w:val="10"/>
                <w:sz w:val="22"/>
                <w:szCs w:val="22"/>
              </w:rPr>
              <w:t xml:space="preserve">CERTIFICATIONS &amp; COURSES</w:t>
            </w:r>
          </w:p>
          <w:p>
            <w:pPr>
              <w:pStyle w:val="ListParagraph"/>
              <w:numPr>
                <w:ilvl w:val="0"/>
                <w:numId w:val="2"/>
              </w:numPr>
              <w:spacing w:after="55"/>
              <w:ind w:left="420" w:hanging="220"/>
            </w:pPr>
            <w:r>
              <w:rPr>
                <w:rFonts w:ascii="Calibri" w:cs="Calibri" w:eastAsia="Calibri" w:hAnsi="Calibri"/>
                <w:color w:val="1A1A1A"/>
                <w:sz w:val="20"/>
                <w:szCs w:val="20"/>
              </w:rPr>
              <w:t xml:space="preserve">Trellix (McAfee) EPO — endpoint security platform administration and management</w:t>
            </w:r>
          </w:p>
          <w:p>
            <w:pPr>
              <w:pStyle w:val="ListParagraph"/>
              <w:numPr>
                <w:ilvl w:val="0"/>
                <w:numId w:val="2"/>
              </w:numPr>
              <w:spacing w:after="55"/>
              <w:ind w:left="420" w:hanging="220"/>
            </w:pPr>
            <w:r>
              <w:rPr>
                <w:rFonts w:ascii="Calibri" w:cs="Calibri" w:eastAsia="Calibri" w:hAnsi="Calibri"/>
                <w:color w:val="1A1A1A"/>
                <w:sz w:val="20"/>
                <w:szCs w:val="20"/>
              </w:rPr>
              <w:t xml:space="preserve">DLP (Data Loss Prevention) — policy configuration and incident management</w:t>
            </w:r>
          </w:p>
          <w:p>
            <w:pPr>
              <w:pStyle w:val="ListParagraph"/>
              <w:numPr>
                <w:ilvl w:val="0"/>
                <w:numId w:val="2"/>
              </w:numPr>
              <w:spacing w:after="55"/>
              <w:ind w:left="420" w:hanging="220"/>
            </w:pPr>
            <w:r>
              <w:rPr>
                <w:rFonts w:ascii="Calibri" w:cs="Calibri" w:eastAsia="Calibri" w:hAnsi="Calibri"/>
                <w:color w:val="1A1A1A"/>
                <w:sz w:val="20"/>
                <w:szCs w:val="20"/>
              </w:rPr>
              <w:t xml:space="preserve">OWASP API Security Top 10 — owasp.org (in progress)</w:t>
            </w:r>
          </w:p>
          <w:p>
            <w:pPr>
              <w:pStyle w:val="ListParagraph"/>
              <w:numPr>
                <w:ilvl w:val="0"/>
                <w:numId w:val="2"/>
              </w:numPr>
              <w:spacing w:after="55"/>
              <w:ind w:left="420" w:hanging="220"/>
            </w:pPr>
            <w:r>
              <w:rPr>
                <w:rFonts w:ascii="Calibri" w:cs="Calibri" w:eastAsia="Calibri" w:hAnsi="Calibri"/>
                <w:color w:val="1A1A1A"/>
                <w:sz w:val="20"/>
                <w:szCs w:val="20"/>
              </w:rPr>
              <w:t xml:space="preserve">Product Manager — GeekBrains.am, 2023</w:t>
            </w:r>
          </w:p>
          <w:p>
            <w:pPr>
              <w:pStyle w:val="ListParagraph"/>
              <w:numPr>
                <w:ilvl w:val="0"/>
                <w:numId w:val="2"/>
              </w:numPr>
              <w:spacing w:after="55"/>
              <w:ind w:left="420" w:hanging="220"/>
            </w:pPr>
            <w:r>
              <w:rPr>
                <w:rFonts w:ascii="Calibri" w:cs="Calibri" w:eastAsia="Calibri" w:hAnsi="Calibri"/>
                <w:color w:val="1A1A1A"/>
                <w:sz w:val="20"/>
                <w:szCs w:val="20"/>
              </w:rPr>
              <w:t xml:space="preserve">Web Programming — metanit.com, 2020</w:t>
            </w:r>
          </w:p>
        </w:tc>
      </w:tr>
    </w:tbl>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2026-07-03T06:04:41.812Z</dcterms:created>
  <dcterms:modified xsi:type="dcterms:W3CDTF">2026-07-03T06:04:41.812Z</dcterms:modified>
</cp:coreProperties>
</file>

<file path=docProps/custom.xml><?xml version="1.0" encoding="utf-8"?>
<Properties xmlns="http://schemas.openxmlformats.org/officeDocument/2006/custom-properties" xmlns:vt="http://schemas.openxmlformats.org/officeDocument/2006/docPropsVTypes"/>
</file>