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Касими</w:t>
      </w:r>
      <w:r>
        <w:t xml:space="preserve"> </w:t>
      </w:r>
      <w:r>
        <w:t xml:space="preserve">Абдул</w:t>
      </w:r>
      <w:r>
        <w:t xml:space="preserve"> </w:t>
      </w:r>
      <w:r>
        <w:t xml:space="preserve">Гафур</w:t>
      </w:r>
      <w:r>
        <w:t xml:space="preserve"> </w:t>
      </w:r>
      <w:r>
        <w:t xml:space="preserve">НБИ-01-24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NASM (англ. Netwide Assembler) – это 80x86 ассемблер, который был разработан с упором на переносимость и модульность. Он поддерживает множество форматов объектных файлов, таких как форматы</w:t>
      </w:r>
      <w:r>
        <w:t xml:space="preserve"> </w:t>
      </w:r>
      <w:r>
        <w:rPr>
          <w:rStyle w:val="VerbatimChar"/>
        </w:rPr>
        <w:t xml:space="preserve">Linux a.out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ELF</w:t>
      </w:r>
      <w:r>
        <w:t xml:space="preserve">,</w:t>
      </w:r>
      <w:r>
        <w:t xml:space="preserve"> </w:t>
      </w:r>
      <w:r>
        <w:rPr>
          <w:rStyle w:val="VerbatimChar"/>
        </w:rPr>
        <w:t xml:space="preserve">NetBSD/FreeBSD</w:t>
      </w:r>
      <w:r>
        <w:t xml:space="preserve">,</w:t>
      </w:r>
      <w:r>
        <w:t xml:space="preserve"> </w:t>
      </w:r>
      <w:r>
        <w:rPr>
          <w:rStyle w:val="VerbatimChar"/>
        </w:rPr>
        <w:t xml:space="preserve">COFF</w:t>
      </w:r>
      <w:r>
        <w:t xml:space="preserve">, Microsoft 16-bit OBJ и Win32. Помимо этого, NASM также может генерировать простые бинарные файлы. Синтаксис NASM схож с Intel-синтаксисом, хотя немного сложнее. Он поддерживает инструкции для процессоров Pentium, P6 и MMX, а также включает макро-расширения.</w:t>
      </w:r>
    </w:p>
    <w:p>
      <w:pPr>
        <w:pStyle w:val="BodyText"/>
      </w:pPr>
      <w:r>
        <w:t xml:space="preserve">NASM был создан Саймоном Тэтхемом совместно с Юлианом Холлом и в настоящее время развивается командой разработчиков на SourceForge.net. Изначально он был выпущен под собственной лицензией, но после множества проблем с выбором лицензии она была заменена на GNU LGPL. Начиная с версии 2.07, лицензия заменена на</w:t>
      </w:r>
      <w:r>
        <w:t xml:space="preserve"> </w:t>
      </w:r>
      <w:r>
        <w:t xml:space="preserve">“</w:t>
      </w:r>
      <w:r>
        <w:t xml:space="preserve">упрощённую BSD</w:t>
      </w:r>
      <w:r>
        <w:t xml:space="preserve">”</w:t>
      </w:r>
      <w:r>
        <w:t xml:space="preserve"> </w:t>
      </w:r>
      <w:r>
        <w:t xml:space="preserve">(BSD из 2 пунктов).</w:t>
      </w:r>
    </w:p>
    <w:p>
      <w:pPr>
        <w:pStyle w:val="BodyText"/>
      </w:pPr>
      <w:r>
        <w:t xml:space="preserve">NASM может работать на различных платформах, таких как SPARC и PowerPC, однако код генерируется исключительно для x86 и x86-64 архитектур.</w:t>
      </w:r>
    </w:p>
    <w:p>
      <w:pPr>
        <w:pStyle w:val="BodyText"/>
      </w:pPr>
      <w:r>
        <w:t xml:space="preserve">NASM является конкурентом стандартному для Linux и многих UNIX-систем ассемблеру</w:t>
      </w:r>
      <w:r>
        <w:t xml:space="preserve"> </w:t>
      </w:r>
      <w:r>
        <w:rPr>
          <w:rStyle w:val="VerbatimChar"/>
        </w:rPr>
        <w:t xml:space="preserve">gas</w:t>
      </w:r>
      <w:r>
        <w:t xml:space="preserve">. Примечательно, что документация NASM считается более качественной, чем у</w:t>
      </w:r>
      <w:r>
        <w:t xml:space="preserve"> </w:t>
      </w:r>
      <w:r>
        <w:rPr>
          <w:rStyle w:val="VerbatimChar"/>
        </w:rPr>
        <w:t xml:space="preserve">gas</w:t>
      </w:r>
      <w:r>
        <w:t xml:space="preserve">. Кроме того,</w:t>
      </w:r>
      <w:r>
        <w:t xml:space="preserve"> </w:t>
      </w:r>
      <w:r>
        <w:rPr>
          <w:rStyle w:val="VerbatimChar"/>
        </w:rPr>
        <w:t xml:space="preserve">gas</w:t>
      </w:r>
      <w:r>
        <w:t xml:space="preserve"> </w:t>
      </w:r>
      <w:r>
        <w:t xml:space="preserve">использует синтаксис AT&amp;T, предназначенный для процессоров не от Intel, в то время как NASM придерживается Intel-синтаксиса, который традиционно используется в x86-ассемблерах, таких как MASM, TASM и fasm.</w:t>
      </w:r>
    </w:p>
    <w:p>
      <w:pPr>
        <w:pStyle w:val="BodyText"/>
      </w:pPr>
      <w:r>
        <w:t xml:space="preserve">NASM использует Intel-синтаксис записи инструкций. Строка программы NASM может включать следующие элементы: метку, инструкцию, операнды и комментарий.</w:t>
      </w:r>
    </w:p>
    <w:p>
      <w:pPr>
        <w:pStyle w:val="BodyText"/>
      </w:pPr>
      <w:r>
        <w:t xml:space="preserve">Операнды отделяются запятыми. Пробелы допустимы перед строкой и после инструкции. Комментарий начинается с точки с запятой, и его конец совпадает с концом строки. Если строка программы слишком длинная, её можно перенести на следующую с помощью обратного слэша (  ), аналогично языку C.</w:t>
      </w:r>
    </w:p>
    <w:bookmarkEnd w:id="21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8" w:name="программа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Создаю каталог</w:t>
      </w:r>
      <w:r>
        <w:t xml:space="preserve"> </w:t>
      </w:r>
      <w:r>
        <w:rPr>
          <w:rStyle w:val="VerbatimChar"/>
        </w:rPr>
        <w:t xml:space="preserve">lab04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mkdir</w:t>
      </w:r>
      <w:r>
        <w:t xml:space="preserve">, перехожу в него с помощью</w:t>
      </w:r>
      <w:r>
        <w:t xml:space="preserve"> </w:t>
      </w:r>
      <w:r>
        <w:rPr>
          <w:rStyle w:val="VerbatimChar"/>
        </w:rPr>
        <w:t xml:space="preserve">cd</w:t>
      </w:r>
      <w:r>
        <w:t xml:space="preserve">, и создаю файл</w:t>
      </w:r>
      <w:r>
        <w:t xml:space="preserve"> </w:t>
      </w:r>
      <w:r>
        <w:rPr>
          <w:rStyle w:val="VerbatimChar"/>
        </w:rPr>
        <w:t xml:space="preserve">hello.asm</w:t>
      </w:r>
      <w:r>
        <w:t xml:space="preserve">. (рис. 1)</w:t>
      </w:r>
    </w:p>
    <w:p>
      <w:pPr>
        <w:pStyle w:val="CaptionedFigure"/>
      </w:pPr>
      <w:r>
        <w:drawing>
          <wp:inline>
            <wp:extent cx="5334000" cy="762000"/>
            <wp:effectExtent b="0" l="0" r="0" t="0"/>
            <wp:docPr descr="Создание каталога и файла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Открываю файл и пишу код программы по заданию. (рис. 2)</w:t>
      </w:r>
    </w:p>
    <w:p>
      <w:pPr>
        <w:pStyle w:val="CaptionedFigure"/>
      </w:pPr>
      <w:r>
        <w:drawing>
          <wp:inline>
            <wp:extent cx="5334000" cy="3317999"/>
            <wp:effectExtent b="0" l="0" r="0" t="0"/>
            <wp:docPr descr="Программа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7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hello.asm</w:t>
      </w:r>
    </w:p>
    <w:bookmarkEnd w:id="28"/>
    <w:bookmarkStart w:id="35" w:name="транслятор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Транслирую файл командой</w:t>
      </w:r>
      <w:r>
        <w:t xml:space="preserve"> </w:t>
      </w:r>
      <w:r>
        <w:rPr>
          <w:rStyle w:val="VerbatimChar"/>
        </w:rPr>
        <w:t xml:space="preserve">nasm</w:t>
      </w:r>
      <w:r>
        <w:t xml:space="preserve">, что позволяет получить объектный файл</w:t>
      </w:r>
      <w:r>
        <w:t xml:space="preserve"> </w:t>
      </w:r>
      <w:r>
        <w:rPr>
          <w:rStyle w:val="VerbatimChar"/>
        </w:rPr>
        <w:t xml:space="preserve">hello.o</w:t>
      </w:r>
      <w:r>
        <w:t xml:space="preserve">. (рис. 3)</w:t>
      </w:r>
    </w:p>
    <w:p>
      <w:pPr>
        <w:pStyle w:val="CaptionedFigure"/>
      </w:pPr>
      <w:r>
        <w:drawing>
          <wp:inline>
            <wp:extent cx="5334000" cy="806823"/>
            <wp:effectExtent b="0" l="0" r="0" t="0"/>
            <wp:docPr descr="Трансляция hello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6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Трансляция hello.asm</w:t>
      </w:r>
    </w:p>
    <w:p>
      <w:pPr>
        <w:pStyle w:val="BodyText"/>
      </w:pPr>
      <w:r>
        <w:t xml:space="preserve">Использую команду</w:t>
      </w:r>
      <w:r>
        <w:t xml:space="preserve"> </w:t>
      </w:r>
      <w:r>
        <w:rPr>
          <w:rStyle w:val="VerbatimChar"/>
        </w:rPr>
        <w:t xml:space="preserve">nasm</w:t>
      </w:r>
      <w:r>
        <w:t xml:space="preserve"> </w:t>
      </w:r>
      <w:r>
        <w:t xml:space="preserve">с дополнительными опциями для создания файла листинга</w:t>
      </w:r>
      <w:r>
        <w:t xml:space="preserve"> </w:t>
      </w:r>
      <w:r>
        <w:rPr>
          <w:rStyle w:val="VerbatimChar"/>
        </w:rPr>
        <w:t xml:space="preserve">list.lst</w:t>
      </w:r>
      <w:r>
        <w:t xml:space="preserve">, объектного файла</w:t>
      </w:r>
      <w:r>
        <w:t xml:space="preserve"> </w:t>
      </w:r>
      <w:r>
        <w:rPr>
          <w:rStyle w:val="VerbatimChar"/>
        </w:rPr>
        <w:t xml:space="preserve">obj.o</w:t>
      </w:r>
      <w:r>
        <w:t xml:space="preserve">, и добавляю отладочную информацию в программу. (рис. 4)</w:t>
      </w:r>
    </w:p>
    <w:p>
      <w:pPr>
        <w:pStyle w:val="CaptionedFigure"/>
      </w:pPr>
      <w:r>
        <w:drawing>
          <wp:inline>
            <wp:extent cx="5334000" cy="632381"/>
            <wp:effectExtent b="0" l="0" r="0" t="0"/>
            <wp:docPr descr="Трансляция hello.asm с дополнительными опциями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2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Трансляция hello.asm с дополнительными опциями</w:t>
      </w:r>
    </w:p>
    <w:bookmarkEnd w:id="35"/>
    <w:bookmarkStart w:id="45" w:name="компоновщик-l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Выполняю линковку с помощью команды</w:t>
      </w:r>
      <w:r>
        <w:t xml:space="preserve"> </w:t>
      </w:r>
      <w:r>
        <w:rPr>
          <w:rStyle w:val="VerbatimChar"/>
        </w:rPr>
        <w:t xml:space="preserve">ld</w:t>
      </w:r>
      <w:r>
        <w:t xml:space="preserve"> </w:t>
      </w:r>
      <w:r>
        <w:t xml:space="preserve">и получаю исполняемый файл. (рис. 5)</w:t>
      </w:r>
    </w:p>
    <w:p>
      <w:pPr>
        <w:pStyle w:val="CaptionedFigure"/>
      </w:pPr>
      <w:r>
        <w:drawing>
          <wp:inline>
            <wp:extent cx="5334000" cy="693278"/>
            <wp:effectExtent b="0" l="0" r="0" t="0"/>
            <wp:docPr descr="Линковка программы" title="" id="37" name="Picture"/>
            <a:graphic>
              <a:graphicData uri="http://schemas.openxmlformats.org/drawingml/2006/picture">
                <pic:pic>
                  <pic:nvPicPr>
                    <pic:cNvPr descr="image/0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3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Линковка программы</w:t>
      </w:r>
    </w:p>
    <w:p>
      <w:pPr>
        <w:pStyle w:val="BodyText"/>
      </w:pPr>
      <w:r>
        <w:t xml:space="preserve">Повторяю линковку для объектного файла</w:t>
      </w:r>
      <w:r>
        <w:t xml:space="preserve"> </w:t>
      </w:r>
      <w:r>
        <w:rPr>
          <w:rStyle w:val="VerbatimChar"/>
        </w:rPr>
        <w:t xml:space="preserve">obj.o</w:t>
      </w:r>
      <w:r>
        <w:t xml:space="preserve"> </w:t>
      </w:r>
      <w:r>
        <w:t xml:space="preserve">и получаю исполняемый файл</w:t>
      </w:r>
      <w:r>
        <w:t xml:space="preserve"> </w:t>
      </w:r>
      <w:r>
        <w:rPr>
          <w:rStyle w:val="VerbatimChar"/>
        </w:rPr>
        <w:t xml:space="preserve">main</w:t>
      </w:r>
      <w:r>
        <w:t xml:space="preserve">. (рис. 6)</w:t>
      </w:r>
    </w:p>
    <w:p>
      <w:pPr>
        <w:pStyle w:val="CaptionedFigure"/>
      </w:pPr>
      <w:r>
        <w:drawing>
          <wp:inline>
            <wp:extent cx="5334000" cy="648636"/>
            <wp:effectExtent b="0" l="0" r="0" t="0"/>
            <wp:docPr descr="Линковка программы" title="" id="40" name="Picture"/>
            <a:graphic>
              <a:graphicData uri="http://schemas.openxmlformats.org/drawingml/2006/picture">
                <pic:pic>
                  <pic:nvPicPr>
                    <pic:cNvPr descr="image/0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8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Линковка программы</w:t>
      </w:r>
    </w:p>
    <w:p>
      <w:pPr>
        <w:pStyle w:val="BodyText"/>
      </w:pPr>
      <w:r>
        <w:t xml:space="preserve">Запускаю полученные исполняемые файлы. (рис. 7)</w:t>
      </w:r>
    </w:p>
    <w:p>
      <w:pPr>
        <w:pStyle w:val="CaptionedFigure"/>
      </w:pPr>
      <w:r>
        <w:drawing>
          <wp:inline>
            <wp:extent cx="4774130" cy="895149"/>
            <wp:effectExtent b="0" l="0" r="0" t="0"/>
            <wp:docPr descr="Запуск программ" title="" id="43" name="Picture"/>
            <a:graphic>
              <a:graphicData uri="http://schemas.openxmlformats.org/drawingml/2006/picture">
                <pic:pic>
                  <pic:nvPicPr>
                    <pic:cNvPr descr="image/0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130" cy="895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</w:t>
      </w:r>
    </w:p>
    <w:bookmarkEnd w:id="45"/>
    <w:bookmarkStart w:id="52" w:name="Xb89792ebb9bd7a9aaf378e3541cc03e24d84206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Копирую программу в новый файл.</w:t>
      </w:r>
    </w:p>
    <w:p>
      <w:pPr>
        <w:pStyle w:val="BodyText"/>
      </w:pPr>
      <w:r>
        <w:t xml:space="preserve">Изменяю сообщение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на своё имя (рис. 8) и запускаю новую программу. (рис. 9)</w:t>
      </w:r>
    </w:p>
    <w:p>
      <w:pPr>
        <w:pStyle w:val="CaptionedFigure"/>
      </w:pPr>
      <w:r>
        <w:drawing>
          <wp:inline>
            <wp:extent cx="5334000" cy="3593706"/>
            <wp:effectExtent b="0" l="0" r="0" t="0"/>
            <wp:docPr descr="Код программы в файле lab4.asm" title="" id="47" name="Picture"/>
            <a:graphic>
              <a:graphicData uri="http://schemas.openxmlformats.org/drawingml/2006/picture">
                <pic:pic>
                  <pic:nvPicPr>
                    <pic:cNvPr descr="image/0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3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Код программы в файле lab4.asm</w:t>
      </w:r>
    </w:p>
    <w:p>
      <w:pPr>
        <w:pStyle w:val="CaptionedFigure"/>
      </w:pPr>
      <w:r>
        <w:drawing>
          <wp:inline>
            <wp:extent cx="5334000" cy="855679"/>
            <wp:effectExtent b="0" l="0" r="0" t="0"/>
            <wp:docPr descr="Запуск программы lab4.asm" title="" id="50" name="Picture"/>
            <a:graphic>
              <a:graphicData uri="http://schemas.openxmlformats.org/drawingml/2006/picture">
                <pic:pic>
                  <pic:nvPicPr>
                    <pic:cNvPr descr="image/0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5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lab4.asm</w:t>
      </w:r>
    </w:p>
    <w:bookmarkEnd w:id="52"/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освоил процесс компиляции и сборки программ на ассемблере NASM. Полученные навыки включают создание объектных файлов, использование транслятора и компоновщика, а также работу с отладочной информацией и выполнение программ.</w:t>
      </w:r>
    </w:p>
    <w:bookmarkEnd w:id="54"/>
    <w:bookmarkStart w:id="5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</w:pPr>
      <w:r>
        <w:t xml:space="preserve">Архитектура ЭВМ - Материалы курса</w:t>
      </w:r>
    </w:p>
    <w:p>
      <w:pPr>
        <w:numPr>
          <w:ilvl w:val="0"/>
          <w:numId w:val="1001"/>
        </w:numPr>
      </w:pPr>
      <w:r>
        <w:t xml:space="preserve">NASM Документация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Касими Абдул Гафур НБИ-01-24</dc:creator>
  <dc:language>ru-RU</dc:language>
  <cp:keywords/>
  <dcterms:created xsi:type="dcterms:W3CDTF">2024-10-29T11:35:24Z</dcterms:created>
  <dcterms:modified xsi:type="dcterms:W3CDTF">2024-10-29T11:35:24Z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