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40"/>
        </w:rPr>
        <w:t>Source Audit Report</w:t>
      </w:r>
    </w:p>
    <w:p>
      <w:pPr>
        <w:spacing w:after="160"/>
      </w:pPr>
      <w:r>
        <w:rPr>
          <w:rFonts w:ascii="Arial" w:hAnsi="Arial"/>
          <w:color w:val="666666"/>
          <w:sz w:val="22"/>
        </w:rPr>
        <w:t>Movie Industry Predictor | Notebook 01</w:t>
      </w:r>
    </w:p>
    <w:tbl>
      <w:tblPr>
        <w:tblW w:type="auto" w:w="0"/>
        <w:jc w:val="left"/>
        <w:tblLook w:firstColumn="1" w:firstRow="1" w:lastColumn="0" w:lastRow="0" w:noHBand="0" w:noVBand="1" w:val="04A0"/>
      </w:tblPr>
      <w:tblGrid>
        <w:gridCol w:w="10166"/>
      </w:tblGrid>
      <w:tr>
        <w:tc>
          <w:tcPr>
            <w:tcW w:type="dxa" w:w="10166"/>
            <w:shd w:fill="2F6F73"/>
          </w:tcPr>
          <w:p>
            <w:r/>
          </w:p>
        </w:tc>
      </w:tr>
    </w:tbl>
    <w:p>
      <w:pPr>
        <w:spacing w:after="0"/>
      </w:pPr>
    </w:p>
    <w:p>
      <w:pPr>
        <w:pStyle w:val="Heading1"/>
      </w:pPr>
      <w:r>
        <w:t>1. Purpose</w:t>
      </w:r>
    </w:p>
    <w:p>
      <w:r>
        <w:t>The Source Audit established whether the three candidate movie datasets were sufficiently complete, structurally sound and compatible to support the Movie Industry Predictor. The notebook examined data quality before any major cleaning, integration or modelling decisions were made.</w:t>
      </w:r>
    </w:p>
    <w:p>
      <w:pPr>
        <w:pStyle w:val="Heading1"/>
      </w:pPr>
      <w:r>
        <w:t>2. Source Datasets</w:t>
      </w:r>
    </w:p>
    <w:tbl>
      <w:tblPr>
        <w:tblW w:type="auto" w:w="0"/>
        <w:jc w:val="center"/>
        <w:tblLayout w:type="fixed"/>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1452"/>
        <w:gridCol w:w="1452"/>
        <w:gridCol w:w="1452"/>
        <w:gridCol w:w="1452"/>
        <w:gridCol w:w="1452"/>
        <w:gridCol w:w="1452"/>
        <w:gridCol w:w="1452"/>
      </w:tblGrid>
      <w:tr>
        <w:trPr>
          <w:tblHeader w:val="true"/>
          <w:cantSplit/>
        </w:trPr>
        <w:tc>
          <w:tcPr>
            <w:tcW w:type="dxa" w:w="2232"/>
            <w:shd w:fill="17365D"/>
            <w:tcMar>
              <w:top w:w="80" w:type="dxa"/>
              <w:start w:w="100" w:type="dxa"/>
              <w:bottom w:w="80" w:type="dxa"/>
              <w:end w:w="100" w:type="dxa"/>
            </w:tcMar>
            <w:vAlign w:val="center"/>
          </w:tcPr>
          <w:p>
            <w:pPr>
              <w:jc w:val="center"/>
            </w:pPr>
            <w:r>
              <w:rPr>
                <w:rFonts w:ascii="Arial" w:hAnsi="Arial"/>
                <w:b/>
                <w:color w:val="FFFFFF"/>
                <w:sz w:val="18"/>
              </w:rPr>
              <w:t>Dataset</w:t>
            </w:r>
          </w:p>
        </w:tc>
        <w:tc>
          <w:tcPr>
            <w:tcW w:type="dxa" w:w="792"/>
            <w:shd w:fill="17365D"/>
            <w:tcMar>
              <w:top w:w="80" w:type="dxa"/>
              <w:start w:w="100" w:type="dxa"/>
              <w:bottom w:w="80" w:type="dxa"/>
              <w:end w:w="100" w:type="dxa"/>
            </w:tcMar>
            <w:vAlign w:val="center"/>
          </w:tcPr>
          <w:p>
            <w:pPr>
              <w:jc w:val="center"/>
            </w:pPr>
            <w:r>
              <w:rPr>
                <w:rFonts w:ascii="Arial" w:hAnsi="Arial"/>
                <w:b/>
                <w:color w:val="FFFFFF"/>
                <w:sz w:val="18"/>
              </w:rPr>
              <w:t>Rows</w:t>
            </w:r>
          </w:p>
        </w:tc>
        <w:tc>
          <w:tcPr>
            <w:tcW w:type="dxa" w:w="648"/>
            <w:shd w:fill="17365D"/>
            <w:tcMar>
              <w:top w:w="80" w:type="dxa"/>
              <w:start w:w="100" w:type="dxa"/>
              <w:bottom w:w="80" w:type="dxa"/>
              <w:end w:w="100" w:type="dxa"/>
            </w:tcMar>
            <w:vAlign w:val="center"/>
          </w:tcPr>
          <w:p>
            <w:pPr>
              <w:jc w:val="center"/>
            </w:pPr>
            <w:r>
              <w:rPr>
                <w:rFonts w:ascii="Arial" w:hAnsi="Arial"/>
                <w:b/>
                <w:color w:val="FFFFFF"/>
                <w:sz w:val="18"/>
              </w:rPr>
              <w:t>Cols</w:t>
            </w:r>
          </w:p>
        </w:tc>
        <w:tc>
          <w:tcPr>
            <w:tcW w:type="dxa" w:w="1224"/>
            <w:shd w:fill="17365D"/>
            <w:tcMar>
              <w:top w:w="80" w:type="dxa"/>
              <w:start w:w="100" w:type="dxa"/>
              <w:bottom w:w="80" w:type="dxa"/>
              <w:end w:w="100" w:type="dxa"/>
            </w:tcMar>
            <w:vAlign w:val="center"/>
          </w:tcPr>
          <w:p>
            <w:pPr>
              <w:jc w:val="center"/>
            </w:pPr>
            <w:r>
              <w:rPr>
                <w:rFonts w:ascii="Arial" w:hAnsi="Arial"/>
                <w:b/>
                <w:color w:val="FFFFFF"/>
                <w:sz w:val="18"/>
              </w:rPr>
              <w:t>Year coverage</w:t>
            </w:r>
          </w:p>
        </w:tc>
        <w:tc>
          <w:tcPr>
            <w:tcW w:type="dxa" w:w="1224"/>
            <w:shd w:fill="17365D"/>
            <w:tcMar>
              <w:top w:w="80" w:type="dxa"/>
              <w:start w:w="100" w:type="dxa"/>
              <w:bottom w:w="80" w:type="dxa"/>
              <w:end w:w="100" w:type="dxa"/>
            </w:tcMar>
            <w:vAlign w:val="center"/>
          </w:tcPr>
          <w:p>
            <w:pPr>
              <w:jc w:val="center"/>
            </w:pPr>
            <w:r>
              <w:rPr>
                <w:rFonts w:ascii="Arial" w:hAnsi="Arial"/>
                <w:b/>
                <w:color w:val="FFFFFF"/>
                <w:sz w:val="18"/>
              </w:rPr>
              <w:t>Positive budget</w:t>
            </w:r>
          </w:p>
        </w:tc>
        <w:tc>
          <w:tcPr>
            <w:tcW w:type="dxa" w:w="1224"/>
            <w:shd w:fill="17365D"/>
            <w:tcMar>
              <w:top w:w="80" w:type="dxa"/>
              <w:start w:w="100" w:type="dxa"/>
              <w:bottom w:w="80" w:type="dxa"/>
              <w:end w:w="100" w:type="dxa"/>
            </w:tcMar>
            <w:vAlign w:val="center"/>
          </w:tcPr>
          <w:p>
            <w:pPr>
              <w:jc w:val="center"/>
            </w:pPr>
            <w:r>
              <w:rPr>
                <w:rFonts w:ascii="Arial" w:hAnsi="Arial"/>
                <w:b/>
                <w:color w:val="FFFFFF"/>
                <w:sz w:val="18"/>
              </w:rPr>
              <w:t>Positive revenue</w:t>
            </w:r>
          </w:p>
        </w:tc>
        <w:tc>
          <w:tcPr>
            <w:tcW w:type="dxa" w:w="1080"/>
            <w:shd w:fill="17365D"/>
            <w:tcMar>
              <w:top w:w="80" w:type="dxa"/>
              <w:start w:w="100" w:type="dxa"/>
              <w:bottom w:w="80" w:type="dxa"/>
              <w:end w:w="100" w:type="dxa"/>
            </w:tcMar>
            <w:vAlign w:val="center"/>
          </w:tcPr>
          <w:p>
            <w:pPr>
              <w:jc w:val="center"/>
            </w:pPr>
            <w:r>
              <w:rPr>
                <w:rFonts w:ascii="Arial" w:hAnsi="Arial"/>
                <w:b/>
                <w:color w:val="FFFFFF"/>
                <w:sz w:val="18"/>
              </w:rPr>
              <w:t>Both</w:t>
            </w:r>
          </w:p>
        </w:tc>
      </w:tr>
      <w:tr>
        <w:trPr>
          <w:cantSplit/>
        </w:trPr>
        <w:tc>
          <w:tcPr>
            <w:tcW w:type="dxa" w:w="2232"/>
            <w:tcMar>
              <w:top w:w="80" w:type="dxa"/>
              <w:start w:w="100" w:type="dxa"/>
              <w:bottom w:w="80" w:type="dxa"/>
              <w:end w:w="100" w:type="dxa"/>
            </w:tcMar>
            <w:vAlign w:val="center"/>
          </w:tcPr>
          <w:p>
            <w:r>
              <w:rPr>
                <w:rFonts w:ascii="Arial" w:hAnsi="Arial"/>
                <w:sz w:val="17"/>
              </w:rPr>
              <w:t>Dataset A - Cleaned Movies</w:t>
            </w:r>
          </w:p>
        </w:tc>
        <w:tc>
          <w:tcPr>
            <w:tcW w:type="dxa" w:w="792"/>
            <w:tcMar>
              <w:top w:w="80" w:type="dxa"/>
              <w:start w:w="100" w:type="dxa"/>
              <w:bottom w:w="80" w:type="dxa"/>
              <w:end w:w="100" w:type="dxa"/>
            </w:tcMar>
            <w:vAlign w:val="center"/>
          </w:tcPr>
          <w:p>
            <w:r>
              <w:rPr>
                <w:rFonts w:ascii="Arial" w:hAnsi="Arial"/>
                <w:sz w:val="17"/>
              </w:rPr>
              <w:t>7,668</w:t>
            </w:r>
          </w:p>
        </w:tc>
        <w:tc>
          <w:tcPr>
            <w:tcW w:type="dxa" w:w="648"/>
            <w:tcMar>
              <w:top w:w="80" w:type="dxa"/>
              <w:start w:w="100" w:type="dxa"/>
              <w:bottom w:w="80" w:type="dxa"/>
              <w:end w:w="100" w:type="dxa"/>
            </w:tcMar>
            <w:vAlign w:val="center"/>
          </w:tcPr>
          <w:p>
            <w:r>
              <w:rPr>
                <w:rFonts w:ascii="Arial" w:hAnsi="Arial"/>
                <w:sz w:val="17"/>
              </w:rPr>
              <w:t>20</w:t>
            </w:r>
          </w:p>
        </w:tc>
        <w:tc>
          <w:tcPr>
            <w:tcW w:type="dxa" w:w="1224"/>
            <w:tcMar>
              <w:top w:w="80" w:type="dxa"/>
              <w:start w:w="100" w:type="dxa"/>
              <w:bottom w:w="80" w:type="dxa"/>
              <w:end w:w="100" w:type="dxa"/>
            </w:tcMar>
            <w:vAlign w:val="center"/>
          </w:tcPr>
          <w:p>
            <w:r>
              <w:rPr>
                <w:rFonts w:ascii="Arial" w:hAnsi="Arial"/>
                <w:sz w:val="17"/>
              </w:rPr>
              <w:t>1980-2020</w:t>
            </w:r>
          </w:p>
        </w:tc>
        <w:tc>
          <w:tcPr>
            <w:tcW w:type="dxa" w:w="1224"/>
            <w:tcMar>
              <w:top w:w="80" w:type="dxa"/>
              <w:start w:w="100" w:type="dxa"/>
              <w:bottom w:w="80" w:type="dxa"/>
              <w:end w:w="100" w:type="dxa"/>
            </w:tcMar>
            <w:vAlign w:val="center"/>
          </w:tcPr>
          <w:p>
            <w:r>
              <w:rPr>
                <w:rFonts w:ascii="Arial" w:hAnsi="Arial"/>
                <w:sz w:val="17"/>
              </w:rPr>
              <w:t>5,497</w:t>
            </w:r>
          </w:p>
        </w:tc>
        <w:tc>
          <w:tcPr>
            <w:tcW w:type="dxa" w:w="1224"/>
            <w:tcMar>
              <w:top w:w="80" w:type="dxa"/>
              <w:start w:w="100" w:type="dxa"/>
              <w:bottom w:w="80" w:type="dxa"/>
              <w:end w:w="100" w:type="dxa"/>
            </w:tcMar>
            <w:vAlign w:val="center"/>
          </w:tcPr>
          <w:p>
            <w:r>
              <w:rPr>
                <w:rFonts w:ascii="Arial" w:hAnsi="Arial"/>
                <w:sz w:val="17"/>
              </w:rPr>
              <w:t>7,479</w:t>
            </w:r>
          </w:p>
        </w:tc>
        <w:tc>
          <w:tcPr>
            <w:tcW w:type="dxa" w:w="1080"/>
            <w:tcMar>
              <w:top w:w="80" w:type="dxa"/>
              <w:start w:w="100" w:type="dxa"/>
              <w:bottom w:w="80" w:type="dxa"/>
              <w:end w:w="100" w:type="dxa"/>
            </w:tcMar>
            <w:vAlign w:val="center"/>
          </w:tcPr>
          <w:p>
            <w:r>
              <w:rPr>
                <w:rFonts w:ascii="Arial" w:hAnsi="Arial"/>
                <w:sz w:val="17"/>
              </w:rPr>
              <w:t>5,436</w:t>
            </w:r>
          </w:p>
        </w:tc>
      </w:tr>
      <w:tr>
        <w:trPr>
          <w:cantSplit/>
        </w:trPr>
        <w:tc>
          <w:tcPr>
            <w:tcW w:type="dxa" w:w="2232"/>
            <w:shd w:fill="F5F7F9"/>
            <w:tcMar>
              <w:top w:w="80" w:type="dxa"/>
              <w:start w:w="100" w:type="dxa"/>
              <w:bottom w:w="80" w:type="dxa"/>
              <w:end w:w="100" w:type="dxa"/>
            </w:tcMar>
            <w:vAlign w:val="center"/>
          </w:tcPr>
          <w:p>
            <w:r>
              <w:rPr>
                <w:rFonts w:ascii="Arial" w:hAnsi="Arial"/>
                <w:sz w:val="17"/>
              </w:rPr>
              <w:t>Dataset B - TMDB Relational</w:t>
            </w:r>
          </w:p>
        </w:tc>
        <w:tc>
          <w:tcPr>
            <w:tcW w:type="dxa" w:w="792"/>
            <w:shd w:fill="F5F7F9"/>
            <w:tcMar>
              <w:top w:w="80" w:type="dxa"/>
              <w:start w:w="100" w:type="dxa"/>
              <w:bottom w:w="80" w:type="dxa"/>
              <w:end w:w="100" w:type="dxa"/>
            </w:tcMar>
            <w:vAlign w:val="center"/>
          </w:tcPr>
          <w:p>
            <w:r>
              <w:rPr>
                <w:rFonts w:ascii="Arial" w:hAnsi="Arial"/>
                <w:sz w:val="17"/>
              </w:rPr>
              <w:t>9,771</w:t>
            </w:r>
          </w:p>
        </w:tc>
        <w:tc>
          <w:tcPr>
            <w:tcW w:type="dxa" w:w="648"/>
            <w:shd w:fill="F5F7F9"/>
            <w:tcMar>
              <w:top w:w="80" w:type="dxa"/>
              <w:start w:w="100" w:type="dxa"/>
              <w:bottom w:w="80" w:type="dxa"/>
              <w:end w:w="100" w:type="dxa"/>
            </w:tcMar>
            <w:vAlign w:val="center"/>
          </w:tcPr>
          <w:p>
            <w:r>
              <w:rPr>
                <w:rFonts w:ascii="Arial" w:hAnsi="Arial"/>
                <w:sz w:val="17"/>
              </w:rPr>
              <w:t>22</w:t>
            </w:r>
          </w:p>
        </w:tc>
        <w:tc>
          <w:tcPr>
            <w:tcW w:type="dxa" w:w="1224"/>
            <w:shd w:fill="F5F7F9"/>
            <w:tcMar>
              <w:top w:w="80" w:type="dxa"/>
              <w:start w:w="100" w:type="dxa"/>
              <w:bottom w:w="80" w:type="dxa"/>
              <w:end w:w="100" w:type="dxa"/>
            </w:tcMar>
            <w:vAlign w:val="center"/>
          </w:tcPr>
          <w:p>
            <w:r>
              <w:rPr>
                <w:rFonts w:ascii="Arial" w:hAnsi="Arial"/>
                <w:sz w:val="17"/>
              </w:rPr>
              <w:t>1904-2028</w:t>
            </w:r>
          </w:p>
        </w:tc>
        <w:tc>
          <w:tcPr>
            <w:tcW w:type="dxa" w:w="1224"/>
            <w:shd w:fill="F5F7F9"/>
            <w:tcMar>
              <w:top w:w="80" w:type="dxa"/>
              <w:start w:w="100" w:type="dxa"/>
              <w:bottom w:w="80" w:type="dxa"/>
              <w:end w:w="100" w:type="dxa"/>
            </w:tcMar>
            <w:vAlign w:val="center"/>
          </w:tcPr>
          <w:p>
            <w:r>
              <w:rPr>
                <w:rFonts w:ascii="Arial" w:hAnsi="Arial"/>
                <w:sz w:val="17"/>
              </w:rPr>
              <w:t>4,015</w:t>
            </w:r>
          </w:p>
        </w:tc>
        <w:tc>
          <w:tcPr>
            <w:tcW w:type="dxa" w:w="1224"/>
            <w:shd w:fill="F5F7F9"/>
            <w:tcMar>
              <w:top w:w="80" w:type="dxa"/>
              <w:start w:w="100" w:type="dxa"/>
              <w:bottom w:w="80" w:type="dxa"/>
              <w:end w:w="100" w:type="dxa"/>
            </w:tcMar>
            <w:vAlign w:val="center"/>
          </w:tcPr>
          <w:p>
            <w:r>
              <w:rPr>
                <w:rFonts w:ascii="Arial" w:hAnsi="Arial"/>
                <w:sz w:val="17"/>
              </w:rPr>
              <w:t>4,027</w:t>
            </w:r>
          </w:p>
        </w:tc>
        <w:tc>
          <w:tcPr>
            <w:tcW w:type="dxa" w:w="1080"/>
            <w:shd w:fill="F5F7F9"/>
            <w:tcMar>
              <w:top w:w="80" w:type="dxa"/>
              <w:start w:w="100" w:type="dxa"/>
              <w:bottom w:w="80" w:type="dxa"/>
              <w:end w:w="100" w:type="dxa"/>
            </w:tcMar>
            <w:vAlign w:val="center"/>
          </w:tcPr>
          <w:p>
            <w:r>
              <w:rPr>
                <w:rFonts w:ascii="Arial" w:hAnsi="Arial"/>
                <w:sz w:val="17"/>
              </w:rPr>
              <w:t>3,435</w:t>
            </w:r>
          </w:p>
        </w:tc>
      </w:tr>
      <w:tr>
        <w:trPr>
          <w:cantSplit/>
        </w:trPr>
        <w:tc>
          <w:tcPr>
            <w:tcW w:type="dxa" w:w="2232"/>
            <w:tcMar>
              <w:top w:w="80" w:type="dxa"/>
              <w:start w:w="100" w:type="dxa"/>
              <w:bottom w:w="80" w:type="dxa"/>
              <w:end w:w="100" w:type="dxa"/>
            </w:tcMar>
            <w:vAlign w:val="center"/>
          </w:tcPr>
          <w:p>
            <w:r>
              <w:rPr>
                <w:rFonts w:ascii="Arial" w:hAnsi="Arial"/>
                <w:sz w:val="17"/>
              </w:rPr>
              <w:t>Dataset C - TMDB Recent</w:t>
            </w:r>
          </w:p>
        </w:tc>
        <w:tc>
          <w:tcPr>
            <w:tcW w:type="dxa" w:w="792"/>
            <w:tcMar>
              <w:top w:w="80" w:type="dxa"/>
              <w:start w:w="100" w:type="dxa"/>
              <w:bottom w:w="80" w:type="dxa"/>
              <w:end w:w="100" w:type="dxa"/>
            </w:tcMar>
            <w:vAlign w:val="center"/>
          </w:tcPr>
          <w:p>
            <w:r>
              <w:rPr>
                <w:rFonts w:ascii="Arial" w:hAnsi="Arial"/>
                <w:sz w:val="17"/>
              </w:rPr>
              <w:t>17,978</w:t>
            </w:r>
          </w:p>
        </w:tc>
        <w:tc>
          <w:tcPr>
            <w:tcW w:type="dxa" w:w="648"/>
            <w:tcMar>
              <w:top w:w="80" w:type="dxa"/>
              <w:start w:w="100" w:type="dxa"/>
              <w:bottom w:w="80" w:type="dxa"/>
              <w:end w:w="100" w:type="dxa"/>
            </w:tcMar>
            <w:vAlign w:val="center"/>
          </w:tcPr>
          <w:p>
            <w:r>
              <w:rPr>
                <w:rFonts w:ascii="Arial" w:hAnsi="Arial"/>
                <w:sz w:val="17"/>
              </w:rPr>
              <w:t>16</w:t>
            </w:r>
          </w:p>
        </w:tc>
        <w:tc>
          <w:tcPr>
            <w:tcW w:type="dxa" w:w="1224"/>
            <w:tcMar>
              <w:top w:w="80" w:type="dxa"/>
              <w:start w:w="100" w:type="dxa"/>
              <w:bottom w:w="80" w:type="dxa"/>
              <w:end w:w="100" w:type="dxa"/>
            </w:tcMar>
            <w:vAlign w:val="center"/>
          </w:tcPr>
          <w:p>
            <w:r>
              <w:rPr>
                <w:rFonts w:ascii="Arial" w:hAnsi="Arial"/>
                <w:sz w:val="17"/>
              </w:rPr>
              <w:t>2010-2025</w:t>
            </w:r>
          </w:p>
        </w:tc>
        <w:tc>
          <w:tcPr>
            <w:tcW w:type="dxa" w:w="1224"/>
            <w:tcMar>
              <w:top w:w="80" w:type="dxa"/>
              <w:start w:w="100" w:type="dxa"/>
              <w:bottom w:w="80" w:type="dxa"/>
              <w:end w:w="100" w:type="dxa"/>
            </w:tcMar>
            <w:vAlign w:val="center"/>
          </w:tcPr>
          <w:p>
            <w:r>
              <w:rPr>
                <w:rFonts w:ascii="Arial" w:hAnsi="Arial"/>
                <w:sz w:val="17"/>
              </w:rPr>
              <w:t>5,515</w:t>
            </w:r>
          </w:p>
        </w:tc>
        <w:tc>
          <w:tcPr>
            <w:tcW w:type="dxa" w:w="1224"/>
            <w:tcMar>
              <w:top w:w="80" w:type="dxa"/>
              <w:start w:w="100" w:type="dxa"/>
              <w:bottom w:w="80" w:type="dxa"/>
              <w:end w:w="100" w:type="dxa"/>
            </w:tcMar>
            <w:vAlign w:val="center"/>
          </w:tcPr>
          <w:p>
            <w:r>
              <w:rPr>
                <w:rFonts w:ascii="Arial" w:hAnsi="Arial"/>
                <w:sz w:val="17"/>
              </w:rPr>
              <w:t>6,822</w:t>
            </w:r>
          </w:p>
        </w:tc>
        <w:tc>
          <w:tcPr>
            <w:tcW w:type="dxa" w:w="1080"/>
            <w:tcMar>
              <w:top w:w="80" w:type="dxa"/>
              <w:start w:w="100" w:type="dxa"/>
              <w:bottom w:w="80" w:type="dxa"/>
              <w:end w:w="100" w:type="dxa"/>
            </w:tcMar>
            <w:vAlign w:val="center"/>
          </w:tcPr>
          <w:p>
            <w:r>
              <w:rPr>
                <w:rFonts w:ascii="Arial" w:hAnsi="Arial"/>
                <w:sz w:val="17"/>
              </w:rPr>
              <w:t>4,105</w:t>
            </w:r>
          </w:p>
        </w:tc>
      </w:tr>
    </w:tbl>
    <w:p>
      <w:pPr>
        <w:spacing w:after="0"/>
      </w:pPr>
    </w:p>
    <w:p>
      <w:pPr>
        <w:pStyle w:val="Heading1"/>
      </w:pPr>
      <w:r>
        <w:t>3. Audit Scope</w:t>
      </w:r>
    </w:p>
    <w:p>
      <w:pPr>
        <w:pStyle w:val="ListBullet"/>
      </w:pPr>
      <w:r>
        <w:t>Dataset shape, column structure and duplicate-row checks.</w:t>
      </w:r>
    </w:p>
    <w:p>
      <w:pPr>
        <w:pStyle w:val="ListBullet"/>
      </w:pPr>
      <w:r>
        <w:t>Missing-value and financial-quality checks for budget and worldwide revenue.</w:t>
      </w:r>
    </w:p>
    <w:p>
      <w:pPr>
        <w:pStyle w:val="ListBullet"/>
      </w:pPr>
      <w:r>
        <w:t>Release-year coverage and future-date awareness.</w:t>
      </w:r>
    </w:p>
    <w:p>
      <w:pPr>
        <w:pStyle w:val="ListBullet"/>
      </w:pPr>
      <w:r>
        <w:t>Movie-title duplication and identifier quality.</w:t>
      </w:r>
    </w:p>
    <w:p>
      <w:pPr>
        <w:pStyle w:val="ListBullet"/>
      </w:pPr>
      <w:r>
        <w:t>Summary-table validation against expected counts.</w:t>
      </w:r>
    </w:p>
    <w:p>
      <w:pPr>
        <w:pStyle w:val="ListBullet"/>
      </w:pPr>
      <w:r>
        <w:t>Cross-dataset matching using normalized movie title plus release year.</w:t>
      </w:r>
    </w:p>
    <w:p>
      <w:pPr>
        <w:pStyle w:val="ListBullet"/>
      </w:pPr>
      <w:r>
        <w:t>Pairwise and three-way overlap checks between the three sources.</w:t>
      </w:r>
    </w:p>
    <w:p>
      <w:pPr>
        <w:pStyle w:val="Heading1"/>
      </w:pPr>
      <w:r>
        <w:t>4. Key Findings</w:t>
      </w:r>
    </w:p>
    <w:p>
      <w:pPr>
        <w:pStyle w:val="Heading2"/>
      </w:pPr>
      <w:r>
        <w:t>Dataset A - Historical financial backbone</w:t>
      </w:r>
    </w:p>
    <w:p>
      <w:r>
        <w:t>Dataset A was the strongest historical financial source. It contained 7,668 movies, no duplicate rows in the basic audit, and 5,436 movies with both positive budget and positive revenue values. Its main limitation is that its coverage ends in 2020.</w:t>
      </w:r>
    </w:p>
    <w:p>
      <w:pPr>
        <w:pStyle w:val="Heading2"/>
      </w:pPr>
      <w:r>
        <w:t>Dataset B - Relational enrichment source</w:t>
      </w:r>
    </w:p>
    <w:p>
      <w:r>
        <w:t>Dataset B broadened the historical and relational coverage to 9,771 records and extended through future-dated titles. Financial completeness was materially weaker: only 3,435 movies had both a positive budget and positive revenue. A large number of TMDB financial fields were represented as zero and therefore required treatment as unavailable rather than literal zero-cost or zero-revenue films.</w:t>
      </w:r>
    </w:p>
    <w:p>
      <w:pPr>
        <w:pStyle w:val="Heading2"/>
      </w:pPr>
      <w:r>
        <w:t>Dataset C - Modern TMDB source</w:t>
      </w:r>
    </w:p>
    <w:p>
      <w:r>
        <w:t>Dataset C provided the largest modern pool at 17,978 records and had strong identifier quality. All 17,978 movie IDs were unique, with no missing or duplicate IDs. Financial fields were sparse, but the dataset was valuable for modern coverage and enrichment.</w:t>
      </w:r>
    </w:p>
    <w:p>
      <w:pPr>
        <w:pStyle w:val="Heading1"/>
      </w:pPr>
      <w:r>
        <w:t>5. Cross-Dataset Matching</w:t>
      </w:r>
    </w:p>
    <w:p>
      <w:r>
        <w:t>A normalized title-and-release-year key was created to estimate source overlap without modifying the original datasets. The initial matching audit produced the following results:</w:t>
      </w:r>
    </w:p>
    <w:tbl>
      <w:tblPr>
        <w:tblW w:type="auto" w:w="0"/>
        <w:jc w:val="center"/>
        <w:tblLayout w:type="fixed"/>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5083"/>
        <w:gridCol w:w="5083"/>
      </w:tblGrid>
      <w:tr>
        <w:trPr>
          <w:tblHeader w:val="true"/>
          <w:cantSplit/>
        </w:trPr>
        <w:tc>
          <w:tcPr>
            <w:tcW w:type="dxa" w:w="4320"/>
            <w:shd w:fill="17365D"/>
            <w:tcMar>
              <w:top w:w="80" w:type="dxa"/>
              <w:start w:w="100" w:type="dxa"/>
              <w:bottom w:w="80" w:type="dxa"/>
              <w:end w:w="100" w:type="dxa"/>
            </w:tcMar>
            <w:vAlign w:val="center"/>
          </w:tcPr>
          <w:p>
            <w:pPr>
              <w:jc w:val="center"/>
            </w:pPr>
            <w:r>
              <w:rPr>
                <w:rFonts w:ascii="Arial" w:hAnsi="Arial"/>
                <w:b/>
                <w:color w:val="FFFFFF"/>
                <w:sz w:val="18"/>
              </w:rPr>
              <w:t>Measure</w:t>
            </w:r>
          </w:p>
        </w:tc>
        <w:tc>
          <w:tcPr>
            <w:tcW w:type="dxa" w:w="2880"/>
            <w:shd w:fill="17365D"/>
            <w:tcMar>
              <w:top w:w="80" w:type="dxa"/>
              <w:start w:w="100" w:type="dxa"/>
              <w:bottom w:w="80" w:type="dxa"/>
              <w:end w:w="100" w:type="dxa"/>
            </w:tcMar>
            <w:vAlign w:val="center"/>
          </w:tcPr>
          <w:p>
            <w:pPr>
              <w:jc w:val="center"/>
            </w:pPr>
            <w:r>
              <w:rPr>
                <w:rFonts w:ascii="Arial" w:hAnsi="Arial"/>
                <w:b/>
                <w:color w:val="FFFFFF"/>
                <w:sz w:val="18"/>
              </w:rPr>
              <w:t>Result</w:t>
            </w:r>
          </w:p>
        </w:tc>
      </w:tr>
      <w:tr>
        <w:trPr>
          <w:cantSplit/>
        </w:trPr>
        <w:tc>
          <w:tcPr>
            <w:tcW w:type="dxa" w:w="4320"/>
            <w:tcMar>
              <w:top w:w="80" w:type="dxa"/>
              <w:start w:w="100" w:type="dxa"/>
              <w:bottom w:w="80" w:type="dxa"/>
              <w:end w:w="100" w:type="dxa"/>
            </w:tcMar>
            <w:vAlign w:val="center"/>
          </w:tcPr>
          <w:p>
            <w:r>
              <w:rPr>
                <w:rFonts w:ascii="Arial" w:hAnsi="Arial"/>
                <w:sz w:val="17"/>
              </w:rPr>
              <w:t>Dataset A unique match keys</w:t>
            </w:r>
          </w:p>
        </w:tc>
        <w:tc>
          <w:tcPr>
            <w:tcW w:type="dxa" w:w="2880"/>
            <w:tcMar>
              <w:top w:w="80" w:type="dxa"/>
              <w:start w:w="100" w:type="dxa"/>
              <w:bottom w:w="80" w:type="dxa"/>
              <w:end w:w="100" w:type="dxa"/>
            </w:tcMar>
            <w:vAlign w:val="center"/>
          </w:tcPr>
          <w:p>
            <w:r>
              <w:rPr>
                <w:rFonts w:ascii="Arial" w:hAnsi="Arial"/>
                <w:sz w:val="17"/>
              </w:rPr>
              <w:t>7,668</w:t>
            </w:r>
          </w:p>
        </w:tc>
      </w:tr>
      <w:tr>
        <w:trPr>
          <w:cantSplit/>
        </w:trPr>
        <w:tc>
          <w:tcPr>
            <w:tcW w:type="dxa" w:w="4320"/>
            <w:shd w:fill="F5F7F9"/>
            <w:tcMar>
              <w:top w:w="80" w:type="dxa"/>
              <w:start w:w="100" w:type="dxa"/>
              <w:bottom w:w="80" w:type="dxa"/>
              <w:end w:w="100" w:type="dxa"/>
            </w:tcMar>
            <w:vAlign w:val="center"/>
          </w:tcPr>
          <w:p>
            <w:r>
              <w:rPr>
                <w:rFonts w:ascii="Arial" w:hAnsi="Arial"/>
                <w:sz w:val="17"/>
              </w:rPr>
              <w:t>Dataset B unique match keys</w:t>
            </w:r>
          </w:p>
        </w:tc>
        <w:tc>
          <w:tcPr>
            <w:tcW w:type="dxa" w:w="2880"/>
            <w:shd w:fill="F5F7F9"/>
            <w:tcMar>
              <w:top w:w="80" w:type="dxa"/>
              <w:start w:w="100" w:type="dxa"/>
              <w:bottom w:w="80" w:type="dxa"/>
              <w:end w:w="100" w:type="dxa"/>
            </w:tcMar>
            <w:vAlign w:val="center"/>
          </w:tcPr>
          <w:p>
            <w:r>
              <w:rPr>
                <w:rFonts w:ascii="Arial" w:hAnsi="Arial"/>
                <w:sz w:val="17"/>
              </w:rPr>
              <w:t>9,694</w:t>
            </w:r>
          </w:p>
        </w:tc>
      </w:tr>
      <w:tr>
        <w:trPr>
          <w:cantSplit/>
        </w:trPr>
        <w:tc>
          <w:tcPr>
            <w:tcW w:type="dxa" w:w="4320"/>
            <w:tcMar>
              <w:top w:w="80" w:type="dxa"/>
              <w:start w:w="100" w:type="dxa"/>
              <w:bottom w:w="80" w:type="dxa"/>
              <w:end w:w="100" w:type="dxa"/>
            </w:tcMar>
            <w:vAlign w:val="center"/>
          </w:tcPr>
          <w:p>
            <w:r>
              <w:rPr>
                <w:rFonts w:ascii="Arial" w:hAnsi="Arial"/>
                <w:sz w:val="17"/>
              </w:rPr>
              <w:t>Dataset C unique match keys</w:t>
            </w:r>
          </w:p>
        </w:tc>
        <w:tc>
          <w:tcPr>
            <w:tcW w:type="dxa" w:w="2880"/>
            <w:tcMar>
              <w:top w:w="80" w:type="dxa"/>
              <w:start w:w="100" w:type="dxa"/>
              <w:bottom w:w="80" w:type="dxa"/>
              <w:end w:w="100" w:type="dxa"/>
            </w:tcMar>
            <w:vAlign w:val="center"/>
          </w:tcPr>
          <w:p>
            <w:r>
              <w:rPr>
                <w:rFonts w:ascii="Arial" w:hAnsi="Arial"/>
                <w:sz w:val="17"/>
              </w:rPr>
              <w:t>17,931</w:t>
            </w:r>
          </w:p>
        </w:tc>
      </w:tr>
      <w:tr>
        <w:trPr>
          <w:cantSplit/>
        </w:trPr>
        <w:tc>
          <w:tcPr>
            <w:tcW w:type="dxa" w:w="4320"/>
            <w:shd w:fill="F5F7F9"/>
            <w:tcMar>
              <w:top w:w="80" w:type="dxa"/>
              <w:start w:w="100" w:type="dxa"/>
              <w:bottom w:w="80" w:type="dxa"/>
              <w:end w:w="100" w:type="dxa"/>
            </w:tcMar>
            <w:vAlign w:val="center"/>
          </w:tcPr>
          <w:p>
            <w:r>
              <w:rPr>
                <w:rFonts w:ascii="Arial" w:hAnsi="Arial"/>
                <w:sz w:val="17"/>
              </w:rPr>
              <w:t>A ∩ B</w:t>
            </w:r>
          </w:p>
        </w:tc>
        <w:tc>
          <w:tcPr>
            <w:tcW w:type="dxa" w:w="2880"/>
            <w:shd w:fill="F5F7F9"/>
            <w:tcMar>
              <w:top w:w="80" w:type="dxa"/>
              <w:start w:w="100" w:type="dxa"/>
              <w:bottom w:w="80" w:type="dxa"/>
              <w:end w:w="100" w:type="dxa"/>
            </w:tcMar>
            <w:vAlign w:val="center"/>
          </w:tcPr>
          <w:p>
            <w:r>
              <w:rPr>
                <w:rFonts w:ascii="Arial" w:hAnsi="Arial"/>
                <w:sz w:val="17"/>
              </w:rPr>
              <w:t>2,367</w:t>
            </w:r>
          </w:p>
        </w:tc>
      </w:tr>
      <w:tr>
        <w:trPr>
          <w:cantSplit/>
        </w:trPr>
        <w:tc>
          <w:tcPr>
            <w:tcW w:type="dxa" w:w="4320"/>
            <w:tcMar>
              <w:top w:w="80" w:type="dxa"/>
              <w:start w:w="100" w:type="dxa"/>
              <w:bottom w:w="80" w:type="dxa"/>
              <w:end w:w="100" w:type="dxa"/>
            </w:tcMar>
            <w:vAlign w:val="center"/>
          </w:tcPr>
          <w:p>
            <w:r>
              <w:rPr>
                <w:rFonts w:ascii="Arial" w:hAnsi="Arial"/>
                <w:sz w:val="17"/>
              </w:rPr>
              <w:t>A ∩ C</w:t>
            </w:r>
          </w:p>
        </w:tc>
        <w:tc>
          <w:tcPr>
            <w:tcW w:type="dxa" w:w="2880"/>
            <w:tcMar>
              <w:top w:w="80" w:type="dxa"/>
              <w:start w:w="100" w:type="dxa"/>
              <w:bottom w:w="80" w:type="dxa"/>
              <w:end w:w="100" w:type="dxa"/>
            </w:tcMar>
            <w:vAlign w:val="center"/>
          </w:tcPr>
          <w:p>
            <w:r>
              <w:rPr>
                <w:rFonts w:ascii="Arial" w:hAnsi="Arial"/>
                <w:sz w:val="17"/>
              </w:rPr>
              <w:t>1,808</w:t>
            </w:r>
          </w:p>
        </w:tc>
      </w:tr>
      <w:tr>
        <w:trPr>
          <w:cantSplit/>
        </w:trPr>
        <w:tc>
          <w:tcPr>
            <w:tcW w:type="dxa" w:w="4320"/>
            <w:shd w:fill="F5F7F9"/>
            <w:tcMar>
              <w:top w:w="80" w:type="dxa"/>
              <w:start w:w="100" w:type="dxa"/>
              <w:bottom w:w="80" w:type="dxa"/>
              <w:end w:w="100" w:type="dxa"/>
            </w:tcMar>
            <w:vAlign w:val="center"/>
          </w:tcPr>
          <w:p>
            <w:r>
              <w:rPr>
                <w:rFonts w:ascii="Arial" w:hAnsi="Arial"/>
                <w:sz w:val="17"/>
              </w:rPr>
              <w:t>B ∩ C</w:t>
            </w:r>
          </w:p>
        </w:tc>
        <w:tc>
          <w:tcPr>
            <w:tcW w:type="dxa" w:w="2880"/>
            <w:shd w:fill="F5F7F9"/>
            <w:tcMar>
              <w:top w:w="80" w:type="dxa"/>
              <w:start w:w="100" w:type="dxa"/>
              <w:bottom w:w="80" w:type="dxa"/>
              <w:end w:w="100" w:type="dxa"/>
            </w:tcMar>
            <w:vAlign w:val="center"/>
          </w:tcPr>
          <w:p>
            <w:r>
              <w:rPr>
                <w:rFonts w:ascii="Arial" w:hAnsi="Arial"/>
                <w:sz w:val="17"/>
              </w:rPr>
              <w:t>3,052</w:t>
            </w:r>
          </w:p>
        </w:tc>
      </w:tr>
      <w:tr>
        <w:trPr>
          <w:cantSplit/>
        </w:trPr>
        <w:tc>
          <w:tcPr>
            <w:tcW w:type="dxa" w:w="4320"/>
            <w:tcMar>
              <w:top w:w="80" w:type="dxa"/>
              <w:start w:w="100" w:type="dxa"/>
              <w:bottom w:w="80" w:type="dxa"/>
              <w:end w:w="100" w:type="dxa"/>
            </w:tcMar>
            <w:vAlign w:val="center"/>
          </w:tcPr>
          <w:p>
            <w:r>
              <w:rPr>
                <w:rFonts w:ascii="Arial" w:hAnsi="Arial"/>
                <w:sz w:val="17"/>
              </w:rPr>
              <w:t>A ∩ B ∩ C</w:t>
            </w:r>
          </w:p>
        </w:tc>
        <w:tc>
          <w:tcPr>
            <w:tcW w:type="dxa" w:w="2880"/>
            <w:tcMar>
              <w:top w:w="80" w:type="dxa"/>
              <w:start w:w="100" w:type="dxa"/>
              <w:bottom w:w="80" w:type="dxa"/>
              <w:end w:w="100" w:type="dxa"/>
            </w:tcMar>
            <w:vAlign w:val="center"/>
          </w:tcPr>
          <w:p>
            <w:r>
              <w:rPr>
                <w:rFonts w:ascii="Arial" w:hAnsi="Arial"/>
                <w:sz w:val="17"/>
              </w:rPr>
              <w:t>957</w:t>
            </w:r>
          </w:p>
        </w:tc>
      </w:tr>
      <w:tr>
        <w:trPr>
          <w:cantSplit/>
        </w:trPr>
        <w:tc>
          <w:tcPr>
            <w:tcW w:type="dxa" w:w="4320"/>
            <w:shd w:fill="F5F7F9"/>
            <w:tcMar>
              <w:top w:w="80" w:type="dxa"/>
              <w:start w:w="100" w:type="dxa"/>
              <w:bottom w:w="80" w:type="dxa"/>
              <w:end w:w="100" w:type="dxa"/>
            </w:tcMar>
            <w:vAlign w:val="center"/>
          </w:tcPr>
          <w:p>
            <w:r>
              <w:rPr>
                <w:rFonts w:ascii="Arial" w:hAnsi="Arial"/>
                <w:sz w:val="17"/>
              </w:rPr>
              <w:t>Duplicate match keys - A</w:t>
            </w:r>
          </w:p>
        </w:tc>
        <w:tc>
          <w:tcPr>
            <w:tcW w:type="dxa" w:w="2880"/>
            <w:shd w:fill="F5F7F9"/>
            <w:tcMar>
              <w:top w:w="80" w:type="dxa"/>
              <w:start w:w="100" w:type="dxa"/>
              <w:bottom w:w="80" w:type="dxa"/>
              <w:end w:w="100" w:type="dxa"/>
            </w:tcMar>
            <w:vAlign w:val="center"/>
          </w:tcPr>
          <w:p>
            <w:r>
              <w:rPr>
                <w:rFonts w:ascii="Arial" w:hAnsi="Arial"/>
                <w:sz w:val="17"/>
              </w:rPr>
              <w:t>0</w:t>
            </w:r>
          </w:p>
        </w:tc>
      </w:tr>
      <w:tr>
        <w:trPr>
          <w:cantSplit/>
        </w:trPr>
        <w:tc>
          <w:tcPr>
            <w:tcW w:type="dxa" w:w="4320"/>
            <w:tcMar>
              <w:top w:w="80" w:type="dxa"/>
              <w:start w:w="100" w:type="dxa"/>
              <w:bottom w:w="80" w:type="dxa"/>
              <w:end w:w="100" w:type="dxa"/>
            </w:tcMar>
            <w:vAlign w:val="center"/>
          </w:tcPr>
          <w:p>
            <w:r>
              <w:rPr>
                <w:rFonts w:ascii="Arial" w:hAnsi="Arial"/>
                <w:sz w:val="17"/>
              </w:rPr>
              <w:t>Duplicate match keys - B</w:t>
            </w:r>
          </w:p>
        </w:tc>
        <w:tc>
          <w:tcPr>
            <w:tcW w:type="dxa" w:w="2880"/>
            <w:tcMar>
              <w:top w:w="80" w:type="dxa"/>
              <w:start w:w="100" w:type="dxa"/>
              <w:bottom w:w="80" w:type="dxa"/>
              <w:end w:w="100" w:type="dxa"/>
            </w:tcMar>
            <w:vAlign w:val="center"/>
          </w:tcPr>
          <w:p>
            <w:r>
              <w:rPr>
                <w:rFonts w:ascii="Arial" w:hAnsi="Arial"/>
                <w:sz w:val="17"/>
              </w:rPr>
              <w:t>15</w:t>
            </w:r>
          </w:p>
        </w:tc>
      </w:tr>
      <w:tr>
        <w:trPr>
          <w:cantSplit/>
        </w:trPr>
        <w:tc>
          <w:tcPr>
            <w:tcW w:type="dxa" w:w="4320"/>
            <w:shd w:fill="F5F7F9"/>
            <w:tcMar>
              <w:top w:w="80" w:type="dxa"/>
              <w:start w:w="100" w:type="dxa"/>
              <w:bottom w:w="80" w:type="dxa"/>
              <w:end w:w="100" w:type="dxa"/>
            </w:tcMar>
            <w:vAlign w:val="center"/>
          </w:tcPr>
          <w:p>
            <w:r>
              <w:rPr>
                <w:rFonts w:ascii="Arial" w:hAnsi="Arial"/>
                <w:sz w:val="17"/>
              </w:rPr>
              <w:t>Duplicate match keys - C</w:t>
            </w:r>
          </w:p>
        </w:tc>
        <w:tc>
          <w:tcPr>
            <w:tcW w:type="dxa" w:w="2880"/>
            <w:shd w:fill="F5F7F9"/>
            <w:tcMar>
              <w:top w:w="80" w:type="dxa"/>
              <w:start w:w="100" w:type="dxa"/>
              <w:bottom w:w="80" w:type="dxa"/>
              <w:end w:w="100" w:type="dxa"/>
            </w:tcMar>
            <w:vAlign w:val="center"/>
          </w:tcPr>
          <w:p>
            <w:r>
              <w:rPr>
                <w:rFonts w:ascii="Arial" w:hAnsi="Arial"/>
                <w:sz w:val="17"/>
              </w:rPr>
              <w:t>45</w:t>
            </w:r>
          </w:p>
        </w:tc>
      </w:tr>
    </w:tbl>
    <w:p>
      <w:pPr>
        <w:spacing w:after="0"/>
      </w:pPr>
    </w:p>
    <w:tbl>
      <w:tblPr>
        <w:tblW w:type="auto" w:w="0"/>
        <w:jc w:val="center"/>
        <w:tblLook w:firstColumn="1" w:firstRow="1" w:lastColumn="0" w:lastRow="0" w:noHBand="0" w:noVBand="1" w:val="04A0"/>
      </w:tblPr>
      <w:tblGrid>
        <w:gridCol w:w="10166"/>
      </w:tblGrid>
      <w:tr>
        <w:tc>
          <w:tcPr>
            <w:tcW w:type="dxa" w:w="10166"/>
            <w:shd w:fill="EAF1F5"/>
            <w:tcMar>
              <w:top w:w="120" w:type="dxa"/>
              <w:start w:w="140" w:type="dxa"/>
              <w:bottom w:w="120" w:type="dxa"/>
              <w:end w:w="140" w:type="dxa"/>
            </w:tcMar>
          </w:tcPr>
          <w:p>
            <w:r>
              <w:rPr>
                <w:rFonts w:ascii="Arial" w:hAnsi="Arial"/>
                <w:b/>
                <w:color w:val="17365D"/>
                <w:sz w:val="20"/>
              </w:rPr>
              <w:t xml:space="preserve">Interpretation: </w:t>
            </w:r>
            <w:r>
              <w:rPr>
                <w:rFonts w:ascii="Arial" w:hAnsi="Arial"/>
                <w:sz w:val="20"/>
              </w:rPr>
              <w:t>The datasets are complementary rather than interchangeable. They overlap enough that blind concatenation would create duplicate movie observations, but each source also contributes substantial unique coverage.</w:t>
            </w:r>
          </w:p>
        </w:tc>
      </w:tr>
    </w:tbl>
    <w:p>
      <w:pPr>
        <w:spacing w:after="0"/>
      </w:pPr>
    </w:p>
    <w:p>
      <w:pPr>
        <w:pStyle w:val="Heading1"/>
      </w:pPr>
      <w:r>
        <w:t>6. Source Roles and Decisions</w:t>
      </w:r>
    </w:p>
    <w:tbl>
      <w:tblPr>
        <w:tblW w:type="auto" w:w="0"/>
        <w:jc w:val="center"/>
        <w:tblLayout w:type="fixed"/>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389"/>
        <w:gridCol w:w="3389"/>
        <w:gridCol w:w="3389"/>
      </w:tblGrid>
      <w:tr>
        <w:trPr>
          <w:tblHeader w:val="true"/>
          <w:cantSplit/>
        </w:trPr>
        <w:tc>
          <w:tcPr>
            <w:tcW w:type="dxa" w:w="1440"/>
            <w:shd w:fill="17365D"/>
            <w:tcMar>
              <w:top w:w="80" w:type="dxa"/>
              <w:start w:w="100" w:type="dxa"/>
              <w:bottom w:w="80" w:type="dxa"/>
              <w:end w:w="100" w:type="dxa"/>
            </w:tcMar>
            <w:vAlign w:val="center"/>
          </w:tcPr>
          <w:p>
            <w:pPr>
              <w:jc w:val="center"/>
            </w:pPr>
            <w:r>
              <w:rPr>
                <w:rFonts w:ascii="Arial" w:hAnsi="Arial"/>
                <w:b/>
                <w:color w:val="FFFFFF"/>
                <w:sz w:val="18"/>
              </w:rPr>
              <w:t>Source</w:t>
            </w:r>
          </w:p>
        </w:tc>
        <w:tc>
          <w:tcPr>
            <w:tcW w:type="dxa" w:w="2520"/>
            <w:shd w:fill="17365D"/>
            <w:tcMar>
              <w:top w:w="80" w:type="dxa"/>
              <w:start w:w="100" w:type="dxa"/>
              <w:bottom w:w="80" w:type="dxa"/>
              <w:end w:w="100" w:type="dxa"/>
            </w:tcMar>
            <w:vAlign w:val="center"/>
          </w:tcPr>
          <w:p>
            <w:pPr>
              <w:jc w:val="center"/>
            </w:pPr>
            <w:r>
              <w:rPr>
                <w:rFonts w:ascii="Arial" w:hAnsi="Arial"/>
                <w:b/>
                <w:color w:val="FFFFFF"/>
                <w:sz w:val="18"/>
              </w:rPr>
              <w:t>Primary role</w:t>
            </w:r>
          </w:p>
        </w:tc>
        <w:tc>
          <w:tcPr>
            <w:tcW w:type="dxa" w:w="4896"/>
            <w:shd w:fill="17365D"/>
            <w:tcMar>
              <w:top w:w="80" w:type="dxa"/>
              <w:start w:w="100" w:type="dxa"/>
              <w:bottom w:w="80" w:type="dxa"/>
              <w:end w:w="100" w:type="dxa"/>
            </w:tcMar>
            <w:vAlign w:val="center"/>
          </w:tcPr>
          <w:p>
            <w:pPr>
              <w:jc w:val="center"/>
            </w:pPr>
            <w:r>
              <w:rPr>
                <w:rFonts w:ascii="Arial" w:hAnsi="Arial"/>
                <w:b/>
                <w:color w:val="FFFFFF"/>
                <w:sz w:val="18"/>
              </w:rPr>
              <w:t>Reason</w:t>
            </w:r>
          </w:p>
        </w:tc>
      </w:tr>
      <w:tr>
        <w:trPr>
          <w:cantSplit/>
        </w:trPr>
        <w:tc>
          <w:tcPr>
            <w:tcW w:type="dxa" w:w="1440"/>
            <w:tcMar>
              <w:top w:w="80" w:type="dxa"/>
              <w:start w:w="100" w:type="dxa"/>
              <w:bottom w:w="80" w:type="dxa"/>
              <w:end w:w="100" w:type="dxa"/>
            </w:tcMar>
            <w:vAlign w:val="center"/>
          </w:tcPr>
          <w:p>
            <w:r>
              <w:rPr>
                <w:rFonts w:ascii="Arial" w:hAnsi="Arial"/>
                <w:sz w:val="17"/>
              </w:rPr>
              <w:t>Dataset A</w:t>
            </w:r>
          </w:p>
        </w:tc>
        <w:tc>
          <w:tcPr>
            <w:tcW w:type="dxa" w:w="2520"/>
            <w:tcMar>
              <w:top w:w="80" w:type="dxa"/>
              <w:start w:w="100" w:type="dxa"/>
              <w:bottom w:w="80" w:type="dxa"/>
              <w:end w:w="100" w:type="dxa"/>
            </w:tcMar>
            <w:vAlign w:val="center"/>
          </w:tcPr>
          <w:p>
            <w:r>
              <w:rPr>
                <w:rFonts w:ascii="Arial" w:hAnsi="Arial"/>
                <w:sz w:val="17"/>
              </w:rPr>
              <w:t>Historical financial backbone</w:t>
            </w:r>
          </w:p>
        </w:tc>
        <w:tc>
          <w:tcPr>
            <w:tcW w:type="dxa" w:w="4896"/>
            <w:tcMar>
              <w:top w:w="80" w:type="dxa"/>
              <w:start w:w="100" w:type="dxa"/>
              <w:bottom w:w="80" w:type="dxa"/>
              <w:end w:w="100" w:type="dxa"/>
            </w:tcMar>
            <w:vAlign w:val="center"/>
          </w:tcPr>
          <w:p>
            <w:r>
              <w:rPr>
                <w:rFonts w:ascii="Arial" w:hAnsi="Arial"/>
                <w:sz w:val="17"/>
              </w:rPr>
              <w:t>Best budget/revenue completeness for historical modelling.</w:t>
            </w:r>
          </w:p>
        </w:tc>
      </w:tr>
      <w:tr>
        <w:trPr>
          <w:cantSplit/>
        </w:trPr>
        <w:tc>
          <w:tcPr>
            <w:tcW w:type="dxa" w:w="1440"/>
            <w:shd w:fill="F5F7F9"/>
            <w:tcMar>
              <w:top w:w="80" w:type="dxa"/>
              <w:start w:w="100" w:type="dxa"/>
              <w:bottom w:w="80" w:type="dxa"/>
              <w:end w:w="100" w:type="dxa"/>
            </w:tcMar>
            <w:vAlign w:val="center"/>
          </w:tcPr>
          <w:p>
            <w:r>
              <w:rPr>
                <w:rFonts w:ascii="Arial" w:hAnsi="Arial"/>
                <w:sz w:val="17"/>
              </w:rPr>
              <w:t>Dataset B</w:t>
            </w:r>
          </w:p>
        </w:tc>
        <w:tc>
          <w:tcPr>
            <w:tcW w:type="dxa" w:w="2520"/>
            <w:shd w:fill="F5F7F9"/>
            <w:tcMar>
              <w:top w:w="80" w:type="dxa"/>
              <w:start w:w="100" w:type="dxa"/>
              <w:bottom w:w="80" w:type="dxa"/>
              <w:end w:w="100" w:type="dxa"/>
            </w:tcMar>
            <w:vAlign w:val="center"/>
          </w:tcPr>
          <w:p>
            <w:r>
              <w:rPr>
                <w:rFonts w:ascii="Arial" w:hAnsi="Arial"/>
                <w:sz w:val="17"/>
              </w:rPr>
              <w:t>Relational enrichment</w:t>
            </w:r>
          </w:p>
        </w:tc>
        <w:tc>
          <w:tcPr>
            <w:tcW w:type="dxa" w:w="4896"/>
            <w:shd w:fill="F5F7F9"/>
            <w:tcMar>
              <w:top w:w="80" w:type="dxa"/>
              <w:start w:w="100" w:type="dxa"/>
              <w:bottom w:w="80" w:type="dxa"/>
              <w:end w:w="100" w:type="dxa"/>
            </w:tcMar>
            <w:vAlign w:val="center"/>
          </w:tcPr>
          <w:p>
            <w:r>
              <w:rPr>
                <w:rFonts w:ascii="Arial" w:hAnsi="Arial"/>
                <w:sz w:val="17"/>
              </w:rPr>
              <w:t>Useful movie metadata and relational source structure.</w:t>
            </w:r>
          </w:p>
        </w:tc>
      </w:tr>
      <w:tr>
        <w:trPr>
          <w:cantSplit/>
        </w:trPr>
        <w:tc>
          <w:tcPr>
            <w:tcW w:type="dxa" w:w="1440"/>
            <w:tcMar>
              <w:top w:w="80" w:type="dxa"/>
              <w:start w:w="100" w:type="dxa"/>
              <w:bottom w:w="80" w:type="dxa"/>
              <w:end w:w="100" w:type="dxa"/>
            </w:tcMar>
            <w:vAlign w:val="center"/>
          </w:tcPr>
          <w:p>
            <w:r>
              <w:rPr>
                <w:rFonts w:ascii="Arial" w:hAnsi="Arial"/>
                <w:sz w:val="17"/>
              </w:rPr>
              <w:t>Dataset C</w:t>
            </w:r>
          </w:p>
        </w:tc>
        <w:tc>
          <w:tcPr>
            <w:tcW w:type="dxa" w:w="2520"/>
            <w:tcMar>
              <w:top w:w="80" w:type="dxa"/>
              <w:start w:w="100" w:type="dxa"/>
              <w:bottom w:w="80" w:type="dxa"/>
              <w:end w:w="100" w:type="dxa"/>
            </w:tcMar>
            <w:vAlign w:val="center"/>
          </w:tcPr>
          <w:p>
            <w:r>
              <w:rPr>
                <w:rFonts w:ascii="Arial" w:hAnsi="Arial"/>
                <w:sz w:val="17"/>
              </w:rPr>
              <w:t>Modern coverage and TMDB enrichment</w:t>
            </w:r>
          </w:p>
        </w:tc>
        <w:tc>
          <w:tcPr>
            <w:tcW w:type="dxa" w:w="4896"/>
            <w:tcMar>
              <w:top w:w="80" w:type="dxa"/>
              <w:start w:w="100" w:type="dxa"/>
              <w:bottom w:w="80" w:type="dxa"/>
              <w:end w:w="100" w:type="dxa"/>
            </w:tcMar>
            <w:vAlign w:val="center"/>
          </w:tcPr>
          <w:p>
            <w:r>
              <w:rPr>
                <w:rFonts w:ascii="Arial" w:hAnsi="Arial"/>
                <w:sz w:val="17"/>
              </w:rPr>
              <w:t>Large recent-movie pool and reliable movie IDs.</w:t>
            </w:r>
          </w:p>
        </w:tc>
      </w:tr>
    </w:tbl>
    <w:p>
      <w:pPr>
        <w:spacing w:after="0"/>
      </w:pPr>
    </w:p>
    <w:p>
      <w:pPr>
        <w:pStyle w:val="ListBullet"/>
      </w:pPr>
      <w:r>
        <w:t>Do not concatenate the three sources without record linkage.</w:t>
      </w:r>
    </w:p>
    <w:p>
      <w:pPr>
        <w:pStyle w:val="ListBullet"/>
      </w:pPr>
      <w:r>
        <w:t>Use movie IDs where available; otherwise use conservative title/date matching.</w:t>
      </w:r>
    </w:p>
    <w:p>
      <w:pPr>
        <w:pStyle w:val="ListBullet"/>
      </w:pPr>
      <w:r>
        <w:t>Treat TMDB zero budget/revenue values as unavailable unless independently verified.</w:t>
      </w:r>
    </w:p>
    <w:p>
      <w:pPr>
        <w:pStyle w:val="ListBullet"/>
      </w:pPr>
      <w:r>
        <w:t>Keep ambiguous same-title/same-year records for later resolution rather than deleting them automatically.</w:t>
      </w:r>
    </w:p>
    <w:p>
      <w:pPr>
        <w:pStyle w:val="ListBullet"/>
      </w:pPr>
      <w:r>
        <w:t>Prevent future/unreleased titles from leaking into historical training outcomes.</w:t>
      </w:r>
    </w:p>
    <w:p>
      <w:pPr>
        <w:pStyle w:val="Heading1"/>
      </w:pPr>
      <w:r>
        <w:t>7. Deferred / Later-Bin Work</w:t>
      </w:r>
    </w:p>
    <w:p>
      <w:r>
        <w:t>The audit intentionally stopped short of exhaustive record-by-record reconciliation. The following items were deferred because they did not block the next major project stage:</w:t>
      </w:r>
    </w:p>
    <w:p>
      <w:pPr>
        <w:pStyle w:val="ListBullet"/>
      </w:pPr>
      <w:r>
        <w:t>Manual investigation of every ambiguous title-year match.</w:t>
      </w:r>
    </w:p>
    <w:p>
      <w:pPr>
        <w:pStyle w:val="ListBullet"/>
      </w:pPr>
      <w:r>
        <w:t>Perfect reconciliation of all financial disagreements between overlapping sources.</w:t>
      </w:r>
    </w:p>
    <w:p>
      <w:pPr>
        <w:pStyle w:val="ListBullet"/>
      </w:pPr>
      <w:r>
        <w:t>Exhaustive review of unmatched TMDB rows.</w:t>
      </w:r>
    </w:p>
    <w:p>
      <w:pPr>
        <w:pStyle w:val="ListBullet"/>
      </w:pPr>
      <w:r>
        <w:t>More complex fuzzy-matching or alias-resolution logic unless later modelling exposes a material need.</w:t>
      </w:r>
    </w:p>
    <w:p>
      <w:pPr>
        <w:pStyle w:val="Heading1"/>
      </w:pPr>
      <w:r>
        <w:t>8. Validation and Stage Status</w:t>
      </w:r>
    </w:p>
    <w:p>
      <w:r>
        <w:t>The summary validation cell passed for all expected row counts, positive-budget counts, positive-revenue counts and complete financial-record counts. The source audit therefore provided a reliable basis for moving into integration and target-data collection.</w:t>
      </w:r>
    </w:p>
    <w:tbl>
      <w:tblPr>
        <w:tblW w:type="auto" w:w="0"/>
        <w:jc w:val="center"/>
        <w:tblLook w:firstColumn="1" w:firstRow="1" w:lastColumn="0" w:lastRow="0" w:noHBand="0" w:noVBand="1" w:val="04A0"/>
      </w:tblPr>
      <w:tblGrid>
        <w:gridCol w:w="10166"/>
      </w:tblGrid>
      <w:tr>
        <w:tc>
          <w:tcPr>
            <w:tcW w:type="dxa" w:w="10166"/>
            <w:shd w:fill="EAF1F5"/>
            <w:tcMar>
              <w:top w:w="120" w:type="dxa"/>
              <w:start w:w="140" w:type="dxa"/>
              <w:bottom w:w="120" w:type="dxa"/>
              <w:end w:w="140" w:type="dxa"/>
            </w:tcMar>
          </w:tcPr>
          <w:p>
            <w:r>
              <w:rPr>
                <w:rFonts w:ascii="Arial" w:hAnsi="Arial"/>
                <w:b/>
                <w:color w:val="17365D"/>
                <w:sz w:val="20"/>
              </w:rPr>
              <w:t xml:space="preserve">Stage status: </w:t>
            </w:r>
            <w:r>
              <w:rPr>
                <w:rFonts w:ascii="Arial" w:hAnsi="Arial"/>
                <w:sz w:val="20"/>
              </w:rPr>
              <w:t>Source Audit complete for the NextUp workflow. Edge cases remain documented in the Later Bin and can be revisited only if they become material to modelling quality.</w:t>
            </w:r>
          </w:p>
        </w:tc>
      </w:tr>
    </w:tbl>
    <w:p>
      <w:pPr>
        <w:spacing w:after="0"/>
      </w:pPr>
    </w:p>
    <w:p>
      <w:pPr>
        <w:pStyle w:val="Heading1"/>
      </w:pPr>
      <w:r>
        <w:t>9. Outputs</w:t>
      </w:r>
    </w:p>
    <w:p>
      <w:pPr>
        <w:pStyle w:val="ListBullet"/>
      </w:pPr>
      <w:r>
        <w:t>01_source_audit.ipynb</w:t>
      </w:r>
    </w:p>
    <w:p>
      <w:pPr>
        <w:pStyle w:val="ListBullet"/>
      </w:pPr>
      <w:r>
        <w:t>Source-audit summary outputs generated by the notebook.</w:t>
      </w:r>
    </w:p>
    <w:p>
      <w:pPr>
        <w:pStyle w:val="ListBullet"/>
      </w:pPr>
      <w:r>
        <w:t>Matching and overlap diagnostics used to guide integration decisions.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Movie Industry Predictor | Notebook 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F6F7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