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7365D"/>
          <w:sz w:val="40"/>
        </w:rPr>
        <w:t>Collection and Validation Report</w:t>
      </w:r>
    </w:p>
    <w:p>
      <w:pPr>
        <w:spacing w:after="160"/>
      </w:pPr>
      <w:r>
        <w:rPr>
          <w:rFonts w:ascii="Arial" w:hAnsi="Arial"/>
          <w:color w:val="666666"/>
          <w:sz w:val="22"/>
        </w:rPr>
        <w:t>Movie Industry Predictor | Notebooks 02-03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2F6F73"/>
          </w:tcPr>
          <w:p>
            <w:r/>
          </w:p>
        </w:tc>
      </w:tr>
    </w:tbl>
    <w:p>
      <w:pPr>
        <w:spacing w:after="0"/>
      </w:pPr>
    </w:p>
    <w:p>
      <w:pPr>
        <w:pStyle w:val="Heading1"/>
      </w:pPr>
      <w:r>
        <w:t>1. Purpose</w:t>
      </w:r>
    </w:p>
    <w:p>
      <w:r>
        <w:t>This report combines the Data Integration &amp; Cleaning stage with the Prediction Target Data Collection stage. Together, these notebooks established a consistent source structure for historical modelling and created the verified target register for the movies the project intends to backtest or predict.</w:t>
      </w:r>
    </w:p>
    <w:p>
      <w:pPr>
        <w:pStyle w:val="Heading1"/>
      </w:pPr>
      <w:r>
        <w:t>2. Data Integration &amp; Cleaning</w:t>
      </w:r>
    </w:p>
    <w:p>
      <w:pPr>
        <w:pStyle w:val="Heading2"/>
      </w:pPr>
      <w:r>
        <w:t>2.1 Integration Strategy</w:t>
      </w:r>
    </w:p>
    <w:p>
      <w:r>
        <w:t>The integration workflow standardized the three audited sources into compatible schemas before any automatic linkage. Source priority was defined by feature rather than by declaring one dataset universally superior.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88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Feature family</w:t>
            </w:r>
          </w:p>
        </w:tc>
        <w:tc>
          <w:tcPr>
            <w:tcW w:type="dxa" w:w="604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Priority / rule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Historical financial values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Dataset A first; use TMDB sources only where needed and credible.</w:t>
            </w:r>
          </w:p>
        </w:tc>
      </w:tr>
      <w:tr>
        <w:trPr>
          <w:cantSplit/>
        </w:trPr>
        <w:tc>
          <w:tcPr>
            <w:tcW w:type="dxa" w:w="2880"/>
            <w:shd w:fill="F5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Modern/TMDB metadata</w:t>
            </w:r>
          </w:p>
        </w:tc>
        <w:tc>
          <w:tcPr>
            <w:tcW w:type="dxa" w:w="6048"/>
            <w:shd w:fill="F5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Dataset C or Dataset B, depending on availability.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Identifiers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TMDB movie ID where available; otherwise normalized title/date keys.</w:t>
            </w:r>
          </w:p>
        </w:tc>
      </w:tr>
      <w:tr>
        <w:trPr>
          <w:cantSplit/>
        </w:trPr>
        <w:tc>
          <w:tcPr>
            <w:tcW w:type="dxa" w:w="2880"/>
            <w:shd w:fill="F5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Ambiguous matches</w:t>
            </w:r>
          </w:p>
        </w:tc>
        <w:tc>
          <w:tcPr>
            <w:tcW w:type="dxa" w:w="6048"/>
            <w:shd w:fill="F5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Do not merge automatically. Preserve for later review.</w:t>
            </w:r>
          </w:p>
        </w:tc>
      </w:tr>
    </w:tbl>
    <w:p>
      <w:pPr>
        <w:spacing w:after="0"/>
      </w:pPr>
    </w:p>
    <w:p>
      <w:pPr>
        <w:pStyle w:val="Heading2"/>
      </w:pPr>
      <w:r>
        <w:t>2.2 Standardization and Safe Linkage</w:t>
      </w:r>
    </w:p>
    <w:p>
      <w:r>
        <w:t>Movie titles were normalized, release years were extracted consistently, and each source was given comparable fields for title, release date, budget, revenue and source indicators. Exact title-plus-release-date keys were then introduced as a stronger secondary identifier.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72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Dataset</w:t>
            </w:r>
          </w:p>
        </w:tc>
        <w:tc>
          <w:tcPr>
            <w:tcW w:type="dxa" w:w="144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Rows</w:t>
            </w:r>
          </w:p>
        </w:tc>
        <w:tc>
          <w:tcPr>
            <w:tcW w:type="dxa" w:w="2376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Valid exact-date keys</w:t>
            </w:r>
          </w:p>
        </w:tc>
        <w:tc>
          <w:tcPr>
            <w:tcW w:type="dxa" w:w="244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Duplicate exact-date keys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7,668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7,609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1728"/>
            <w:shd w:fill="F5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B</w:t>
            </w:r>
          </w:p>
        </w:tc>
        <w:tc>
          <w:tcPr>
            <w:tcW w:type="dxa" w:w="1440"/>
            <w:shd w:fill="F5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9,771</w:t>
            </w:r>
          </w:p>
        </w:tc>
        <w:tc>
          <w:tcPr>
            <w:tcW w:type="dxa" w:w="2376"/>
            <w:shd w:fill="F5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9,708</w:t>
            </w:r>
          </w:p>
        </w:tc>
        <w:tc>
          <w:tcPr>
            <w:tcW w:type="dxa" w:w="2448"/>
            <w:shd w:fill="F5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C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17,978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17,978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0</w:t>
            </w:r>
          </w:p>
        </w:tc>
      </w:tr>
    </w:tbl>
    <w:p>
      <w:pPr>
        <w:spacing w:after="0"/>
      </w:pPr>
    </w:p>
    <w:p>
      <w:r>
        <w:t>The two-tier linkage process first matched unique title-year records and then used unique exact-date keys for remaining candidates. This increased safe cross-source coverage without requiring aggressive fuzzy matching.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432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Safe match pair</w:t>
            </w:r>
          </w:p>
        </w:tc>
        <w:tc>
          <w:tcPr>
            <w:tcW w:type="dxa" w:w="288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Matched movies</w:t>
            </w:r>
          </w:p>
        </w:tc>
      </w:tr>
      <w:tr>
        <w:trPr>
          <w:cantSplit/>
        </w:trPr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Dataset A ↔ Dataset B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2,387</w:t>
            </w:r>
          </w:p>
        </w:tc>
      </w:tr>
      <w:tr>
        <w:trPr>
          <w:cantSplit/>
        </w:trPr>
        <w:tc>
          <w:tcPr>
            <w:tcW w:type="dxa" w:w="4320"/>
            <w:shd w:fill="F5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Dataset A ↔ Dataset C</w:t>
            </w:r>
          </w:p>
        </w:tc>
        <w:tc>
          <w:tcPr>
            <w:tcW w:type="dxa" w:w="2880"/>
            <w:shd w:fill="F5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1,840</w:t>
            </w:r>
          </w:p>
        </w:tc>
      </w:tr>
      <w:tr>
        <w:trPr>
          <w:cantSplit/>
        </w:trPr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Dataset B ↔ Dataset C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3,051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1F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color w:val="17365D"/>
                <w:sz w:val="20"/>
              </w:rPr>
              <w:t xml:space="preserve">Integration decision: </w:t>
            </w:r>
            <w:r>
              <w:rPr>
                <w:rFonts w:ascii="Arial" w:hAnsi="Arial"/>
                <w:sz w:val="20"/>
              </w:rPr>
              <w:t>The project deliberately stopped before exhaustive financial reconciliation. The validated linkage rules were sufficient to unblock feature engineering, while minor edge cases were moved to the Later Bin.</w:t>
            </w:r>
          </w:p>
        </w:tc>
      </w:tr>
    </w:tbl>
    <w:p>
      <w:pPr>
        <w:spacing w:after="0"/>
      </w:pPr>
    </w:p>
    <w:p>
      <w:pPr>
        <w:pStyle w:val="Heading1"/>
      </w:pPr>
      <w:r>
        <w:t>3. Prediction Target Data Collection</w:t>
      </w:r>
    </w:p>
    <w:p>
      <w:pPr>
        <w:pStyle w:val="Heading2"/>
      </w:pPr>
      <w:r>
        <w:t>3.1 Final Target Pool</w:t>
      </w:r>
    </w:p>
    <w:p>
      <w:r>
        <w:t>The prediction register was refined from the initial candidate list to 19 active targets. The final pool contains 10 released/backtest films and 9 future prediction films.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460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Released / backtest (10)</w:t>
            </w:r>
          </w:p>
        </w:tc>
        <w:tc>
          <w:tcPr>
            <w:tcW w:type="dxa" w:w="460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Future prediction (9)</w:t>
            </w:r>
          </w:p>
        </w:tc>
      </w:tr>
      <w:tr>
        <w:trPr>
          <w:cantSplit/>
        </w:trPr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Spider-Man: Brand New Day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The Cat in the Hat</w:t>
            </w:r>
          </w:p>
        </w:tc>
      </w:tr>
      <w:tr>
        <w:trPr>
          <w:cantSplit/>
        </w:trPr>
        <w:tc>
          <w:tcPr>
            <w:tcW w:type="dxa" w:w="4608"/>
            <w:shd w:fill="F5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Michael</w:t>
            </w:r>
          </w:p>
        </w:tc>
        <w:tc>
          <w:tcPr>
            <w:tcW w:type="dxa" w:w="4608"/>
            <w:shd w:fill="F5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Dune: Part Three</w:t>
            </w:r>
          </w:p>
        </w:tc>
      </w:tr>
      <w:tr>
        <w:trPr>
          <w:cantSplit/>
        </w:trPr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The Odyssey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Avengers: Doomsday</w:t>
            </w:r>
          </w:p>
        </w:tc>
      </w:tr>
      <w:tr>
        <w:trPr>
          <w:cantSplit/>
        </w:trPr>
        <w:tc>
          <w:tcPr>
            <w:tcW w:type="dxa" w:w="4608"/>
            <w:shd w:fill="F5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Scary Movie</w:t>
            </w:r>
          </w:p>
        </w:tc>
        <w:tc>
          <w:tcPr>
            <w:tcW w:type="dxa" w:w="4608"/>
            <w:shd w:fill="F5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Shrek 5</w:t>
            </w:r>
          </w:p>
        </w:tc>
      </w:tr>
      <w:tr>
        <w:trPr>
          <w:cantSplit/>
        </w:trPr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Mortal Kombat II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Jumanji: Open World</w:t>
            </w:r>
          </w:p>
        </w:tc>
      </w:tr>
      <w:tr>
        <w:trPr>
          <w:cantSplit/>
        </w:trPr>
        <w:tc>
          <w:tcPr>
            <w:tcW w:type="dxa" w:w="4608"/>
            <w:shd w:fill="F5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The Super Mario Galaxy Movie</w:t>
            </w:r>
          </w:p>
        </w:tc>
        <w:tc>
          <w:tcPr>
            <w:tcW w:type="dxa" w:w="4608"/>
            <w:shd w:fill="F5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Street Fighter</w:t>
            </w:r>
          </w:p>
        </w:tc>
      </w:tr>
      <w:tr>
        <w:trPr>
          <w:cantSplit/>
        </w:trPr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The Devil Wears Prada 2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The Batman Part II</w:t>
            </w:r>
          </w:p>
        </w:tc>
      </w:tr>
      <w:tr>
        <w:trPr>
          <w:cantSplit/>
        </w:trPr>
        <w:tc>
          <w:tcPr>
            <w:tcW w:type="dxa" w:w="4608"/>
            <w:shd w:fill="F5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Toy Story 5</w:t>
            </w:r>
          </w:p>
        </w:tc>
        <w:tc>
          <w:tcPr>
            <w:tcW w:type="dxa" w:w="4608"/>
            <w:shd w:fill="F5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Spider-Man: Beyond the Spider-Verse</w:t>
            </w:r>
          </w:p>
        </w:tc>
      </w:tr>
      <w:tr>
        <w:trPr>
          <w:cantSplit/>
        </w:trPr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GOAT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Children of Blood and Bone</w:t>
            </w:r>
          </w:p>
        </w:tc>
      </w:tr>
      <w:tr>
        <w:trPr>
          <w:cantSplit/>
        </w:trPr>
        <w:tc>
          <w:tcPr>
            <w:tcW w:type="dxa" w:w="4608"/>
            <w:shd w:fill="F5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Backrooms</w:t>
            </w:r>
          </w:p>
        </w:tc>
        <w:tc>
          <w:tcPr>
            <w:tcW w:type="dxa" w:w="4608"/>
            <w:shd w:fill="F5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3.2 Excluded Targets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456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Title</w:t>
            </w:r>
          </w:p>
        </w:tc>
        <w:tc>
          <w:tcPr>
            <w:tcW w:type="dxa" w:w="576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Reason for exclusion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Narnia</w:t>
            </w:r>
          </w:p>
        </w:tc>
        <w:tc>
          <w:tcPr>
            <w:tcW w:type="dxa" w:w="5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Netflix-linked release strategy and limited ability to compare clean theatrical success.</w:t>
            </w:r>
          </w:p>
        </w:tc>
      </w:tr>
      <w:tr>
        <w:trPr>
          <w:cantSplit/>
        </w:trPr>
        <w:tc>
          <w:tcPr>
            <w:tcW w:type="dxa" w:w="3456"/>
            <w:shd w:fill="F5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Untitled Paranormal Activity film</w:t>
            </w:r>
          </w:p>
        </w:tc>
        <w:tc>
          <w:tcPr>
            <w:tcW w:type="dxa" w:w="5760"/>
            <w:shd w:fill="F5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Insufficient verified information for a robust pre-release target record.</w:t>
            </w:r>
          </w:p>
        </w:tc>
      </w:tr>
      <w:tr>
        <w:trPr>
          <w:cantSplit/>
        </w:trPr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Star Wars: The Mandalorian and Grogu</w:t>
            </w:r>
          </w:p>
        </w:tc>
        <w:tc>
          <w:tcPr>
            <w:tcW w:type="dxa" w:w="5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Streaming/platform distribution and limited comparable information for the intended theatrical-success framework.</w:t>
            </w:r>
          </w:p>
        </w:tc>
      </w:tr>
    </w:tbl>
    <w:p>
      <w:pPr>
        <w:spacing w:after="0"/>
      </w:pPr>
    </w:p>
    <w:p>
      <w:pPr>
        <w:pStyle w:val="Heading2"/>
      </w:pPr>
      <w:r>
        <w:t>3.3 Fields Collected</w:t>
      </w:r>
    </w:p>
    <w:p>
      <w:pPr>
        <w:pStyle w:val="ListBullet"/>
      </w:pPr>
      <w:r>
        <w:t>Official/current title and release date.</w:t>
      </w:r>
    </w:p>
    <w:p>
      <w:pPr>
        <w:pStyle w:val="ListBullet"/>
      </w:pPr>
      <w:r>
        <w:t>Studio/distributor and production company.</w:t>
      </w:r>
    </w:p>
    <w:p>
      <w:pPr>
        <w:pStyle w:val="ListBullet"/>
      </w:pPr>
      <w:r>
        <w:t>Budget where credibly reported, with reported/estimated/unknown status.</w:t>
      </w:r>
    </w:p>
    <w:p>
      <w:pPr>
        <w:pStyle w:val="ListBullet"/>
      </w:pPr>
      <w:r>
        <w:t>Genre, director and principal cast.</w:t>
      </w:r>
    </w:p>
    <w:p>
      <w:pPr>
        <w:pStyle w:val="ListBullet"/>
      </w:pPr>
      <w:r>
        <w:t>Existing-IP, franchise and sequel status.</w:t>
      </w:r>
    </w:p>
    <w:p>
      <w:pPr>
        <w:pStyle w:val="ListBullet"/>
      </w:pPr>
      <w:r>
        <w:t>Previous relevant theatrical film and franchise-gap years.</w:t>
      </w:r>
    </w:p>
    <w:p>
      <w:pPr>
        <w:pStyle w:val="ListBullet"/>
      </w:pPr>
      <w:r>
        <w:t>Worldwide box-office outcome for released/backtest films.</w:t>
      </w:r>
    </w:p>
    <w:p>
      <w:pPr>
        <w:pStyle w:val="ListBullet"/>
      </w:pPr>
      <w:r>
        <w:t>Director and cast historical track-record measures.</w:t>
      </w:r>
    </w:p>
    <w:p>
      <w:pPr>
        <w:pStyle w:val="ListBullet"/>
      </w:pPr>
      <w:r>
        <w:t>Pre-release sentiment snapshot and audience-interest proxy, both retained as candidate features rather than automatically included in the ML model.</w:t>
      </w:r>
    </w:p>
    <w:p>
      <w:pPr>
        <w:pStyle w:val="Heading1"/>
      </w:pPr>
      <w:r>
        <w:t>4. Source and Validation Strategy</w:t>
      </w:r>
    </w:p>
    <w:p>
      <w:pPr>
        <w:pStyle w:val="Heading2"/>
      </w:pPr>
      <w:r>
        <w:t>4.1 Source Hierarchy</w:t>
      </w:r>
    </w:p>
    <w:p>
      <w:r>
        <w:t>The collection notebook did not restrict itself to the existing CSV datasets. Each target was researched using the strongest available external evidence, with the following hierarchy:</w:t>
      </w:r>
    </w:p>
    <w:p>
      <w:pPr>
        <w:pStyle w:val="ListBullet"/>
      </w:pPr>
      <w:r>
        <w:t>1. Official studio, distributor, production-company or franchise website.</w:t>
      </w:r>
    </w:p>
    <w:p>
      <w:pPr>
        <w:pStyle w:val="ListBullet"/>
      </w:pPr>
      <w:r>
        <w:t>2. Reputable entertainment trade publication.</w:t>
      </w:r>
    </w:p>
    <w:p>
      <w:pPr>
        <w:pStyle w:val="ListBullet"/>
      </w:pPr>
      <w:r>
        <w:t>3. Credible box-office or film database where official information was unavailable.</w:t>
      </w:r>
    </w:p>
    <w:p>
      <w:pPr>
        <w:pStyle w:val="ListBullet"/>
      </w:pPr>
      <w:r>
        <w:t>4. If reliable evidence remained unavailable, the value was left missing rather than invented.</w:t>
      </w:r>
    </w:p>
    <w:p>
      <w:pPr>
        <w:pStyle w:val="Heading2"/>
      </w:pPr>
      <w:r>
        <w:t>4.2 Website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23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Website</w:t>
            </w:r>
          </w:p>
        </w:tc>
        <w:tc>
          <w:tcPr>
            <w:tcW w:type="dxa" w:w="388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URL</w:t>
            </w:r>
          </w:p>
        </w:tc>
        <w:tc>
          <w:tcPr>
            <w:tcW w:type="dxa" w:w="3456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Use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Sony Pictures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https://www.sonypictures.com/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Official studio / release information</w:t>
            </w:r>
          </w:p>
        </w:tc>
      </w:tr>
      <w:tr>
        <w:trPr>
          <w:cantSplit/>
        </w:trPr>
        <w:tc>
          <w:tcPr>
            <w:tcW w:type="dxa" w:w="2232"/>
            <w:shd w:fill="F5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Sony Pictures Animation</w:t>
            </w:r>
          </w:p>
        </w:tc>
        <w:tc>
          <w:tcPr>
            <w:tcW w:type="dxa" w:w="3888"/>
            <w:shd w:fill="F5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https://www.sonypicturesanimation.com/</w:t>
            </w:r>
          </w:p>
        </w:tc>
        <w:tc>
          <w:tcPr>
            <w:tcW w:type="dxa" w:w="3456"/>
            <w:shd w:fill="F5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Official animation studio information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Disney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https://www.disney.com/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Official release information</w:t>
            </w:r>
          </w:p>
        </w:tc>
      </w:tr>
      <w:tr>
        <w:trPr>
          <w:cantSplit/>
        </w:trPr>
        <w:tc>
          <w:tcPr>
            <w:tcW w:type="dxa" w:w="2232"/>
            <w:shd w:fill="F5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Marvel</w:t>
            </w:r>
          </w:p>
        </w:tc>
        <w:tc>
          <w:tcPr>
            <w:tcW w:type="dxa" w:w="3888"/>
            <w:shd w:fill="F5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https://www.marvel.com/</w:t>
            </w:r>
          </w:p>
        </w:tc>
        <w:tc>
          <w:tcPr>
            <w:tcW w:type="dxa" w:w="3456"/>
            <w:shd w:fill="F5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Official franchise information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Pixar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https://www.pixar.com/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Official animation / franchise information</w:t>
            </w:r>
          </w:p>
        </w:tc>
      </w:tr>
      <w:tr>
        <w:trPr>
          <w:cantSplit/>
        </w:trPr>
        <w:tc>
          <w:tcPr>
            <w:tcW w:type="dxa" w:w="2232"/>
            <w:shd w:fill="F5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20th Century Studios</w:t>
            </w:r>
          </w:p>
        </w:tc>
        <w:tc>
          <w:tcPr>
            <w:tcW w:type="dxa" w:w="3888"/>
            <w:shd w:fill="F5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https://www.20thcenturystudios.com/</w:t>
            </w:r>
          </w:p>
        </w:tc>
        <w:tc>
          <w:tcPr>
            <w:tcW w:type="dxa" w:w="3456"/>
            <w:shd w:fill="F5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Official studio information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Universal Pictures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https://www.universalpictures.com/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Official studio information</w:t>
            </w:r>
          </w:p>
        </w:tc>
      </w:tr>
      <w:tr>
        <w:trPr>
          <w:cantSplit/>
        </w:trPr>
        <w:tc>
          <w:tcPr>
            <w:tcW w:type="dxa" w:w="2232"/>
            <w:shd w:fill="F5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DreamWorks</w:t>
            </w:r>
          </w:p>
        </w:tc>
        <w:tc>
          <w:tcPr>
            <w:tcW w:type="dxa" w:w="3888"/>
            <w:shd w:fill="F5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https://www.dreamworks.com/</w:t>
            </w:r>
          </w:p>
        </w:tc>
        <w:tc>
          <w:tcPr>
            <w:tcW w:type="dxa" w:w="3456"/>
            <w:shd w:fill="F5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Official animation / franchise information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Warner Bros.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https://www.warnerbros.com/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Official studio information</w:t>
            </w:r>
          </w:p>
        </w:tc>
      </w:tr>
      <w:tr>
        <w:trPr>
          <w:cantSplit/>
        </w:trPr>
        <w:tc>
          <w:tcPr>
            <w:tcW w:type="dxa" w:w="2232"/>
            <w:shd w:fill="F5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DC</w:t>
            </w:r>
          </w:p>
        </w:tc>
        <w:tc>
          <w:tcPr>
            <w:tcW w:type="dxa" w:w="3888"/>
            <w:shd w:fill="F5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https://www.dc.com/</w:t>
            </w:r>
          </w:p>
        </w:tc>
        <w:tc>
          <w:tcPr>
            <w:tcW w:type="dxa" w:w="3456"/>
            <w:shd w:fill="F5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Official franchise information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Paramount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https://www.paramount.com/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Official studio information</w:t>
            </w:r>
          </w:p>
        </w:tc>
      </w:tr>
      <w:tr>
        <w:trPr>
          <w:cantSplit/>
        </w:trPr>
        <w:tc>
          <w:tcPr>
            <w:tcW w:type="dxa" w:w="2232"/>
            <w:shd w:fill="F5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Legendary</w:t>
            </w:r>
          </w:p>
        </w:tc>
        <w:tc>
          <w:tcPr>
            <w:tcW w:type="dxa" w:w="3888"/>
            <w:shd w:fill="F5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https://www.legendary.com/</w:t>
            </w:r>
          </w:p>
        </w:tc>
        <w:tc>
          <w:tcPr>
            <w:tcW w:type="dxa" w:w="3456"/>
            <w:shd w:fill="F5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Official production information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Nintendo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https://www.nintendo.com/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Official franchise / release information</w:t>
            </w:r>
          </w:p>
        </w:tc>
      </w:tr>
      <w:tr>
        <w:trPr>
          <w:cantSplit/>
        </w:trPr>
        <w:tc>
          <w:tcPr>
            <w:tcW w:type="dxa" w:w="2232"/>
            <w:shd w:fill="F5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A24</w:t>
            </w:r>
          </w:p>
        </w:tc>
        <w:tc>
          <w:tcPr>
            <w:tcW w:type="dxa" w:w="3888"/>
            <w:shd w:fill="F5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https://a24films.com/</w:t>
            </w:r>
          </w:p>
        </w:tc>
        <w:tc>
          <w:tcPr>
            <w:tcW w:type="dxa" w:w="3456"/>
            <w:shd w:fill="F5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Official studio information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Lionsgate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https://www.lionsgate.com/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Official studio information</w:t>
            </w:r>
          </w:p>
        </w:tc>
      </w:tr>
      <w:tr>
        <w:trPr>
          <w:cantSplit/>
        </w:trPr>
        <w:tc>
          <w:tcPr>
            <w:tcW w:type="dxa" w:w="2232"/>
            <w:shd w:fill="F5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STARZ</w:t>
            </w:r>
          </w:p>
        </w:tc>
        <w:tc>
          <w:tcPr>
            <w:tcW w:type="dxa" w:w="3888"/>
            <w:shd w:fill="F5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https://www.starz.com/</w:t>
            </w:r>
          </w:p>
        </w:tc>
        <w:tc>
          <w:tcPr>
            <w:tcW w:type="dxa" w:w="3456"/>
            <w:shd w:fill="F5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Distributor / title information where used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Variety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https://variety.com/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Trade reporting, casting, reactions and production news</w:t>
            </w:r>
          </w:p>
        </w:tc>
      </w:tr>
      <w:tr>
        <w:trPr>
          <w:cantSplit/>
        </w:trPr>
        <w:tc>
          <w:tcPr>
            <w:tcW w:type="dxa" w:w="2232"/>
            <w:shd w:fill="F5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The Numbers</w:t>
            </w:r>
          </w:p>
        </w:tc>
        <w:tc>
          <w:tcPr>
            <w:tcW w:type="dxa" w:w="3888"/>
            <w:shd w:fill="F5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https://www.the-numbers.com/</w:t>
            </w:r>
          </w:p>
        </w:tc>
        <w:tc>
          <w:tcPr>
            <w:tcW w:type="dxa" w:w="3456"/>
            <w:shd w:fill="F5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Box-office and budget reference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Rotten Tomatoes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https://www.rottentomatoes.com/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Secondary genre / company cross-check</w:t>
            </w:r>
          </w:p>
        </w:tc>
      </w:tr>
      <w:tr>
        <w:trPr>
          <w:cantSplit/>
        </w:trPr>
        <w:tc>
          <w:tcPr>
            <w:tcW w:type="dxa" w:w="2232"/>
            <w:shd w:fill="F5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IMDb</w:t>
            </w:r>
          </w:p>
        </w:tc>
        <w:tc>
          <w:tcPr>
            <w:tcW w:type="dxa" w:w="3888"/>
            <w:shd w:fill="F5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https://www.imdb.com/</w:t>
            </w:r>
          </w:p>
        </w:tc>
        <w:tc>
          <w:tcPr>
            <w:tcW w:type="dxa" w:w="3456"/>
            <w:shd w:fill="F5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Secondary credits cross-check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Entertainment Weekly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https://ew.com/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Trade/entertainment reporting</w:t>
            </w:r>
          </w:p>
        </w:tc>
      </w:tr>
      <w:tr>
        <w:trPr>
          <w:cantSplit/>
        </w:trPr>
        <w:tc>
          <w:tcPr>
            <w:tcW w:type="dxa" w:w="2232"/>
            <w:shd w:fill="F5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TheWrap</w:t>
            </w:r>
          </w:p>
        </w:tc>
        <w:tc>
          <w:tcPr>
            <w:tcW w:type="dxa" w:w="3888"/>
            <w:shd w:fill="F5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https://www.thewrap.com/</w:t>
            </w:r>
          </w:p>
        </w:tc>
        <w:tc>
          <w:tcPr>
            <w:tcW w:type="dxa" w:w="3456"/>
            <w:shd w:fill="F5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Trade reporting / preview coverage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GamesRadar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https://www.gamesradar.com/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Trailer / audience-reaction coverage where used</w:t>
            </w:r>
          </w:p>
        </w:tc>
      </w:tr>
      <w:tr>
        <w:trPr>
          <w:cantSplit/>
        </w:trPr>
        <w:tc>
          <w:tcPr>
            <w:tcW w:type="dxa" w:w="2232"/>
            <w:shd w:fill="F5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ComingSoon</w:t>
            </w:r>
          </w:p>
        </w:tc>
        <w:tc>
          <w:tcPr>
            <w:tcW w:type="dxa" w:w="3888"/>
            <w:shd w:fill="F5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https://www.comingsoon.net/</w:t>
            </w:r>
          </w:p>
        </w:tc>
        <w:tc>
          <w:tcPr>
            <w:tcW w:type="dxa" w:w="3456"/>
            <w:shd w:fill="F5F7F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Trailer / audience-reaction coverage where used</w:t>
            </w:r>
          </w:p>
        </w:tc>
      </w:tr>
    </w:tbl>
    <w:p>
      <w:pPr>
        <w:spacing w:after="0"/>
      </w:pPr>
    </w:p>
    <w:p>
      <w:r>
        <w:t>Movie-level source fields and URLs were also stored in the target dataset/source register so the final project report can trace individual claims back to their source.</w:t>
      </w:r>
    </w:p>
    <w:p>
      <w:pPr>
        <w:pStyle w:val="Heading1"/>
      </w:pPr>
      <w:r>
        <w:t>5. Validation Rules</w:t>
      </w:r>
    </w:p>
    <w:p>
      <w:pPr>
        <w:pStyle w:val="ListBullet"/>
      </w:pPr>
      <w:r>
        <w:t>Unknown values remain missing rather than being fabricated.</w:t>
      </w:r>
    </w:p>
    <w:p>
      <w:pPr>
        <w:pStyle w:val="ListBullet"/>
      </w:pPr>
      <w:r>
        <w:t>Budget provenance distinguishes reported, provisional/estimated and unknown values.</w:t>
      </w:r>
    </w:p>
    <w:p>
      <w:pPr>
        <w:pStyle w:val="ListBullet"/>
      </w:pPr>
      <w:r>
        <w:t>Future prediction films contain no worldwide box-office outcome, preventing direct target leakage.</w:t>
      </w:r>
    </w:p>
    <w:p>
      <w:pPr>
        <w:pStyle w:val="ListBullet"/>
      </w:pPr>
      <w:r>
        <w:t>Released/backtest box-office outcomes are stored separately from pre-release predictor fields.</w:t>
      </w:r>
    </w:p>
    <w:p>
      <w:pPr>
        <w:pStyle w:val="ListBullet"/>
      </w:pPr>
      <w:r>
        <w:t>Sentiment and audience-interest variables are candidate features only until comparable historical versions are available.</w:t>
      </w:r>
    </w:p>
    <w:p>
      <w:pPr>
        <w:pStyle w:val="ListBullet"/>
      </w:pPr>
      <w:r>
        <w:t>Target titles are unique and divided explicitly into released/backtest and future-prediction cohorts.</w:t>
      </w:r>
    </w:p>
    <w:p>
      <w:pPr>
        <w:pStyle w:val="Heading1"/>
      </w:pPr>
      <w:r>
        <w:t>6. Outputs</w:t>
      </w:r>
    </w:p>
    <w:p>
      <w:pPr>
        <w:pStyle w:val="ListBullet"/>
      </w:pPr>
      <w:r>
        <w:t>02_data_integration_and_cleaning.ipynb</w:t>
      </w:r>
    </w:p>
    <w:p>
      <w:pPr>
        <w:pStyle w:val="ListBullet"/>
      </w:pPr>
      <w:r>
        <w:t>03_prediction_target_data_collection.ipynb</w:t>
      </w:r>
    </w:p>
    <w:p>
      <w:pPr>
        <w:pStyle w:val="ListBullet"/>
      </w:pPr>
      <w:r>
        <w:t>prediction_targets_complete.csv</w:t>
      </w:r>
    </w:p>
    <w:p>
      <w:pPr>
        <w:pStyle w:val="ListBullet"/>
      </w:pPr>
      <w:r>
        <w:t>prediction_target_source_register.csv</w:t>
      </w:r>
    </w:p>
    <w:p>
      <w:pPr>
        <w:pStyle w:val="ListBullet"/>
      </w:pPr>
      <w:r>
        <w:t>Collection and Validation Report (this document)</w:t>
      </w:r>
    </w:p>
    <w:p>
      <w:pPr>
        <w:pStyle w:val="Heading1"/>
      </w:pPr>
      <w:r>
        <w:t>7. Later Bin</w:t>
      </w:r>
    </w:p>
    <w:p>
      <w:r>
        <w:t>The following work was intentionally deferred because it did not block feature engineering or modelling:</w:t>
      </w:r>
    </w:p>
    <w:p>
      <w:pPr>
        <w:pStyle w:val="ListBullet"/>
      </w:pPr>
      <w:r>
        <w:t>Exhaustive manual reconciliation of every ambiguous cross-source movie match.</w:t>
      </w:r>
    </w:p>
    <w:p>
      <w:pPr>
        <w:pStyle w:val="ListBullet"/>
      </w:pPr>
      <w:r>
        <w:t>Perfect normalization of production-company aliases.</w:t>
      </w:r>
    </w:p>
    <w:p>
      <w:pPr>
        <w:pStyle w:val="ListBullet"/>
      </w:pPr>
      <w:r>
        <w:t>Additional low-confidence target movies with insufficient information.</w:t>
      </w:r>
    </w:p>
    <w:p>
      <w:pPr>
        <w:pStyle w:val="ListBullet"/>
      </w:pPr>
      <w:r>
        <w:t>Historical reconstruction of sentiment and social-interest features unless model development shows they are worth the effort.</w:t>
      </w:r>
    </w:p>
    <w:p>
      <w:pPr>
        <w:pStyle w:val="ListBullet"/>
      </w:pPr>
      <w:r>
        <w:t>Further target-data refreshes unless release dates, budgets, casts or other material pre-release information changes.</w:t>
      </w:r>
    </w:p>
    <w:p>
      <w:pPr>
        <w:pStyle w:val="Heading1"/>
      </w:pPr>
      <w:r>
        <w:t>8. Stage Status and NextUp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1F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color w:val="17365D"/>
                <w:sz w:val="20"/>
              </w:rPr>
              <w:t xml:space="preserve">Stage status: </w:t>
            </w:r>
            <w:r>
              <w:rPr>
                <w:rFonts w:ascii="Arial" w:hAnsi="Arial"/>
                <w:sz w:val="20"/>
              </w:rPr>
              <w:t>Data Integration &amp; Cleaning and Prediction Target Data Collection are complete for the current NextUp workflow. The project has sufficient validated historical structure and a defined 19-movie target pool to proceed into Feature Engineering and subsequent EDA/model development.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>Movie Industry Predictor | Notebooks 02-03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2632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F6F7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