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40"/>
        </w:rPr>
        <w:t>Feature Engineering Report</w:t>
      </w:r>
    </w:p>
    <w:p>
      <w:pPr>
        <w:spacing w:after="240"/>
        <w:jc w:val="center"/>
      </w:pPr>
      <w:r>
        <w:rPr>
          <w:rFonts w:ascii="Arial" w:hAnsi="Arial"/>
          <w:i/>
          <w:sz w:val="22"/>
        </w:rPr>
        <w:t>Movie Industry Predictor | Notebook 04</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E7E6E6"/>
          </w:tcPr>
          <w:p>
            <w:r/>
            <w:r>
              <w:rPr>
                <w:rFonts w:ascii="Arial" w:hAnsi="Arial"/>
                <w:b/>
                <w:sz w:val="18"/>
              </w:rPr>
              <w:t>Project</w:t>
            </w:r>
          </w:p>
        </w:tc>
        <w:tc>
          <w:tcPr>
            <w:tcW w:type="dxa" w:w="6912"/>
            <w:vAlign w:val="center"/>
          </w:tcPr>
          <w:p>
            <w:r/>
            <w:r>
              <w:rPr>
                <w:rFonts w:ascii="Arial" w:hAnsi="Arial"/>
                <w:b w:val="0"/>
                <w:sz w:val="18"/>
              </w:rPr>
              <w:t>Predicting Movie Box Office Success Using Machine Learning</w:t>
            </w:r>
          </w:p>
        </w:tc>
      </w:tr>
      <w:tr>
        <w:tc>
          <w:tcPr>
            <w:tcW w:type="dxa" w:w="3024"/>
            <w:vAlign w:val="center"/>
            <w:shd w:fill="E7E6E6"/>
          </w:tcPr>
          <w:p>
            <w:r/>
            <w:r>
              <w:rPr>
                <w:rFonts w:ascii="Arial" w:hAnsi="Arial"/>
                <w:b/>
                <w:sz w:val="18"/>
              </w:rPr>
              <w:t>Stage</w:t>
            </w:r>
          </w:p>
        </w:tc>
        <w:tc>
          <w:tcPr>
            <w:tcW w:type="dxa" w:w="6912"/>
            <w:vAlign w:val="center"/>
          </w:tcPr>
          <w:p>
            <w:r/>
            <w:r>
              <w:rPr>
                <w:rFonts w:ascii="Arial" w:hAnsi="Arial"/>
                <w:b w:val="0"/>
                <w:sz w:val="18"/>
              </w:rPr>
              <w:t>Feature Engineering</w:t>
            </w:r>
          </w:p>
        </w:tc>
      </w:tr>
      <w:tr>
        <w:tc>
          <w:tcPr>
            <w:tcW w:type="dxa" w:w="3024"/>
            <w:vAlign w:val="center"/>
            <w:shd w:fill="E7E6E6"/>
          </w:tcPr>
          <w:p>
            <w:r/>
            <w:r>
              <w:rPr>
                <w:rFonts w:ascii="Arial" w:hAnsi="Arial"/>
                <w:b/>
                <w:sz w:val="18"/>
              </w:rPr>
              <w:t>Technologies</w:t>
            </w:r>
          </w:p>
        </w:tc>
        <w:tc>
          <w:tcPr>
            <w:tcW w:type="dxa" w:w="6912"/>
            <w:vAlign w:val="center"/>
          </w:tcPr>
          <w:p>
            <w:r/>
            <w:r>
              <w:rPr>
                <w:rFonts w:ascii="Arial" w:hAnsi="Arial"/>
                <w:b w:val="0"/>
                <w:sz w:val="18"/>
              </w:rPr>
              <w:t>Python, pandas, NumPy, SQLite, SQL</w:t>
            </w:r>
          </w:p>
        </w:tc>
      </w:tr>
      <w:tr>
        <w:tc>
          <w:tcPr>
            <w:tcW w:type="dxa" w:w="3024"/>
            <w:vAlign w:val="center"/>
            <w:shd w:fill="E7E6E6"/>
          </w:tcPr>
          <w:p>
            <w:r/>
            <w:r>
              <w:rPr>
                <w:rFonts w:ascii="Arial" w:hAnsi="Arial"/>
                <w:b/>
                <w:sz w:val="18"/>
              </w:rPr>
              <w:t>Status</w:t>
            </w:r>
          </w:p>
        </w:tc>
        <w:tc>
          <w:tcPr>
            <w:tcW w:type="dxa" w:w="6912"/>
            <w:vAlign w:val="center"/>
          </w:tcPr>
          <w:p>
            <w:r/>
            <w:r>
              <w:rPr>
                <w:rFonts w:ascii="Arial" w:hAnsi="Arial"/>
                <w:b w:val="0"/>
                <w:sz w:val="18"/>
              </w:rPr>
              <w:t>In progress - documentation will be finalized when Notebook 04 is complete</w:t>
            </w:r>
          </w:p>
        </w:tc>
      </w:tr>
    </w:tbl>
    <w:p/>
    <w:p>
      <w:pPr>
        <w:pStyle w:val="Heading1"/>
      </w:pPr>
      <w:r>
        <w:rPr>
          <w:rFonts w:ascii="Arial" w:hAnsi="Arial"/>
          <w:sz w:val="28"/>
        </w:rPr>
        <w:t>1. Purpose</w:t>
      </w:r>
    </w:p>
    <w:p>
      <w:pPr>
        <w:spacing w:after="120" w:line="259" w:lineRule="auto"/>
      </w:pPr>
      <w:r>
        <w:rPr>
          <w:rFonts w:ascii="Arial" w:hAnsi="Arial"/>
          <w:sz w:val="20"/>
        </w:rPr>
        <w:t>The purpose of the feature engineering stage is to transform the historical movie dataset and the selected prediction-target dataset into a consistent, leakage-safe set of pre-release variables suitable for machine-learning models. The central rule is that a feature may enter the primary model only when it can be constructed in a comparable way for both historical training movies and future prediction targets.</w:t>
      </w:r>
    </w:p>
    <w:p>
      <w:pPr>
        <w:pStyle w:val="Heading1"/>
      </w:pPr>
      <w:r>
        <w:rPr>
          <w:rFonts w:ascii="Arial" w:hAnsi="Arial"/>
          <w:sz w:val="28"/>
        </w:rPr>
        <w:t>2. Feature Engineering Design</w:t>
      </w:r>
    </w:p>
    <w:p>
      <w:pPr>
        <w:spacing w:after="120" w:line="259" w:lineRule="auto"/>
      </w:pPr>
      <w:r>
        <w:rPr>
          <w:rFonts w:ascii="Arial" w:hAnsi="Arial"/>
          <w:sz w:val="20"/>
        </w:rPr>
        <w:t>The workflow combines Python and SQLite. Python is used for cleaning, normalization, schema preparation and transformations. SQLite is used where relational operations add value, particularly for historical performance features that require self-joins across earlier films.</w:t>
      </w:r>
    </w:p>
    <w:p>
      <w:pPr>
        <w:pStyle w:val="ListBullet"/>
        <w:spacing w:after="40"/>
      </w:pPr>
      <w:r>
        <w:rPr>
          <w:rFonts w:ascii="Arial" w:hAnsi="Arial"/>
          <w:sz w:val="20"/>
        </w:rPr>
        <w:t>Historical and prediction-target schemas are built separately and then aligned.</w:t>
      </w:r>
    </w:p>
    <w:p>
      <w:pPr>
        <w:pStyle w:val="ListBullet"/>
        <w:spacing w:after="40"/>
      </w:pPr>
      <w:r>
        <w:rPr>
          <w:rFonts w:ascii="Arial" w:hAnsi="Arial"/>
          <w:sz w:val="20"/>
        </w:rPr>
        <w:t>Only information available before a movie release is used as a predictor.</w:t>
      </w:r>
    </w:p>
    <w:p>
      <w:pPr>
        <w:pStyle w:val="ListBullet"/>
        <w:spacing w:after="40"/>
      </w:pPr>
      <w:r>
        <w:rPr>
          <w:rFonts w:ascii="Arial" w:hAnsi="Arial"/>
          <w:sz w:val="20"/>
        </w:rPr>
        <w:t>Historical performance features use earlier films only to prevent target leakage.</w:t>
      </w:r>
    </w:p>
    <w:p>
      <w:pPr>
        <w:pStyle w:val="ListBullet"/>
        <w:spacing w:after="40"/>
      </w:pPr>
      <w:r>
        <w:rPr>
          <w:rFonts w:ascii="Arial" w:hAnsi="Arial"/>
          <w:sz w:val="20"/>
        </w:rPr>
        <w:t>Missing-value imputation is deferred to the modelling pipeline and learned from training data only.</w:t>
      </w:r>
    </w:p>
    <w:p>
      <w:pPr>
        <w:pStyle w:val="Heading1"/>
      </w:pPr>
      <w:r>
        <w:rPr>
          <w:rFonts w:ascii="Arial" w:hAnsi="Arial"/>
          <w:sz w:val="28"/>
        </w:rPr>
        <w:t>3. Core Features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Feature</w:t>
            </w:r>
          </w:p>
        </w:tc>
        <w:tc>
          <w:tcPr>
            <w:tcW w:type="dxa" w:w="4968"/>
            <w:vAlign w:val="center"/>
            <w:shd w:fill="D9EAF7"/>
          </w:tcPr>
          <w:p>
            <w:r/>
            <w:r>
              <w:rPr>
                <w:rFonts w:ascii="Arial" w:hAnsi="Arial"/>
                <w:b/>
                <w:sz w:val="18"/>
              </w:rPr>
              <w:t>Engineering Approach</w:t>
            </w:r>
          </w:p>
        </w:tc>
      </w:tr>
      <w:tr>
        <w:tc>
          <w:tcPr>
            <w:tcW w:type="dxa" w:w="4968"/>
            <w:vAlign w:val="center"/>
          </w:tcPr>
          <w:p>
            <w:r/>
            <w:r>
              <w:rPr>
                <w:rFonts w:ascii="Arial" w:hAnsi="Arial"/>
                <w:b/>
                <w:sz w:val="18"/>
              </w:rPr>
              <w:t>Budget</w:t>
            </w:r>
          </w:p>
        </w:tc>
        <w:tc>
          <w:tcPr>
            <w:tcW w:type="dxa" w:w="4968"/>
            <w:vAlign w:val="center"/>
          </w:tcPr>
          <w:p>
            <w:r/>
            <w:r>
              <w:rPr>
                <w:rFonts w:ascii="Arial" w:hAnsi="Arial"/>
                <w:b w:val="0"/>
                <w:sz w:val="18"/>
              </w:rPr>
              <w:t>Production budget is retained as a key predictor and transformed with log1p to reduce skew.</w:t>
            </w:r>
          </w:p>
        </w:tc>
      </w:tr>
      <w:tr>
        <w:tc>
          <w:tcPr>
            <w:tcW w:type="dxa" w:w="4968"/>
            <w:vAlign w:val="center"/>
          </w:tcPr>
          <w:p>
            <w:r/>
            <w:r>
              <w:rPr>
                <w:rFonts w:ascii="Arial" w:hAnsi="Arial"/>
                <w:b/>
                <w:sz w:val="18"/>
              </w:rPr>
              <w:t>Genre</w:t>
            </w:r>
          </w:p>
        </w:tc>
        <w:tc>
          <w:tcPr>
            <w:tcW w:type="dxa" w:w="4968"/>
            <w:vAlign w:val="center"/>
          </w:tcPr>
          <w:p>
            <w:r/>
            <w:r>
              <w:rPr>
                <w:rFonts w:ascii="Arial" w:hAnsi="Arial"/>
                <w:b w:val="0"/>
                <w:sz w:val="18"/>
              </w:rPr>
              <w:t>A primary genre is standardized across historical and prediction datasets.</w:t>
            </w:r>
          </w:p>
        </w:tc>
      </w:tr>
      <w:tr>
        <w:tc>
          <w:tcPr>
            <w:tcW w:type="dxa" w:w="4968"/>
            <w:vAlign w:val="center"/>
          </w:tcPr>
          <w:p>
            <w:r/>
            <w:r>
              <w:rPr>
                <w:rFonts w:ascii="Arial" w:hAnsi="Arial"/>
                <w:b/>
                <w:sz w:val="18"/>
              </w:rPr>
              <w:t>Production Company</w:t>
            </w:r>
          </w:p>
        </w:tc>
        <w:tc>
          <w:tcPr>
            <w:tcW w:type="dxa" w:w="4968"/>
            <w:vAlign w:val="center"/>
          </w:tcPr>
          <w:p>
            <w:r/>
            <w:r>
              <w:rPr>
                <w:rFonts w:ascii="Arial" w:hAnsi="Arial"/>
                <w:b w:val="0"/>
                <w:sz w:val="18"/>
              </w:rPr>
              <w:t>The primary production company is normalized for historical performance aggregation.</w:t>
            </w:r>
          </w:p>
        </w:tc>
      </w:tr>
      <w:tr>
        <w:tc>
          <w:tcPr>
            <w:tcW w:type="dxa" w:w="4968"/>
            <w:vAlign w:val="center"/>
          </w:tcPr>
          <w:p>
            <w:r/>
            <w:r>
              <w:rPr>
                <w:rFonts w:ascii="Arial" w:hAnsi="Arial"/>
                <w:b/>
                <w:sz w:val="18"/>
              </w:rPr>
              <w:t>Director</w:t>
            </w:r>
          </w:p>
        </w:tc>
        <w:tc>
          <w:tcPr>
            <w:tcW w:type="dxa" w:w="4968"/>
            <w:vAlign w:val="center"/>
          </w:tcPr>
          <w:p>
            <w:r/>
            <w:r>
              <w:rPr>
                <w:rFonts w:ascii="Arial" w:hAnsi="Arial"/>
                <w:b w:val="0"/>
                <w:sz w:val="18"/>
              </w:rPr>
              <w:t>Director identity is normalized and used to calculate prior-film experience and prior gross.</w:t>
            </w:r>
          </w:p>
        </w:tc>
      </w:tr>
      <w:tr>
        <w:tc>
          <w:tcPr>
            <w:tcW w:type="dxa" w:w="4968"/>
            <w:vAlign w:val="center"/>
          </w:tcPr>
          <w:p>
            <w:r/>
            <w:r>
              <w:rPr>
                <w:rFonts w:ascii="Arial" w:hAnsi="Arial"/>
                <w:b/>
                <w:sz w:val="18"/>
              </w:rPr>
              <w:t>Lead Star</w:t>
            </w:r>
          </w:p>
        </w:tc>
        <w:tc>
          <w:tcPr>
            <w:tcW w:type="dxa" w:w="4968"/>
            <w:vAlign w:val="center"/>
          </w:tcPr>
          <w:p>
            <w:r/>
            <w:r>
              <w:rPr>
                <w:rFonts w:ascii="Arial" w:hAnsi="Arial"/>
                <w:b w:val="0"/>
                <w:sz w:val="18"/>
              </w:rPr>
              <w:t>The first-listed lead performer is used as the comparable star feature because the historical source contains one primary star.</w:t>
            </w:r>
          </w:p>
        </w:tc>
      </w:tr>
      <w:tr>
        <w:tc>
          <w:tcPr>
            <w:tcW w:type="dxa" w:w="4968"/>
            <w:vAlign w:val="center"/>
          </w:tcPr>
          <w:p>
            <w:r/>
            <w:r>
              <w:rPr>
                <w:rFonts w:ascii="Arial" w:hAnsi="Arial"/>
                <w:b/>
                <w:sz w:val="18"/>
              </w:rPr>
              <w:t>Release Timing</w:t>
            </w:r>
          </w:p>
        </w:tc>
        <w:tc>
          <w:tcPr>
            <w:tcW w:type="dxa" w:w="4968"/>
            <w:vAlign w:val="center"/>
          </w:tcPr>
          <w:p>
            <w:r/>
            <w:r>
              <w:rPr>
                <w:rFonts w:ascii="Arial" w:hAnsi="Arial"/>
                <w:b w:val="0"/>
                <w:sz w:val="18"/>
              </w:rPr>
              <w:t>Release year, month, quarter, season and holiday-window indicators are derived from release dates.</w:t>
            </w:r>
          </w:p>
        </w:tc>
      </w:tr>
    </w:tbl>
    <w:p>
      <w:pPr>
        <w:pStyle w:val="Heading1"/>
      </w:pPr>
      <w:r>
        <w:rPr>
          <w:rFonts w:ascii="Arial" w:hAnsi="Arial"/>
          <w:sz w:val="28"/>
        </w:rPr>
        <w:t>4. SQLite Feature Engineering</w:t>
      </w:r>
    </w:p>
    <w:p>
      <w:pPr>
        <w:spacing w:after="120" w:line="259" w:lineRule="auto"/>
      </w:pPr>
      <w:r>
        <w:rPr>
          <w:rFonts w:ascii="Arial" w:hAnsi="Arial"/>
          <w:sz w:val="20"/>
        </w:rPr>
        <w:t>A dedicated SQLite database, movie_features.db, is used to store feature tables and calculate historical track-record variables. This demonstrates a reproducible database workflow while keeping the modelling tables in pandas for downstream machine learning.</w:t>
      </w:r>
    </w:p>
    <w:p>
      <w:pPr>
        <w:pStyle w:val="ListBullet"/>
        <w:spacing w:after="40"/>
      </w:pPr>
      <w:r>
        <w:rPr>
          <w:rFonts w:ascii="Arial" w:hAnsi="Arial"/>
          <w:sz w:val="20"/>
        </w:rPr>
        <w:t>Director prior-film count, average prior worldwide gross and maximum prior worldwide gross.</w:t>
      </w:r>
    </w:p>
    <w:p>
      <w:pPr>
        <w:pStyle w:val="ListBullet"/>
        <w:spacing w:after="40"/>
      </w:pPr>
      <w:r>
        <w:rPr>
          <w:rFonts w:ascii="Arial" w:hAnsi="Arial"/>
          <w:sz w:val="20"/>
        </w:rPr>
        <w:t>Lead-star prior-film count, average prior worldwide gross and maximum prior worldwide gross.</w:t>
      </w:r>
    </w:p>
    <w:p>
      <w:pPr>
        <w:pStyle w:val="ListBullet"/>
        <w:spacing w:after="40"/>
      </w:pPr>
      <w:r>
        <w:rPr>
          <w:rFonts w:ascii="Arial" w:hAnsi="Arial"/>
          <w:sz w:val="20"/>
        </w:rPr>
        <w:t>Production-company prior-film count, average prior worldwide gross and maximum prior worldwide gross.</w:t>
      </w:r>
    </w:p>
    <w:p>
      <w:pPr>
        <w:spacing w:after="120" w:line="259" w:lineRule="auto"/>
      </w:pPr>
      <w:r>
        <w:rPr>
          <w:rFonts w:ascii="Arial" w:hAnsi="Arial"/>
          <w:sz w:val="20"/>
        </w:rPr>
        <w:t>For historical movies, SQL joins only records with a release year earlier than the movie being scored. For future prediction targets, the same calculations use historical films released before each target movie.</w:t>
      </w:r>
    </w:p>
    <w:p>
      <w:pPr>
        <w:pStyle w:val="Heading1"/>
      </w:pPr>
      <w:r>
        <w:rPr>
          <w:rFonts w:ascii="Arial" w:hAnsi="Arial"/>
          <w:sz w:val="28"/>
        </w:rPr>
        <w:t>5. Financial Transformations</w:t>
      </w:r>
    </w:p>
    <w:p>
      <w:pPr>
        <w:spacing w:after="120" w:line="259" w:lineRule="auto"/>
      </w:pPr>
      <w:r>
        <w:rPr>
          <w:rFonts w:ascii="Arial" w:hAnsi="Arial"/>
          <w:sz w:val="20"/>
        </w:rPr>
        <w:t>Movie budgets and worldwide grosses are heavily right-skewed. Logarithmic versions are therefore created to support more stable modelling. The original monetary values are retained for interpretation and reporting.</w:t>
      </w:r>
    </w:p>
    <w:p>
      <w:pPr>
        <w:pStyle w:val="ListBullet"/>
        <w:spacing w:after="40"/>
      </w:pPr>
      <w:r>
        <w:rPr>
          <w:rFonts w:ascii="Arial" w:hAnsi="Arial"/>
          <w:sz w:val="20"/>
        </w:rPr>
        <w:t>log_budget = log1p(budget)</w:t>
      </w:r>
    </w:p>
    <w:p>
      <w:pPr>
        <w:pStyle w:val="ListBullet"/>
        <w:spacing w:after="40"/>
      </w:pPr>
      <w:r>
        <w:rPr>
          <w:rFonts w:ascii="Arial" w:hAnsi="Arial"/>
          <w:sz w:val="20"/>
        </w:rPr>
        <w:t>log_worldwide_box_office = log1p(worldwide box office)</w:t>
      </w:r>
    </w:p>
    <w:p>
      <w:pPr>
        <w:pStyle w:val="Heading1"/>
      </w:pPr>
      <w:r>
        <w:rPr>
          <w:rFonts w:ascii="Arial" w:hAnsi="Arial"/>
          <w:sz w:val="28"/>
        </w:rPr>
        <w:t>6. Missing-Value Strategy</w:t>
      </w:r>
    </w:p>
    <w:p>
      <w:pPr>
        <w:spacing w:after="120" w:line="259" w:lineRule="auto"/>
      </w:pPr>
      <w:r>
        <w:rPr>
          <w:rFonts w:ascii="Arial" w:hAnsi="Arial"/>
          <w:sz w:val="20"/>
        </w:rPr>
        <w:t>Numeric missing values remain as NaN during feature engineering. Missing-value indicator columns are created for numeric candidate features. Numerical imputation is intentionally deferred to the machine-learning pipeline so that imputation statistics are learned from training data only. Missing categorical values are represented as Unknown.</w:t>
      </w:r>
    </w:p>
    <w:p>
      <w:pPr>
        <w:pStyle w:val="Heading1"/>
      </w:pPr>
      <w:r>
        <w:rPr>
          <w:rFonts w:ascii="Arial" w:hAnsi="Arial"/>
          <w:sz w:val="28"/>
        </w:rPr>
        <w:t>7. Candidate and Deferred Features</w:t>
      </w:r>
    </w:p>
    <w:p>
      <w:pPr>
        <w:spacing w:after="120" w:line="259" w:lineRule="auto"/>
      </w:pPr>
      <w:r>
        <w:rPr>
          <w:rFonts w:ascii="Arial" w:hAnsi="Arial"/>
          <w:sz w:val="20"/>
        </w:rPr>
        <w:t>Several prediction-target variables were collected because they may be useful, but they are not yet eligible for the primary model because equivalent historical features have not been constructed.</w:t>
      </w:r>
    </w:p>
    <w:p>
      <w:pPr>
        <w:pStyle w:val="ListBullet"/>
        <w:spacing w:after="40"/>
      </w:pPr>
      <w:r>
        <w:rPr>
          <w:rFonts w:ascii="Arial" w:hAnsi="Arial"/>
          <w:sz w:val="20"/>
        </w:rPr>
        <w:t>Franchise status</w:t>
      </w:r>
    </w:p>
    <w:p>
      <w:pPr>
        <w:pStyle w:val="ListBullet"/>
        <w:spacing w:after="40"/>
      </w:pPr>
      <w:r>
        <w:rPr>
          <w:rFonts w:ascii="Arial" w:hAnsi="Arial"/>
          <w:sz w:val="20"/>
        </w:rPr>
        <w:t>Sequel status</w:t>
      </w:r>
    </w:p>
    <w:p>
      <w:pPr>
        <w:pStyle w:val="ListBullet"/>
        <w:spacing w:after="40"/>
      </w:pPr>
      <w:r>
        <w:rPr>
          <w:rFonts w:ascii="Arial" w:hAnsi="Arial"/>
          <w:sz w:val="20"/>
        </w:rPr>
        <w:t>Franchise gap years</w:t>
      </w:r>
    </w:p>
    <w:p>
      <w:pPr>
        <w:pStyle w:val="ListBullet"/>
        <w:spacing w:after="40"/>
      </w:pPr>
      <w:r>
        <w:rPr>
          <w:rFonts w:ascii="Arial" w:hAnsi="Arial"/>
          <w:sz w:val="20"/>
        </w:rPr>
        <w:t>Pre-release sentiment</w:t>
      </w:r>
    </w:p>
    <w:p>
      <w:pPr>
        <w:pStyle w:val="ListBullet"/>
        <w:spacing w:after="40"/>
      </w:pPr>
      <w:r>
        <w:rPr>
          <w:rFonts w:ascii="Arial" w:hAnsi="Arial"/>
          <w:sz w:val="20"/>
        </w:rPr>
        <w:t>Audience/social-interest proxy</w:t>
      </w:r>
    </w:p>
    <w:p>
      <w:pPr>
        <w:spacing w:after="120" w:line="259" w:lineRule="auto"/>
      </w:pPr>
      <w:r>
        <w:rPr>
          <w:rFonts w:ascii="Arial" w:hAnsi="Arial"/>
          <w:sz w:val="20"/>
        </w:rPr>
        <w:t>These variables remain in the project Later Bin. They can be promoted into the model later if comparable historical features are created without leakage.</w:t>
      </w:r>
    </w:p>
    <w:p>
      <w:pPr>
        <w:pStyle w:val="Heading1"/>
      </w:pPr>
      <w:r>
        <w:rPr>
          <w:rFonts w:ascii="Arial" w:hAnsi="Arial"/>
          <w:sz w:val="28"/>
        </w:rPr>
        <w:t>8. Current Primary Model Feature Set</w:t>
      </w:r>
    </w:p>
    <w:p>
      <w:pPr>
        <w:spacing w:after="120" w:line="259" w:lineRule="auto"/>
      </w:pPr>
      <w:r>
        <w:rPr>
          <w:rFonts w:ascii="Arial" w:hAnsi="Arial"/>
          <w:sz w:val="20"/>
        </w:rPr>
        <w:t>Numeric features:</w:t>
      </w:r>
    </w:p>
    <w:p>
      <w:pPr>
        <w:pStyle w:val="ListBullet"/>
        <w:spacing w:after="40"/>
      </w:pPr>
      <w:r>
        <w:rPr>
          <w:rFonts w:ascii="Arial" w:hAnsi="Arial"/>
          <w:sz w:val="20"/>
        </w:rPr>
        <w:t>log_budget</w:t>
      </w:r>
    </w:p>
    <w:p>
      <w:pPr>
        <w:pStyle w:val="ListBullet"/>
        <w:spacing w:after="40"/>
      </w:pPr>
      <w:r>
        <w:rPr>
          <w:rFonts w:ascii="Arial" w:hAnsi="Arial"/>
          <w:sz w:val="20"/>
        </w:rPr>
        <w:t>release_year</w:t>
      </w:r>
    </w:p>
    <w:p>
      <w:pPr>
        <w:pStyle w:val="ListBullet"/>
        <w:spacing w:after="40"/>
      </w:pPr>
      <w:r>
        <w:rPr>
          <w:rFonts w:ascii="Arial" w:hAnsi="Arial"/>
          <w:sz w:val="20"/>
        </w:rPr>
        <w:t>release_month</w:t>
      </w:r>
    </w:p>
    <w:p>
      <w:pPr>
        <w:pStyle w:val="ListBullet"/>
        <w:spacing w:after="40"/>
      </w:pPr>
      <w:r>
        <w:rPr>
          <w:rFonts w:ascii="Arial" w:hAnsi="Arial"/>
          <w:sz w:val="20"/>
        </w:rPr>
        <w:t>release_quarter</w:t>
      </w:r>
    </w:p>
    <w:p>
      <w:pPr>
        <w:pStyle w:val="ListBullet"/>
        <w:spacing w:after="40"/>
      </w:pPr>
      <w:r>
        <w:rPr>
          <w:rFonts w:ascii="Arial" w:hAnsi="Arial"/>
          <w:sz w:val="20"/>
        </w:rPr>
        <w:t>holiday_release</w:t>
      </w:r>
    </w:p>
    <w:p>
      <w:pPr>
        <w:pStyle w:val="ListBullet"/>
        <w:spacing w:after="40"/>
      </w:pPr>
      <w:r>
        <w:rPr>
          <w:rFonts w:ascii="Arial" w:hAnsi="Arial"/>
          <w:sz w:val="20"/>
        </w:rPr>
        <w:t>director_prior_films</w:t>
      </w:r>
    </w:p>
    <w:p>
      <w:pPr>
        <w:pStyle w:val="ListBullet"/>
        <w:spacing w:after="40"/>
      </w:pPr>
      <w:r>
        <w:rPr>
          <w:rFonts w:ascii="Arial" w:hAnsi="Arial"/>
          <w:sz w:val="20"/>
        </w:rPr>
        <w:t>director_prior_avg_gross</w:t>
      </w:r>
    </w:p>
    <w:p>
      <w:pPr>
        <w:pStyle w:val="ListBullet"/>
        <w:spacing w:after="40"/>
      </w:pPr>
      <w:r>
        <w:rPr>
          <w:rFonts w:ascii="Arial" w:hAnsi="Arial"/>
          <w:sz w:val="20"/>
        </w:rPr>
        <w:t>star_prior_films</w:t>
      </w:r>
    </w:p>
    <w:p>
      <w:pPr>
        <w:pStyle w:val="ListBullet"/>
        <w:spacing w:after="40"/>
      </w:pPr>
      <w:r>
        <w:rPr>
          <w:rFonts w:ascii="Arial" w:hAnsi="Arial"/>
          <w:sz w:val="20"/>
        </w:rPr>
        <w:t>star_prior_avg_gross</w:t>
      </w:r>
    </w:p>
    <w:p>
      <w:pPr>
        <w:pStyle w:val="ListBullet"/>
        <w:spacing w:after="40"/>
      </w:pPr>
      <w:r>
        <w:rPr>
          <w:rFonts w:ascii="Arial" w:hAnsi="Arial"/>
          <w:sz w:val="20"/>
        </w:rPr>
        <w:t>company_prior_films</w:t>
      </w:r>
    </w:p>
    <w:p>
      <w:pPr>
        <w:pStyle w:val="ListBullet"/>
        <w:spacing w:after="40"/>
      </w:pPr>
      <w:r>
        <w:rPr>
          <w:rFonts w:ascii="Arial" w:hAnsi="Arial"/>
          <w:sz w:val="20"/>
        </w:rPr>
        <w:t>company_prior_avg_gross</w:t>
      </w:r>
    </w:p>
    <w:p>
      <w:pPr>
        <w:spacing w:after="120" w:line="259" w:lineRule="auto"/>
      </w:pPr>
      <w:r>
        <w:rPr>
          <w:rFonts w:ascii="Arial" w:hAnsi="Arial"/>
          <w:sz w:val="20"/>
        </w:rPr>
        <w:t>Categorical features:</w:t>
      </w:r>
    </w:p>
    <w:p>
      <w:pPr>
        <w:pStyle w:val="ListBullet"/>
        <w:spacing w:after="40"/>
      </w:pPr>
      <w:r>
        <w:rPr>
          <w:rFonts w:ascii="Arial" w:hAnsi="Arial"/>
          <w:sz w:val="20"/>
        </w:rPr>
        <w:t>primary_genre</w:t>
      </w:r>
    </w:p>
    <w:p>
      <w:pPr>
        <w:pStyle w:val="ListBullet"/>
        <w:spacing w:after="40"/>
      </w:pPr>
      <w:r>
        <w:rPr>
          <w:rFonts w:ascii="Arial" w:hAnsi="Arial"/>
          <w:sz w:val="20"/>
        </w:rPr>
        <w:t>release_season</w:t>
      </w:r>
    </w:p>
    <w:p>
      <w:pPr>
        <w:spacing w:after="120" w:line="259" w:lineRule="auto"/>
      </w:pPr>
      <w:r>
        <w:rPr>
          <w:rFonts w:ascii="Arial" w:hAnsi="Arial"/>
          <w:sz w:val="20"/>
        </w:rPr>
        <w:t>Regression target: log_worldwide_box_office.</w:t>
      </w:r>
    </w:p>
    <w:p>
      <w:pPr>
        <w:pStyle w:val="Heading1"/>
      </w:pPr>
      <w:r>
        <w:rPr>
          <w:rFonts w:ascii="Arial" w:hAnsi="Arial"/>
          <w:sz w:val="28"/>
        </w:rPr>
        <w:t>9. Planned Outputs</w:t>
      </w:r>
    </w:p>
    <w:p>
      <w:pPr>
        <w:pStyle w:val="ListBullet"/>
        <w:spacing w:after="40"/>
      </w:pPr>
      <w:r>
        <w:rPr>
          <w:rFonts w:ascii="Arial" w:hAnsi="Arial"/>
          <w:sz w:val="20"/>
        </w:rPr>
        <w:t>historical_model_features.csv</w:t>
      </w:r>
    </w:p>
    <w:p>
      <w:pPr>
        <w:pStyle w:val="ListBullet"/>
        <w:spacing w:after="40"/>
      </w:pPr>
      <w:r>
        <w:rPr>
          <w:rFonts w:ascii="Arial" w:hAnsi="Arial"/>
          <w:sz w:val="20"/>
        </w:rPr>
        <w:t>prediction_target_features.csv</w:t>
      </w:r>
    </w:p>
    <w:p>
      <w:pPr>
        <w:pStyle w:val="ListBullet"/>
        <w:spacing w:after="40"/>
      </w:pPr>
      <w:r>
        <w:rPr>
          <w:rFonts w:ascii="Arial" w:hAnsi="Arial"/>
          <w:sz w:val="20"/>
        </w:rPr>
        <w:t>movie_features.db</w:t>
      </w:r>
    </w:p>
    <w:p>
      <w:pPr>
        <w:pStyle w:val="ListBullet"/>
        <w:spacing w:after="40"/>
      </w:pPr>
      <w:r>
        <w:rPr>
          <w:rFonts w:ascii="Arial" w:hAnsi="Arial"/>
          <w:sz w:val="20"/>
        </w:rPr>
        <w:t>04_feature_engineering_report.docx</w:t>
      </w:r>
    </w:p>
    <w:p>
      <w:pPr>
        <w:pStyle w:val="Heading1"/>
      </w:pPr>
      <w:r>
        <w:rPr>
          <w:rFonts w:ascii="Arial" w:hAnsi="Arial"/>
          <w:sz w:val="28"/>
        </w:rPr>
        <w:t>10. NextUp</w:t>
      </w:r>
    </w:p>
    <w:p>
      <w:pPr>
        <w:spacing w:after="120" w:line="259" w:lineRule="auto"/>
      </w:pPr>
      <w:r>
        <w:rPr>
          <w:rFonts w:ascii="Arial" w:hAnsi="Arial"/>
          <w:sz w:val="20"/>
        </w:rPr>
        <w:t>Complete the remaining feature-engineering validation and schema alignment, save the final feature tables, finalize this Word report, commit Notebook 04 and its outputs, then proceed to Notebook 05 - Exploratory Data Analysis.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Movie Industry Predictor | Feature Engineering</w:t>
    </w:r>
    <w:r>
      <w:t xml:space="preserv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