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1A1A" w:val="clear"/>
            <w:vAlign w:val="top"/>
          </w:tcPr>
          <w:p>
            <w:pPr>
              <w:spacing w:before="4092"/>
            </w:pPr>
          </w:p>
          <w:p>
            <w:pPr>
              <w:pBdr>
                <w:bottom w:val="single" w:color="C9A84C" w:sz="6" w:space="8"/>
              </w:pBdr>
              <w:spacing w:after="500"/>
              <w:ind w:left="800" w:right="1200"/>
              <w:jc w:val="right"/>
            </w:pPr>
            <w:r>
              <w:rPr>
                <w:rFonts w:ascii="Arial" w:cs="Arial" w:hAnsi="Arial"/>
                <w:color w:val="C9A84C"/>
                <w:spacing w:val="40"/>
                <w:sz w:val="18"/>
                <w:szCs w:val="18"/>
              </w:rPr>
              <w:t xml:space="preserve">G  A  P     A  N  A  L  Y  S  I  S     R  E  P  O  R  T</w:t>
            </w:r>
          </w:p>
          <w:p>
            <w:pPr>
              <w:bidi/>
              <w:spacing w:after="100" w:line="920" w:lineRule="atLeast"/>
              <w:ind w:left="800" w:right="1200"/>
              <w:jc w:val="start"/>
            </w:pPr>
            <w:r>
              <w:rPr>
                <w:rFonts w:ascii="Arial" w:cs="Arial" w:hAnsi="Arial"/>
                <w:b/>
                <w:bCs/>
                <w:i w:val="false"/>
                <w:iCs w:val="false"/>
                <w:color w:val="FFFFFF"/>
                <w:sz w:val="80"/>
                <w:szCs w:val="80"/>
                <w:rtl/>
              </w:rPr>
              <w:t xml:space="preserve">تحليل فجوات القدرات</w:t>
            </w:r>
          </w:p>
          <w:p>
            <w:pPr>
              <w:bidi/>
              <w:spacing w:after="300" w:line="920" w:lineRule="atLeast"/>
              <w:ind w:left="800" w:right="1200"/>
              <w:jc w:val="start"/>
            </w:pPr>
            <w:r>
              <w:rPr>
                <w:rFonts w:ascii="Arial" w:cs="Arial" w:hAnsi="Arial"/>
                <w:b/>
                <w:bCs/>
                <w:i w:val="false"/>
                <w:iCs w:val="false"/>
                <w:color w:val="FFFFFF"/>
                <w:sz w:val="80"/>
                <w:szCs w:val="80"/>
                <w:rtl/>
              </w:rPr>
              <w:t xml:space="preserve">من Zman إلى Micro</w:t>
            </w:r>
          </w:p>
          <w:p>
            <w:pPr>
              <w:bidi/>
              <w:spacing w:after="800" w:line="340" w:lineRule="atLeast"/>
              <w:ind w:left="800" w:right="1200"/>
              <w:jc w:val="start"/>
            </w:pPr>
            <w:r>
              <w:rPr>
                <w:rFonts w:ascii="Arial" w:cs="Arial" w:hAnsi="Arial"/>
                <w:b w:val="false"/>
                <w:bCs w:val="false"/>
                <w:i w:val="false"/>
                <w:iCs w:val="false"/>
                <w:color w:val="B0B8C0"/>
                <w:sz w:val="24"/>
                <w:szCs w:val="24"/>
                <w:rtl/>
              </w:rPr>
              <w:t xml:space="preserve">تقرير المقارنة الاستكشافية الكاملة وتصميم النقل المكيّف مع قواعد Micro المالية وهويته</w:t>
            </w:r>
          </w:p>
          <w:p>
            <w:pPr>
              <w:pBdr>
                <w:right w:val="single" w:color="C9A84C" w:sz="8" w:space="12"/>
              </w:pBdr>
              <w:bidi/>
              <w:spacing w:after="80" w:line="300" w:lineRule="atLeast"/>
              <w:ind w:left="800" w:right="1400"/>
              <w:jc w:val="start"/>
            </w:pPr>
            <w:r>
              <w:rPr>
                <w:rFonts w:ascii="Arial" w:cs="Arial" w:hAnsi="Arial"/>
                <w:b w:val="false"/>
                <w:bCs w:val="false"/>
                <w:i w:val="false"/>
                <w:iCs w:val="false"/>
                <w:color w:val="90989F"/>
                <w:sz w:val="24"/>
                <w:szCs w:val="24"/>
                <w:rtl/>
              </w:rPr>
              <w:t xml:space="preserve">التاريخ: 03/09/2026</w:t>
            </w:r>
          </w:p>
          <w:p>
            <w:pPr>
              <w:pBdr>
                <w:right w:val="single" w:color="C9A84C" w:sz="8" w:space="12"/>
              </w:pBdr>
              <w:bidi/>
              <w:spacing w:after="80" w:line="300" w:lineRule="atLeast"/>
              <w:ind w:left="800" w:right="1400"/>
              <w:jc w:val="start"/>
            </w:pPr>
            <w:r>
              <w:rPr>
                <w:rFonts w:ascii="Arial" w:cs="Arial" w:hAnsi="Arial"/>
                <w:b w:val="false"/>
                <w:bCs w:val="false"/>
                <w:i w:val="false"/>
                <w:iCs w:val="false"/>
                <w:color w:val="90989F"/>
                <w:sz w:val="24"/>
                <w:szCs w:val="24"/>
                <w:rtl/>
              </w:rPr>
              <w:t xml:space="preserve">المصدر (قراءة فقط): zman-app @ bdd63ab</w:t>
            </w:r>
          </w:p>
          <w:p>
            <w:pPr>
              <w:pBdr>
                <w:right w:val="single" w:color="C9A84C" w:sz="8" w:space="12"/>
              </w:pBdr>
              <w:bidi/>
              <w:spacing w:after="80" w:line="300" w:lineRule="atLeast"/>
              <w:ind w:left="800" w:right="1400"/>
              <w:jc w:val="start"/>
            </w:pPr>
            <w:r>
              <w:rPr>
                <w:rFonts w:ascii="Arial" w:cs="Arial" w:hAnsi="Arial"/>
                <w:b w:val="false"/>
                <w:bCs w:val="false"/>
                <w:i w:val="false"/>
                <w:iCs w:val="false"/>
                <w:color w:val="90989F"/>
                <w:sz w:val="24"/>
                <w:szCs w:val="24"/>
                <w:rtl/>
              </w:rPr>
              <w:t xml:space="preserve">الهدف (قراءة فقط): Micro @ 4db6a5f</w:t>
            </w:r>
          </w:p>
          <w:p>
            <w:pPr>
              <w:pBdr>
                <w:right w:val="single" w:color="C9A84C" w:sz="8" w:space="12"/>
              </w:pBdr>
              <w:bidi/>
              <w:spacing w:after="80" w:line="300" w:lineRule="atLeast"/>
              <w:ind w:left="800" w:right="1400"/>
              <w:jc w:val="start"/>
            </w:pPr>
            <w:r>
              <w:rPr>
                <w:rFonts w:ascii="Arial" w:cs="Arial" w:hAnsi="Arial"/>
                <w:b w:val="false"/>
                <w:bCs w:val="false"/>
                <w:i w:val="false"/>
                <w:iCs w:val="false"/>
                <w:color w:val="90989F"/>
                <w:sz w:val="24"/>
                <w:szCs w:val="24"/>
                <w:rtl/>
              </w:rPr>
              <w:t xml:space="preserve">التسليم: Documents — zaman-to-micro-gap-analysis-001</w:t>
            </w:r>
          </w:p>
          <w:p>
            <w:pPr>
              <w:spacing w:before="4092"/>
            </w:pPr>
          </w:p>
          <w:p>
            <w:pPr>
              <w:pBdr>
                <w:top w:val="single" w:color="C9A84C" w:sz="2" w:space="8"/>
              </w:pBdr>
              <w:spacing w:before="200"/>
              <w:ind w:left="800" w:right="1200"/>
              <w:jc w:val="right"/>
            </w:pPr>
            <w:r>
              <w:rPr>
                <w:rFonts w:ascii="Arial" w:cs="Arial" w:hAnsi="Arial"/>
                <w:color w:val="687078"/>
                <w:sz w:val="16"/>
                <w:szCs w:val="16"/>
              </w:rPr>
              <w:t xml:space="preserve">Documents Repository — Reports</w:t>
            </w:r>
            <w:r>
              <w:rPr>
                <w:rFonts w:ascii="Arial" w:cs="Arial" w:hAnsi="Arial"/>
                <w:sz w:val="16"/>
                <w:szCs w:val="16"/>
              </w:rPr>
              <w:t xml:space="preserve">                                        </w:t>
            </w:r>
            <w:r>
              <w:rPr>
                <w:rFonts w:ascii="Arial" w:cs="Arial" w:hAnsi="Arial"/>
                <w:color w:val="687078"/>
                <w:sz w:val="16"/>
                <w:szCs w:val="16"/>
              </w:rPr>
              <w:t xml:space="preserve">2026-09-03</w:t>
            </w:r>
          </w:p>
        </w:tc>
      </w:tr>
    </w:tbl>
    <w:p>
      <w:pPr>
        <w:sectPr>
          <w:pgSz w:w="11906" w:h="16838" w:orient="portrait"/>
          <w:pgMar w:top="0" w:right="0" w:bottom="0" w:left="0" w:header="708" w:footer="708" w:gutter="0"/>
          <w:docGrid w:linePitch="360"/>
        </w:sectPr>
      </w:pPr>
    </w:p>
    <w:p>
      <w:pPr>
        <w:bidi/>
        <w:spacing w:after="360" w:before="480" w:line="368" w:lineRule="atLeast"/>
        <w:jc w:val="center"/>
      </w:pPr>
      <w:r>
        <w:rPr>
          <w:rFonts w:ascii="Arial" w:cs="Arial" w:hAnsi="Arial"/>
          <w:b/>
          <w:bCs/>
          <w:i w:val="false"/>
          <w:iCs w:val="false"/>
          <w:color w:val="1A1A1A"/>
          <w:sz w:val="32"/>
          <w:szCs w:val="32"/>
          <w:rtl/>
        </w:rPr>
        <w:t xml:space="preserve">قائمة المحتويات</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الملخص التنفيذي ومنهجية التحليل</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الغرض والمهمة</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المنهجية وفريق التحليل</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النتائج الرئيسية</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مجموعة النقل النهائية في سطر واحد</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قيود Micro غير القابلة للتفاوض بوصفها مرشحات النقل</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المخرج أ — فهرس قدرات Zman الكامل</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ما هو Zman: نظرة عامة على المنتج</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الدستور المالي ل Zman كما يهم النقل</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المخرج ب — سجل الفجوات من Zman إلى Micro</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قراءة السجل</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تحذيرات الفجوات الكاذبة: مجالات أقوى فيها Micro</w:t>
            </w:r>
            <w:r>
              <w:tab/>
            </w:r>
            <w:r>
              <w:fldChar w:fldCharType="begin"/>
            </w:r>
            <w:r>
              <w:instrText xml:space="preserve"> PAGEREF _Toc100011 \h </w:instrText>
            </w:r>
            <w:r>
              <w:fldChar w:fldCharType="separate"/>
            </w:r>
            <w:r>
              <w:t>5</w:t>
            </w:r>
            <w:r>
              <w:fldChar w:fldCharType="end"/>
            </w:r>
          </w:hyperlink>
        </w:p>
        <w:p>
          <w:pPr>
            <w:pStyle w:val="9"/>
            <w:tabs>
              <w:tab w:val="right" w:leader="dot" w:pos="9026"/>
            </w:tabs>
            <w:spacing w:before="120" w:after="60"/>
          </w:pPr>
          <w:hyperlink w:anchor="_Toc100012" w:history="1">
            <w:r>
              <w:rPr>
                <w:rStyle w:val="Hyperlink"/>
              </w:rPr>
              <w:t>المخرج ج — الملفات التفصيلية للقدرات الجدية</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الملف الأول: تصنيفي للمصاريف (TR-04)</w:t>
            </w:r>
            <w:r>
              <w:tab/>
            </w:r>
            <w:r>
              <w:fldChar w:fldCharType="begin"/>
            </w:r>
            <w:r>
              <w:instrText xml:space="preserve"> PAGEREF _Toc100013 \h </w:instrText>
            </w:r>
            <w:r>
              <w:fldChar w:fldCharType="separate"/>
            </w:r>
            <w:r>
              <w:t>6</w:t>
            </w:r>
            <w:r>
              <w:fldChar w:fldCharType="end"/>
            </w:r>
          </w:hyperlink>
        </w:p>
        <w:p>
          <w:pPr>
            <w:pStyle w:val="12"/>
            <w:ind w:left="720"/>
            <w:tabs>
              <w:tab w:val="right" w:leader="dot" w:pos="9026"/>
            </w:tabs>
            <w:spacing w:before="120" w:after="60"/>
          </w:pPr>
          <w:hyperlink w:anchor="_Toc100014" w:history="1">
            <w:r>
              <w:rPr>
                <w:rStyle w:val="Hyperlink"/>
              </w:rPr>
              <w:t>كيف تعمل القدرة في Zman من البداية إلى النهاية</w:t>
            </w:r>
            <w:r>
              <w:tab/>
            </w:r>
            <w:r>
              <w:fldChar w:fldCharType="begin"/>
            </w:r>
            <w:r>
              <w:instrText xml:space="preserve"> PAGEREF _Toc100014 \h </w:instrText>
            </w:r>
            <w:r>
              <w:fldChar w:fldCharType="separate"/>
            </w:r>
            <w:r>
              <w:t>6</w:t>
            </w:r>
            <w:r>
              <w:fldChar w:fldCharType="end"/>
            </w:r>
          </w:hyperlink>
        </w:p>
        <w:p>
          <w:pPr>
            <w:pStyle w:val="12"/>
            <w:ind w:left="720"/>
            <w:tabs>
              <w:tab w:val="right" w:leader="dot" w:pos="9026"/>
            </w:tabs>
            <w:spacing w:before="120" w:after="60"/>
          </w:pPr>
          <w:hyperlink w:anchor="_Toc100015" w:history="1">
            <w:r>
              <w:rPr>
                <w:rStyle w:val="Hyperlink"/>
              </w:rPr>
              <w:t>الفجوة المحددة في Micro والتصميم المكيف</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الملف الثاني: فحص سلامة مالي (TR-02)</w:t>
            </w:r>
            <w:r>
              <w:tab/>
            </w:r>
            <w:r>
              <w:fldChar w:fldCharType="begin"/>
            </w:r>
            <w:r>
              <w:instrText xml:space="preserve"> PAGEREF _Toc100016 \h </w:instrText>
            </w:r>
            <w:r>
              <w:fldChar w:fldCharType="separate"/>
            </w:r>
            <w:r>
              <w:t>6</w:t>
            </w:r>
            <w:r>
              <w:fldChar w:fldCharType="end"/>
            </w:r>
          </w:hyperlink>
        </w:p>
        <w:p>
          <w:pPr>
            <w:pStyle w:val="12"/>
            <w:ind w:left="720"/>
            <w:tabs>
              <w:tab w:val="right" w:leader="dot" w:pos="9026"/>
            </w:tabs>
            <w:spacing w:before="120" w:after="60"/>
          </w:pPr>
          <w:hyperlink w:anchor="_Toc100017" w:history="1">
            <w:r>
              <w:rPr>
                <w:rStyle w:val="Hyperlink"/>
              </w:rPr>
              <w:t>كيف تعمل القدرة في Zman من البداية إلى النهاية</w:t>
            </w:r>
            <w:r>
              <w:tab/>
            </w:r>
            <w:r>
              <w:fldChar w:fldCharType="begin"/>
            </w:r>
            <w:r>
              <w:instrText xml:space="preserve"> PAGEREF _Toc100017 \h </w:instrText>
            </w:r>
            <w:r>
              <w:fldChar w:fldCharType="separate"/>
            </w:r>
            <w:r>
              <w:t>6</w:t>
            </w:r>
            <w:r>
              <w:fldChar w:fldCharType="end"/>
            </w:r>
          </w:hyperlink>
        </w:p>
        <w:p>
          <w:pPr>
            <w:pStyle w:val="12"/>
            <w:ind w:left="720"/>
            <w:tabs>
              <w:tab w:val="right" w:leader="dot" w:pos="9026"/>
            </w:tabs>
            <w:spacing w:before="120" w:after="60"/>
          </w:pPr>
          <w:hyperlink w:anchor="_Toc100018" w:history="1">
            <w:r>
              <w:rPr>
                <w:rStyle w:val="Hyperlink"/>
              </w:rPr>
              <w:t>الفجوة المحددة في Micro والتصميم المكيف</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الملف الثالث: شارك الكشف (TR-03)</w:t>
            </w:r>
            <w:r>
              <w:tab/>
            </w:r>
            <w:r>
              <w:fldChar w:fldCharType="begin"/>
            </w:r>
            <w:r>
              <w:instrText xml:space="preserve"> PAGEREF _Toc100019 \h </w:instrText>
            </w:r>
            <w:r>
              <w:fldChar w:fldCharType="separate"/>
            </w:r>
            <w:r>
              <w:t>7</w:t>
            </w:r>
            <w:r>
              <w:fldChar w:fldCharType="end"/>
            </w:r>
          </w:hyperlink>
        </w:p>
        <w:p>
          <w:pPr>
            <w:pStyle w:val="12"/>
            <w:ind w:left="720"/>
            <w:tabs>
              <w:tab w:val="right" w:leader="dot" w:pos="9026"/>
            </w:tabs>
            <w:spacing w:before="120" w:after="60"/>
          </w:pPr>
          <w:hyperlink w:anchor="_Toc100020" w:history="1">
            <w:r>
              <w:rPr>
                <w:rStyle w:val="Hyperlink"/>
              </w:rPr>
              <w:t>كيف تعمل القدرة في Zman والفجوة والتصميم المكيف</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الملف الرابع: قراءة الفترة الواحدة (TR-01)</w:t>
            </w:r>
            <w:r>
              <w:tab/>
            </w:r>
            <w:r>
              <w:fldChar w:fldCharType="begin"/>
            </w:r>
            <w:r>
              <w:instrText xml:space="preserve"> PAGEREF _Toc100021 \h </w:instrText>
            </w:r>
            <w:r>
              <w:fldChar w:fldCharType="separate"/>
            </w:r>
            <w:r>
              <w:t>7</w:t>
            </w:r>
            <w:r>
              <w:fldChar w:fldCharType="end"/>
            </w:r>
          </w:hyperlink>
        </w:p>
        <w:p>
          <w:pPr>
            <w:pStyle w:val="12"/>
            <w:ind w:left="720"/>
            <w:tabs>
              <w:tab w:val="right" w:leader="dot" w:pos="9026"/>
            </w:tabs>
            <w:spacing w:before="120" w:after="60"/>
          </w:pPr>
          <w:hyperlink w:anchor="_Toc100022" w:history="1">
            <w:r>
              <w:rPr>
                <w:rStyle w:val="Hyperlink"/>
              </w:rPr>
              <w:t>القدرة في Zman والفجوة والتصميم المكيف</w:t>
            </w:r>
            <w:r>
              <w:tab/>
            </w:r>
            <w:r>
              <w:fldChar w:fldCharType="begin"/>
            </w:r>
            <w:r>
              <w:instrText xml:space="preserve"> PAGEREF _Toc100022 \h </w:instrText>
            </w:r>
            <w:r>
              <w:fldChar w:fldCharType="separate"/>
            </w:r>
            <w:r>
              <w:t>7</w:t>
            </w:r>
            <w:r>
              <w:fldChar w:fldCharType="end"/>
            </w:r>
          </w:hyperlink>
        </w:p>
        <w:p>
          <w:pPr>
            <w:pStyle w:val="11"/>
            <w:ind w:left="360"/>
            <w:tabs>
              <w:tab w:val="right" w:leader="dot" w:pos="9026"/>
            </w:tabs>
            <w:spacing w:before="120" w:after="60"/>
          </w:pPr>
          <w:hyperlink w:anchor="_Toc100023" w:history="1">
            <w:r>
              <w:rPr>
                <w:rStyle w:val="Hyperlink"/>
              </w:rPr>
              <w:t>الملف الخامس: حواف المخزون الانتقائي (TR-07) ورفض جوهره (TR-12)</w:t>
            </w:r>
            <w:r>
              <w:tab/>
            </w:r>
            <w:r>
              <w:fldChar w:fldCharType="begin"/>
            </w:r>
            <w:r>
              <w:instrText xml:space="preserve"> PAGEREF _Toc100023 \h </w:instrText>
            </w:r>
            <w:r>
              <w:fldChar w:fldCharType="separate"/>
            </w:r>
            <w:r>
              <w:t>8</w:t>
            </w:r>
            <w:r>
              <w:fldChar w:fldCharType="end"/>
            </w:r>
          </w:hyperlink>
        </w:p>
        <w:p>
          <w:pPr>
            <w:pStyle w:val="12"/>
            <w:ind w:left="720"/>
            <w:tabs>
              <w:tab w:val="right" w:leader="dot" w:pos="9026"/>
            </w:tabs>
            <w:spacing w:before="120" w:after="60"/>
          </w:pPr>
          <w:hyperlink w:anchor="_Toc100024" w:history="1">
            <w:r>
              <w:rPr>
                <w:rStyle w:val="Hyperlink"/>
              </w:rPr>
              <w:t>القدرة في Zman من البداية إلى النهاية</w:t>
            </w:r>
            <w:r>
              <w:tab/>
            </w:r>
            <w:r>
              <w:fldChar w:fldCharType="begin"/>
            </w:r>
            <w:r>
              <w:instrText xml:space="preserve"> PAGEREF _Toc100024 \h </w:instrText>
            </w:r>
            <w:r>
              <w:fldChar w:fldCharType="separate"/>
            </w:r>
            <w:r>
              <w:t>8</w:t>
            </w:r>
            <w:r>
              <w:fldChar w:fldCharType="end"/>
            </w:r>
          </w:hyperlink>
        </w:p>
        <w:p>
          <w:pPr>
            <w:pStyle w:val="12"/>
            <w:ind w:left="720"/>
            <w:tabs>
              <w:tab w:val="right" w:leader="dot" w:pos="9026"/>
            </w:tabs>
            <w:spacing w:before="120" w:after="60"/>
          </w:pPr>
          <w:hyperlink w:anchor="_Toc100025" w:history="1">
            <w:r>
              <w:rPr>
                <w:rStyle w:val="Hyperlink"/>
              </w:rPr>
              <w:t>موقف Micro والحواف المقبولة والجوهر المرفوض</w:t>
            </w:r>
            <w:r>
              <w:tab/>
            </w:r>
            <w:r>
              <w:fldChar w:fldCharType="begin"/>
            </w:r>
            <w:r>
              <w:instrText xml:space="preserve"> PAGEREF _Toc100025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الملف السادس: آخر ما صار وسجل كل ما صار (TR-05)</w:t>
            </w:r>
            <w:r>
              <w:tab/>
            </w:r>
            <w:r>
              <w:fldChar w:fldCharType="begin"/>
            </w:r>
            <w:r>
              <w:instrText xml:space="preserve"> PAGEREF _Toc100026 \h </w:instrText>
            </w:r>
            <w:r>
              <w:fldChar w:fldCharType="separate"/>
            </w:r>
            <w:r>
              <w:t>8</w:t>
            </w:r>
            <w:r>
              <w:fldChar w:fldCharType="end"/>
            </w:r>
          </w:hyperlink>
        </w:p>
        <w:p>
          <w:pPr>
            <w:pStyle w:val="11"/>
            <w:ind w:left="360"/>
            <w:tabs>
              <w:tab w:val="right" w:leader="dot" w:pos="9026"/>
            </w:tabs>
            <w:spacing w:before="120" w:after="60"/>
          </w:pPr>
          <w:hyperlink w:anchor="_Toc100027" w:history="1">
            <w:r>
              <w:rPr>
                <w:rStyle w:val="Hyperlink"/>
              </w:rPr>
              <w:t>الملف السابع: مسودة محفوظة للمحررات (TR-11) — الاكتشاف الجديد</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ملفات مكثفة للبنود المساندة</w:t>
            </w:r>
            <w:r>
              <w:tab/>
            </w:r>
            <w:r>
              <w:fldChar w:fldCharType="begin"/>
            </w:r>
            <w:r>
              <w:instrText xml:space="preserve"> PAGEREF _Toc100028 \h </w:instrText>
            </w:r>
            <w:r>
              <w:fldChar w:fldCharType="separate"/>
            </w:r>
            <w:r>
              <w:t>9</w:t>
            </w:r>
            <w:r>
              <w:fldChar w:fldCharType="end"/>
            </w:r>
          </w:hyperlink>
        </w:p>
        <w:p>
          <w:pPr>
            <w:pStyle w:val="9"/>
            <w:tabs>
              <w:tab w:val="right" w:leader="dot" w:pos="9026"/>
            </w:tabs>
            <w:spacing w:before="120" w:after="60"/>
          </w:pPr>
          <w:hyperlink w:anchor="_Toc100029" w:history="1">
            <w:r>
              <w:rPr>
                <w:rStyle w:val="Hyperlink"/>
              </w:rPr>
              <w:t>المخرج د — خريطة النقل للملاحة وشاشات المعلومات</w:t>
            </w:r>
            <w:r>
              <w:tab/>
            </w:r>
            <w:r>
              <w:fldChar w:fldCharType="begin"/>
            </w:r>
            <w:r>
              <w:instrText xml:space="preserve"> PAGEREF _Toc100029 \h </w:instrText>
            </w:r>
            <w:r>
              <w:fldChar w:fldCharType="separate"/>
            </w:r>
            <w:r>
              <w:t>9</w:t>
            </w:r>
            <w:r>
              <w:fldChar w:fldCharType="end"/>
            </w:r>
          </w:hyperlink>
        </w:p>
        <w:p>
          <w:pPr>
            <w:pStyle w:val="9"/>
            <w:tabs>
              <w:tab w:val="right" w:leader="dot" w:pos="9026"/>
            </w:tabs>
            <w:spacing w:before="120" w:after="60"/>
          </w:pPr>
          <w:hyperlink w:anchor="_Toc100030" w:history="1">
            <w:r>
              <w:rPr>
                <w:rStyle w:val="Hyperlink"/>
              </w:rPr>
              <w:t>المخرج هـ — العقود المالية وبيانات النقل</w:t>
            </w:r>
            <w:r>
              <w:tab/>
            </w:r>
            <w:r>
              <w:fldChar w:fldCharType="begin"/>
            </w:r>
            <w:r>
              <w:instrText xml:space="preserve"> PAGEREF _Toc100030 \h </w:instrText>
            </w:r>
            <w:r>
              <w:fldChar w:fldCharType="separate"/>
            </w:r>
            <w:r>
              <w:t>10</w:t>
            </w:r>
            <w:r>
              <w:fldChar w:fldCharType="end"/>
            </w:r>
          </w:hyperlink>
        </w:p>
        <w:p>
          <w:pPr>
            <w:pStyle w:val="11"/>
            <w:ind w:left="360"/>
            <w:tabs>
              <w:tab w:val="right" w:leader="dot" w:pos="9026"/>
            </w:tabs>
            <w:spacing w:before="120" w:after="60"/>
          </w:pPr>
          <w:hyperlink w:anchor="_Toc100031" w:history="1">
            <w:r>
              <w:rPr>
                <w:rStyle w:val="Hyperlink"/>
              </w:rPr>
              <w:t>قرار العربون المحتجز: سؤال مطروح لا حل مفبرك</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الرفوض الصلبة التي تحفظ صدق Micro المالي</w:t>
            </w:r>
            <w:r>
              <w:tab/>
            </w:r>
            <w:r>
              <w:fldChar w:fldCharType="begin"/>
            </w:r>
            <w:r>
              <w:instrText xml:space="preserve"> PAGEREF _Toc100032 \h </w:instrText>
            </w:r>
            <w:r>
              <w:fldChar w:fldCharType="separate"/>
            </w:r>
            <w:r>
              <w:t>10</w:t>
            </w:r>
            <w:r>
              <w:fldChar w:fldCharType="end"/>
            </w:r>
          </w:hyperlink>
        </w:p>
        <w:p>
          <w:pPr>
            <w:pStyle w:val="9"/>
            <w:tabs>
              <w:tab w:val="right" w:leader="dot" w:pos="9026"/>
            </w:tabs>
            <w:spacing w:before="120" w:after="60"/>
          </w:pPr>
          <w:hyperlink w:anchor="_Toc100033" w:history="1">
            <w:r>
              <w:rPr>
                <w:rStyle w:val="Hyperlink"/>
              </w:rPr>
              <w:t>المخرج و — الترتيب النهائي لتوصيات النقل</w:t>
            </w:r>
            <w:r>
              <w:tab/>
            </w:r>
            <w:r>
              <w:fldChar w:fldCharType="begin"/>
            </w:r>
            <w:r>
              <w:instrText xml:space="preserve"> PAGEREF _Toc100033 \h </w:instrText>
            </w:r>
            <w:r>
              <w:fldChar w:fldCharType="separate"/>
            </w:r>
            <w:r>
              <w:t>11</w:t>
            </w:r>
            <w:r>
              <w:fldChar w:fldCharType="end"/>
            </w:r>
          </w:hyperlink>
        </w:p>
        <w:p>
          <w:pPr>
            <w:pStyle w:val="9"/>
            <w:tabs>
              <w:tab w:val="right" w:leader="dot" w:pos="9026"/>
            </w:tabs>
            <w:spacing w:before="120" w:after="60"/>
          </w:pPr>
          <w:hyperlink w:anchor="_Toc100034" w:history="1">
            <w:r>
              <w:rPr>
                <w:rStyle w:val="Hyperlink"/>
              </w:rPr>
              <w:t>المخرج ز — معمارية النقل النهائية</w:t>
            </w:r>
            <w:r>
              <w:tab/>
            </w:r>
            <w:r>
              <w:fldChar w:fldCharType="begin"/>
            </w:r>
            <w:r>
              <w:instrText xml:space="preserve"> PAGEREF _Toc100034 \h </w:instrText>
            </w:r>
            <w:r>
              <w:fldChar w:fldCharType="separate"/>
            </w:r>
            <w:r>
              <w:t>12</w:t>
            </w:r>
            <w:r>
              <w:fldChar w:fldCharType="end"/>
            </w:r>
          </w:hyperlink>
        </w:p>
        <w:p>
          <w:pPr>
            <w:pStyle w:val="11"/>
            <w:ind w:left="360"/>
            <w:tabs>
              <w:tab w:val="right" w:leader="dot" w:pos="9026"/>
            </w:tabs>
            <w:spacing w:before="120" w:after="60"/>
          </w:pPr>
          <w:hyperlink w:anchor="_Toc100035" w:history="1">
            <w:r>
              <w:rPr>
                <w:rStyle w:val="Hyperlink"/>
              </w:rPr>
              <w:t>ما يعاد استخدامه من Micro كما هو</w:t>
            </w:r>
            <w:r>
              <w:tab/>
            </w:r>
            <w:r>
              <w:fldChar w:fldCharType="begin"/>
            </w:r>
            <w:r>
              <w:instrText xml:space="preserve"> PAGEREF _Toc100035 \h </w:instrText>
            </w:r>
            <w:r>
              <w:fldChar w:fldCharType="separate"/>
            </w:r>
            <w:r>
              <w:t>12</w:t>
            </w:r>
            <w:r>
              <w:fldChar w:fldCharType="end"/>
            </w:r>
          </w:hyperlink>
        </w:p>
        <w:p>
          <w:pPr>
            <w:pStyle w:val="11"/>
            <w:ind w:left="360"/>
            <w:tabs>
              <w:tab w:val="right" w:leader="dot" w:pos="9026"/>
            </w:tabs>
            <w:spacing w:before="120" w:after="60"/>
          </w:pPr>
          <w:hyperlink w:anchor="_Toc100036" w:history="1">
            <w:r>
              <w:rPr>
                <w:rStyle w:val="Hyperlink"/>
              </w:rPr>
              <w:t>رسم الاعتماد وترتيب البناء</w:t>
            </w:r>
            <w:r>
              <w:tab/>
            </w:r>
            <w:r>
              <w:fldChar w:fldCharType="begin"/>
            </w:r>
            <w:r>
              <w:instrText xml:space="preserve"> PAGEREF _Toc100036 \h </w:instrText>
            </w:r>
            <w:r>
              <w:fldChar w:fldCharType="separate"/>
            </w:r>
            <w:r>
              <w:t>12</w:t>
            </w:r>
            <w:r>
              <w:fldChar w:fldCharType="end"/>
            </w:r>
          </w:hyperlink>
        </w:p>
        <w:p>
          <w:pPr>
            <w:pStyle w:val="11"/>
            <w:ind w:left="360"/>
            <w:tabs>
              <w:tab w:val="right" w:leader="dot" w:pos="9026"/>
            </w:tabs>
            <w:spacing w:before="120" w:after="60"/>
          </w:pPr>
          <w:hyperlink w:anchor="_Toc100037" w:history="1">
            <w:r>
              <w:rPr>
                <w:rStyle w:val="Hyperlink"/>
              </w:rPr>
              <w:t>بيان الهجرة والتوافق</w:t>
            </w:r>
            <w:r>
              <w:tab/>
            </w:r>
            <w:r>
              <w:fldChar w:fldCharType="begin"/>
            </w:r>
            <w:r>
              <w:instrText xml:space="preserve"> PAGEREF _Toc100037 \h </w:instrText>
            </w:r>
            <w:r>
              <w:fldChar w:fldCharType="separate"/>
            </w:r>
            <w:r>
              <w:t>13</w:t>
            </w:r>
            <w:r>
              <w:fldChar w:fldCharType="end"/>
            </w:r>
          </w:hyperlink>
        </w:p>
        <w:p>
          <w:pPr>
            <w:pStyle w:val="11"/>
            <w:ind w:left="360"/>
            <w:tabs>
              <w:tab w:val="right" w:leader="dot" w:pos="9026"/>
            </w:tabs>
            <w:spacing w:before="120" w:after="60"/>
          </w:pPr>
          <w:hyperlink w:anchor="_Toc100038" w:history="1">
            <w:r>
              <w:rPr>
                <w:rStyle w:val="Hyperlink"/>
              </w:rPr>
              <w:t>كيف تحفظ المعمارية هوية Micro</w:t>
            </w:r>
            <w:r>
              <w:tab/>
            </w:r>
            <w:r>
              <w:fldChar w:fldCharType="begin"/>
            </w:r>
            <w:r>
              <w:instrText xml:space="preserve"> PAGEREF _Toc100038 \h </w:instrText>
            </w:r>
            <w:r>
              <w:fldChar w:fldCharType="separate"/>
            </w:r>
            <w:r>
              <w:t>13</w:t>
            </w:r>
            <w:r>
              <w:fldChar w:fldCharType="end"/>
            </w:r>
          </w:hyperlink>
        </w:p>
        <w:p>
          <w:pPr>
            <w:pStyle w:val="9"/>
            <w:tabs>
              <w:tab w:val="right" w:leader="dot" w:pos="9026"/>
            </w:tabs>
            <w:spacing w:before="120" w:after="60"/>
          </w:pPr>
          <w:hyperlink w:anchor="_Toc100039" w:history="1">
            <w:r>
              <w:rPr>
                <w:rStyle w:val="Hyperlink"/>
              </w:rPr>
              <w:t>المخرج ح — جاهزية التنفيذ لاحقًا</w:t>
            </w:r>
            <w:r>
              <w:tab/>
            </w:r>
            <w:r>
              <w:fldChar w:fldCharType="begin"/>
            </w:r>
            <w:r>
              <w:instrText xml:space="preserve"> PAGEREF _Toc100039 \h </w:instrText>
            </w:r>
            <w:r>
              <w:fldChar w:fldCharType="separate"/>
            </w:r>
            <w:r>
              <w:t>13</w:t>
            </w:r>
            <w:r>
              <w:fldChar w:fldCharType="end"/>
            </w:r>
          </w:hyperlink>
        </w:p>
        <w:p>
          <w:pPr>
            <w:pStyle w:val="11"/>
            <w:ind w:left="360"/>
            <w:tabs>
              <w:tab w:val="right" w:leader="dot" w:pos="9026"/>
            </w:tabs>
            <w:spacing w:before="120" w:after="60"/>
          </w:pPr>
          <w:hyperlink w:anchor="_Toc100040" w:history="1">
            <w:r>
              <w:rPr>
                <w:rStyle w:val="Hyperlink"/>
              </w:rPr>
              <w:t>سجل المخاطر مع التخفيفات</w:t>
            </w:r>
            <w:r>
              <w:tab/>
            </w:r>
            <w:r>
              <w:fldChar w:fldCharType="begin"/>
            </w:r>
            <w:r>
              <w:instrText xml:space="preserve"> PAGEREF _Toc100040 \h </w:instrText>
            </w:r>
            <w:r>
              <w:fldChar w:fldCharType="separate"/>
            </w:r>
            <w:r>
              <w:t>14</w:t>
            </w:r>
            <w:r>
              <w:fldChar w:fldCharType="end"/>
            </w:r>
          </w:hyperlink>
        </w:p>
        <w:p>
          <w:pPr>
            <w:pStyle w:val="9"/>
            <w:tabs>
              <w:tab w:val="right" w:leader="dot" w:pos="9026"/>
            </w:tabs>
            <w:spacing w:before="120" w:after="60"/>
          </w:pPr>
          <w:hyperlink w:anchor="_Toc100041" w:history="1">
            <w:r>
              <w:rPr>
                <w:rStyle w:val="Hyperlink"/>
              </w:rPr>
              <w:t>الأسئلة المفتوحة للمالك وقاعدة الأدلة</w:t>
            </w:r>
            <w:r>
              <w:tab/>
            </w:r>
            <w:r>
              <w:fldChar w:fldCharType="begin"/>
            </w:r>
            <w:r>
              <w:instrText xml:space="preserve"> PAGEREF _Toc100041 \h </w:instrText>
            </w:r>
            <w:r>
              <w:fldChar w:fldCharType="separate"/>
            </w:r>
            <w:r>
              <w:t>14</w:t>
            </w:r>
            <w:r>
              <w:fldChar w:fldCharType="end"/>
            </w:r>
          </w:hyperlink>
        </w:p>
        <w:p>
          <w:pPr>
            <w:pStyle w:val="11"/>
            <w:ind w:left="360"/>
            <w:tabs>
              <w:tab w:val="right" w:leader="dot" w:pos="9026"/>
            </w:tabs>
            <w:spacing w:before="120" w:after="60"/>
          </w:pPr>
          <w:hyperlink w:anchor="_Toc100042" w:history="1">
            <w:r>
              <w:rPr>
                <w:rStyle w:val="Hyperlink"/>
              </w:rPr>
              <w:t>سجل القرارات المطروح على المالك</w:t>
            </w:r>
            <w:r>
              <w:tab/>
            </w:r>
            <w:r>
              <w:fldChar w:fldCharType="begin"/>
            </w:r>
            <w:r>
              <w:instrText xml:space="preserve"> PAGEREF _Toc100042 \h </w:instrText>
            </w:r>
            <w:r>
              <w:fldChar w:fldCharType="separate"/>
            </w:r>
            <w:r>
              <w:t>14</w:t>
            </w:r>
            <w:r>
              <w:fldChar w:fldCharType="end"/>
            </w:r>
          </w:hyperlink>
        </w:p>
        <w:p>
          <w:pPr>
            <w:pStyle w:val="11"/>
            <w:ind w:left="360"/>
            <w:tabs>
              <w:tab w:val="right" w:leader="dot" w:pos="9026"/>
            </w:tabs>
            <w:spacing w:before="120" w:after="60"/>
          </w:pPr>
          <w:hyperlink w:anchor="_Toc100043" w:history="1">
            <w:r>
              <w:rPr>
                <w:rStyle w:val="Hyperlink"/>
              </w:rPr>
              <w:t>تقارير الوكلاء وقاعدة الأدلة</w:t>
            </w:r>
            <w:r>
              <w:tab/>
            </w:r>
            <w:r>
              <w:fldChar w:fldCharType="begin"/>
            </w:r>
            <w:r>
              <w:instrText xml:space="preserve"> PAGEREF _Toc100043 \h </w:instrText>
            </w:r>
            <w:r>
              <w:fldChar w:fldCharType="separate"/>
            </w:r>
            <w:r>
              <w:t>14</w:t>
            </w:r>
            <w:r>
              <w:fldChar w:fldCharType="end"/>
            </w:r>
          </w:hyperlink>
        </w:p>
        <w:p>
          <w:r>
            <w:fldChar w:fldCharType="end"/>
          </w:r>
        </w:p>
      </w:sdtContent>
    </w:sdt>
    <w:p>
      <w:pPr>
        <w:bidi/>
        <w:spacing w:before="200" w:line="300"/>
        <w:jc w:val="start"/>
      </w:pPr>
      <w:r>
        <w:rPr>
          <w:rFonts w:ascii="Arial" w:cs="Arial" w:hAnsi="Arial"/>
          <w:b w:val="false"/>
          <w:bCs w:val="false"/>
          <w:i/>
          <w:iCs/>
          <w:color w:val="888888"/>
          <w:sz w:val="18"/>
          <w:szCs w:val="18"/>
          <w:rtl/>
        </w:rPr>
        <w:t xml:space="preserve">ملاحظة: هذه القائمة مولدة برموز الحقول؛ بعد أي تعديل على المستند انقر عليها بزر الفأرة الأيمن واختر تحديث الحقل لضبط أرقام الصفحات.</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bidi/>
        <w:spacing w:after="160" w:before="360" w:line="368" w:lineRule="atLeast"/>
        <w:jc w:val="start"/>
      </w:pPr>
      <w:bookmarkStart w:id="100000" w:name="_Toc100000"/>
      <w:r>
        <w:rPr>
          <w:rFonts w:ascii="Arial" w:cs="Arial" w:hAnsi="Arial"/>
          <w:b/>
          <w:bCs/>
          <w:i w:val="false"/>
          <w:iCs w:val="false"/>
          <w:color w:val="1A1A1A"/>
          <w:sz w:val="32"/>
          <w:szCs w:val="32"/>
          <w:rtl/>
        </w:rPr>
        <w:t xml:space="preserve">الملخص التنفيذي ومنهجية التحليل</w:t>
      </w:r>
      <w:bookmarkEnd w:id="100000"/>
    </w:p>
    <w:p>
      <w:pPr>
        <w:pStyle w:val="Heading2"/>
        <w:bidi/>
        <w:spacing w:after="120" w:before="240" w:line="345" w:lineRule="atLeast"/>
        <w:jc w:val="start"/>
      </w:pPr>
      <w:bookmarkStart w:id="100001" w:name="_Toc100001"/>
      <w:r>
        <w:rPr>
          <w:rFonts w:ascii="Arial" w:cs="Arial" w:hAnsi="Arial"/>
          <w:b/>
          <w:bCs/>
          <w:i w:val="false"/>
          <w:iCs w:val="false"/>
          <w:color w:val="1A1A1A"/>
          <w:sz w:val="30"/>
          <w:szCs w:val="30"/>
          <w:rtl/>
        </w:rPr>
        <w:t xml:space="preserve">الغرض والمهمة</w:t>
      </w:r>
      <w:bookmarkEnd w:id="100001"/>
    </w:p>
    <w:p>
      <w:pPr>
        <w:bidi/>
        <w:spacing w:after="120" w:line="312"/>
        <w:ind w:firstLine="480"/>
        <w:jc w:val="both"/>
      </w:pPr>
      <w:r>
        <w:rPr>
          <w:rFonts w:ascii="Arial" w:cs="Arial" w:hAnsi="Arial"/>
          <w:b w:val="false"/>
          <w:bCs w:val="false"/>
          <w:i w:val="false"/>
          <w:iCs w:val="false"/>
          <w:color w:val="262626"/>
          <w:sz w:val="24"/>
          <w:szCs w:val="24"/>
          <w:rtl/>
        </w:rPr>
        <w:t xml:space="preserve">يقدم هذا التقرير نتيجة مهمة تحليلية مستقلة هدفها فحص منتج Zman الحالي بعمق ومقارنته بمنتج Micro الحالي، بهدف تحديد القدرات وسير العمل والمفاهيم المالية وسلوكيات البيانات وتجارب الاستخدام الموجودة في Zman والمفقودة أو الأضعف أو المخفية أو غير المكتملة في Micro. الاتجاه مقارن من طرف واحد فقط: من Zman بوصفه مصدر القدرات إلى Micro بوصفه الهدف المقصود بالنقل. لم تجرِ في هذه المهمة أي تعديلات على الكود في أي من المستودعين، ولم تُنشأ أي ملفات داخلهما، ولم يُلتزم أو يُدفع أو يُدمج أي تغيير؛ المستودع الوحيد الذي كُتب فيه هو مستودع Documents لتسليم التقارير النهائية.</w:t>
      </w:r>
    </w:p>
    <w:p>
      <w:pPr>
        <w:bidi/>
        <w:spacing w:after="120" w:line="312"/>
        <w:ind w:firstLine="480"/>
        <w:jc w:val="both"/>
      </w:pPr>
      <w:r>
        <w:rPr>
          <w:rFonts w:ascii="Arial" w:cs="Arial" w:hAnsi="Arial"/>
          <w:b w:val="false"/>
          <w:bCs w:val="false"/>
          <w:i w:val="false"/>
          <w:iCs w:val="false"/>
          <w:color w:val="262626"/>
          <w:sz w:val="24"/>
          <w:szCs w:val="24"/>
          <w:rtl/>
        </w:rPr>
        <w:t xml:space="preserve">خضع المستودعان للفحص عند حالتيهما الحاليتين من الفرع الرئيسي main مباشرة: مستودع zman-app عند الإصدار bdd63ab، ومستودع Micro عند الإصدار 4db6a5f. ولم يُعتمد على الذاكرة أو المحادثات السابقة أو لقطات الشاشة التاريخية أو تقارير وكلاء سابقين عند أي تعارض مع المحتوى الفعلي الحالي للمستودعين. كل استنتاج جوهري في هذا التقرير مدعوم بمسار ملف محدد من المستودع المعني، وما لم يمكن التحقق منه مباشرة في الكود وُسم صراحة بكونه استنتاجًا مع بيان درجة عدم اليقين.</w:t>
      </w:r>
    </w:p>
    <w:p>
      <w:pPr>
        <w:pStyle w:val="Heading2"/>
        <w:bidi/>
        <w:spacing w:after="120" w:before="240" w:line="345" w:lineRule="atLeast"/>
        <w:jc w:val="start"/>
      </w:pPr>
      <w:bookmarkStart w:id="100002" w:name="_Toc100002"/>
      <w:r>
        <w:rPr>
          <w:rFonts w:ascii="Arial" w:cs="Arial" w:hAnsi="Arial"/>
          <w:b/>
          <w:bCs/>
          <w:i w:val="false"/>
          <w:iCs w:val="false"/>
          <w:color w:val="1A1A1A"/>
          <w:sz w:val="30"/>
          <w:szCs w:val="30"/>
          <w:rtl/>
        </w:rPr>
        <w:t xml:space="preserve">المنهجية وفريق التحليل</w:t>
      </w:r>
      <w:bookmarkEnd w:id="100002"/>
    </w:p>
    <w:p>
      <w:pPr>
        <w:bidi/>
        <w:spacing w:after="120" w:line="312"/>
        <w:ind w:firstLine="480"/>
        <w:jc w:val="both"/>
      </w:pPr>
      <w:r>
        <w:rPr>
          <w:rFonts w:ascii="Arial" w:cs="Arial" w:hAnsi="Arial"/>
          <w:b w:val="false"/>
          <w:bCs w:val="false"/>
          <w:i w:val="false"/>
          <w:iCs w:val="false"/>
          <w:color w:val="262626"/>
          <w:sz w:val="24"/>
          <w:szCs w:val="24"/>
          <w:rtl/>
        </w:rPr>
        <w:t xml:space="preserve">استُخدم في التحليل خمسة وكلاء متخصصين عملوا بالتوازي في مجالات القراءة فقط، ثم جمع الوكيل الأب نتائجهم وحل التناقضات وأصدر التوصية النهائية الموحدة. تولى الوكيل الأول رسم خريطة قدرات Zman كاملة من البداية إلى النهاية فأنتج فهرسًا من 24 قدرة (ZC-01 إلى ZC-24). وتولى الوكيل الثاني بناء خط أساس Micro الحالي وتصنيف كل قدرة من قدرات Zman مقابل Micro فأنتج 21 تصنيفًا (MG-01 إلى MG-21) مع عشرة تحذيرات من الفجوات الكاذبة. وأعاد الوكيل الثالث بناء رحلات الاستخدام ونجز تسع ملفات تفصيلية لتجربة الاستخدام (UX-01 إلى UX-09). وتتبع الوكيل الرابع الآثار المالية والبيانية لكل مرشح للنقل وحدد عقود النقل العشرة (FI-01 إلى FI-10) مع الرفض المسبب لكل ما ينتهك قواعد الصدق المالي في Micro. وتولى الوكيل الخامس - بوصفه مراجعًا نقديًا ومعماريًا للنقل - تحدي نتائج الوكلاء الآخرين والتحقق منها في الكود مرة أخرى، فأصحح مفهومين خاطئين في قائمة الفحوصات المقترحة، وأضاف قدرة جديدة لم يرصدها أحد قبله (مسودة الإدخال المحفوظة)، وأصدر مجموعة النقل النهائية المرتبة (TR-01 إلى TR-17).</w:t>
      </w:r>
    </w:p>
    <w:p>
      <w:pPr>
        <w:bidi/>
        <w:spacing w:after="120" w:line="312"/>
        <w:ind w:firstLine="480"/>
        <w:jc w:val="both"/>
      </w:pPr>
      <w:r>
        <w:rPr>
          <w:rFonts w:ascii="Arial" w:cs="Arial" w:hAnsi="Arial"/>
          <w:b w:val="false"/>
          <w:bCs w:val="false"/>
          <w:i w:val="false"/>
          <w:iCs w:val="false"/>
          <w:color w:val="262626"/>
          <w:sz w:val="24"/>
          <w:szCs w:val="24"/>
          <w:rtl/>
        </w:rPr>
        <w:t xml:space="preserve">وزّع الجهد وفق المطلوب: نحو 20 بالمئة لتأسيس خطي الأساس اللازمين للمقارنة الدقيقة، ونحو 80 بالمئة لاستخراج قدرات Zman وإعادة بناء سير عملها الكامل وتحديد فجوات Micro وتصميم النقل المكيّف الأفضل. ولم تُستخدم أي مصادر خارجية في أي قرار ملزم؛ فالأدلة المستمدة من المستودعين وقواعد Micro الموثقة داخليًا كانت كافية وحاكمة في كل حكم، ولذلك لا تتضمن قائمة مراجع خارجية في هذا التقرير.</w:t>
      </w:r>
    </w:p>
    <w:p>
      <w:pPr>
        <w:pStyle w:val="Heading2"/>
        <w:bidi/>
        <w:spacing w:after="120" w:before="240" w:line="345" w:lineRule="atLeast"/>
        <w:jc w:val="start"/>
      </w:pPr>
      <w:bookmarkStart w:id="100003" w:name="_Toc100003"/>
      <w:r>
        <w:rPr>
          <w:rFonts w:ascii="Arial" w:cs="Arial" w:hAnsi="Arial"/>
          <w:b/>
          <w:bCs/>
          <w:i w:val="false"/>
          <w:iCs w:val="false"/>
          <w:color w:val="1A1A1A"/>
          <w:sz w:val="30"/>
          <w:szCs w:val="30"/>
          <w:rtl/>
        </w:rPr>
        <w:t xml:space="preserve">النتائج الرئيسية</w:t>
      </w:r>
      <w:bookmarkEnd w:id="100003"/>
    </w:p>
    <w:p>
      <w:pPr>
        <w:bidi/>
        <w:spacing w:after="120" w:line="312"/>
        <w:ind w:firstLine="480"/>
        <w:jc w:val="both"/>
      </w:pPr>
      <w:r>
        <w:rPr>
          <w:rFonts w:ascii="Arial" w:cs="Arial" w:hAnsi="Arial"/>
          <w:b w:val="false"/>
          <w:bCs w:val="false"/>
          <w:i w:val="false"/>
          <w:iCs w:val="false"/>
          <w:color w:val="262626"/>
          <w:sz w:val="24"/>
          <w:szCs w:val="24"/>
          <w:rtl/>
        </w:rPr>
        <w:t xml:space="preserve">أولًا: Micro أقوى بالفعل من Zman في سبعة من مجالات المقارنة الثمانية عشر: حساب التكلفة والتسعير، وكتالوج الوحدات والتحويلات، ودورة حياة الطلبات، والمحافظ والاستمرارية النقدية، والأرصدة الافتتاحية، ودفتر الناس للمدينين والدائنين، والتصدير والاستيراد. هذه فجوات عكسية؛ أي أن صاحب عمل منتقلًا من Zman إلى Micro يكسب قدرات لا يفقدها، وتسجيلها بوصفها فجوات في Micro يكون خطأً مباشرًا، ولذلك خصص التقرير سجل تحذيرات صريحًا لمنع ذلك.</w:t>
      </w:r>
    </w:p>
    <w:p>
      <w:pPr>
        <w:bidi/>
        <w:spacing w:after="120" w:line="312"/>
        <w:ind w:firstLine="480"/>
        <w:jc w:val="both"/>
      </w:pPr>
      <w:r>
        <w:rPr>
          <w:rFonts w:ascii="Arial" w:cs="Arial" w:hAnsi="Arial"/>
          <w:b w:val="false"/>
          <w:bCs w:val="false"/>
          <w:i w:val="false"/>
          <w:iCs w:val="false"/>
          <w:color w:val="262626"/>
          <w:sz w:val="24"/>
          <w:szCs w:val="24"/>
          <w:rtl/>
        </w:rPr>
        <w:t xml:space="preserve">ثانيًا: الفجوات الحقيقية تتركز في الثقة والمشاركة لا في آليات القيد المحاسبي. فالمالك في Micro اليوم لا يستطيع أن يثبت لأم نفسه سلامة أرقامه بلمسة واحدة (فحص السلامة من 16 فحصًا في Zman)، ولا يستطيع أن يسلّم محاسبًا أو جهة تمويل أو فردًا من العائلة وثيقة فترة قابلة للمشاركة (تقارير Markdown في Zman)، ولا يستطيع أن يجيب عن سؤال: ماذا صرفت على البنزين هذا الشهر؟ (التصنيف المسمى للمصاريف في Zman)، ولا يجيب عن سؤال: ماذا جرى اليوم؟ في مكان واحد (سجل النشاط الموحد في Zman).</w:t>
      </w:r>
    </w:p>
    <w:p>
      <w:pPr>
        <w:bidi/>
        <w:spacing w:after="120" w:line="312"/>
        <w:ind w:firstLine="480"/>
        <w:jc w:val="both"/>
      </w:pPr>
      <w:r>
        <w:rPr>
          <w:rFonts w:ascii="Arial" w:cs="Arial" w:hAnsi="Arial"/>
          <w:b w:val="false"/>
          <w:bCs w:val="false"/>
          <w:i w:val="false"/>
          <w:iCs w:val="false"/>
          <w:color w:val="262626"/>
          <w:sz w:val="24"/>
          <w:szCs w:val="24"/>
          <w:rtl/>
        </w:rPr>
        <w:t xml:space="preserve">ثالثًا: أعمق ما يستحق النقل معماري لا بصري: انضباط الدالة الواحدة للربح في Zman مع الفحص الوقتي للتطابق بين الأسطح (LOCKED-6 وفحص IC-13) هو أعلى أنماط القيمة قابلية للنقل إلى Micro، وهو نمط يقوّي حد الربح المحدود في Micro بدل أن يضعفه؛ إذ يصبح غياب الرقم عند نقص المعرفة حالة مُفحصة ومتفقًا عليها بين الأسطح كلها، لا مجرد سلوك فردي لكل شاشة.</w:t>
      </w:r>
    </w:p>
    <w:p>
      <w:pPr>
        <w:bidi/>
        <w:spacing w:after="120" w:line="312"/>
        <w:ind w:firstLine="480"/>
        <w:jc w:val="both"/>
      </w:pPr>
      <w:r>
        <w:rPr>
          <w:rFonts w:ascii="Arial" w:cs="Arial" w:hAnsi="Arial"/>
          <w:b w:val="false"/>
          <w:bCs w:val="false"/>
          <w:i w:val="false"/>
          <w:iCs w:val="false"/>
          <w:color w:val="262626"/>
          <w:sz w:val="24"/>
          <w:szCs w:val="24"/>
          <w:rtl/>
        </w:rPr>
        <w:t xml:space="preserve">رابعًا: أكثر قدرات Zman إغراءً هي بالضبط ما يجب رفضه. فالمخزون الانتقائي الخصم الآلي عند التسليم، وتحويل الطلب إلى مبيعة مع إعادة تصنيف العربون، والشطب المزدوج غير القابل للعكس، هندسة ممتازة فعلًا لكنها مقصورة على نموذج Zman المبني على الخادم والسجل الواحد والإيراد بوصفه صفحة مبيعة. نقلها إلى نموذج Micro القائم على الأحداث والأدلة الصريحة والسجل الإضافي فقط سينشئ آثار مخزون من التقديرات، وسيعدّل أحداثًا نقدية ماضية، وسيحول المجهول إلى صفر. رُفضت الثلاثة كلها بأدلة موثقة، ولم يبق منها إلا الحواف: جسر الاستلام من الشراء، وصفوف إظهار الهدر، والقوانين المكتوبة.</w:t>
      </w:r>
    </w:p>
    <w:p>
      <w:pPr>
        <w:bidi/>
        <w:spacing w:after="120" w:line="312"/>
        <w:ind w:firstLine="480"/>
        <w:jc w:val="both"/>
      </w:pPr>
      <w:r>
        <w:rPr>
          <w:rFonts w:ascii="Arial" w:cs="Arial" w:hAnsi="Arial"/>
          <w:b w:val="false"/>
          <w:bCs w:val="false"/>
          <w:i w:val="false"/>
          <w:iCs w:val="false"/>
          <w:color w:val="262626"/>
          <w:sz w:val="24"/>
          <w:szCs w:val="24"/>
          <w:rtl/>
        </w:rPr>
        <w:t xml:space="preserve">خامسًا: اكتُشفت قدرة لم يرصدها أي وكيل في الجولتين الأوليين: حفظ Zman لإدخال النموذج غير المحفوظ في التخزين المحلي وعرضه للاستعادة بعد انهيار المتصفح (مفاتيح DRAFT_KEYS في نموذج الإدخال الموحد). أما Micro فلا يحفظ إدخالات المحررات إطلاقًا؛ فحراسة التغييرات غير المحفوظة تحذر عند التنقل ولا تستطيع الاستعادة بعد التحديث الفجائي للمتصفح على الهاتف. تسجل هذه القدرة بوصفها بند النقل TR-11.</w:t>
      </w:r>
    </w:p>
    <w:p>
      <w:pPr>
        <w:pStyle w:val="Heading2"/>
        <w:bidi/>
        <w:spacing w:after="120" w:before="240" w:line="345" w:lineRule="atLeast"/>
        <w:jc w:val="start"/>
      </w:pPr>
      <w:bookmarkStart w:id="100004" w:name="_Toc100004"/>
      <w:r>
        <w:rPr>
          <w:rFonts w:ascii="Arial" w:cs="Arial" w:hAnsi="Arial"/>
          <w:b/>
          <w:bCs/>
          <w:i w:val="false"/>
          <w:iCs w:val="false"/>
          <w:color w:val="1A1A1A"/>
          <w:sz w:val="30"/>
          <w:szCs w:val="30"/>
          <w:rtl/>
        </w:rPr>
        <w:t xml:space="preserve">مجموعة النقل النهائية في سطر واحد</w:t>
      </w:r>
      <w:bookmarkEnd w:id="100004"/>
    </w:p>
    <w:p>
      <w:pPr>
        <w:bidi/>
        <w:spacing w:after="120" w:line="312"/>
        <w:ind w:firstLine="480"/>
        <w:jc w:val="both"/>
      </w:pPr>
      <w:r>
        <w:rPr>
          <w:rFonts w:ascii="Arial" w:cs="Arial" w:hAnsi="Arial"/>
          <w:b w:val="false"/>
          <w:bCs w:val="false"/>
          <w:i w:val="false"/>
          <w:iCs w:val="false"/>
          <w:color w:val="262626"/>
          <w:sz w:val="24"/>
          <w:szCs w:val="24"/>
          <w:rtl/>
        </w:rPr>
        <w:t xml:space="preserve">الأولوية صفر P0 تضم بندين: قراءة الفترة الواحدة (TR-01) وهي دالة نتيجة الفترة القانونية الواحدة مع فحص التطابق بين الأسطح، وفحص سلامة مالي (TR-02) وهي منظومة الفحص الذاتي التي يراها المالك. والأولوية الأولى P1 تضم ثلاثة بنود: شارك الكشف (TR-03) وهو تصدير الكشف بوصفه ملفًا قابلًا للمشاركة، وتصنيفي للمصاريف (TR-04) وهو التصنيف الحر للمصاريف والتعديل الوحيد المقبول على مخطط البيانات (من 30 إلى 31 ومن تصدير 22 إلى 23)، وقوانين الأثر والثبات (TR-08) وهي القوانين التفاعلية المكتوبة. والأولوية الثانية P2 تضم ستة بنود: طبقة النشاط الموحدة (TR-05)، وصفوف ظهور الهدر (TR-06)، وحواف المخزون (TR-07)، ومساعدات التراجع واللصق (TR-09)، والملاحظات المتكررة المشروطة بموافقة المالك (TR-10)، ومسودة محفوظة للمحررات (TR-11). ورفض ستة بنود بأسباب ملزمة (TR-12 إلى TR-17). ولم يُنفذ أي كود في هذه المهمة؛ فهذا تسليم تصميمي فقط.</w:t>
      </w:r>
    </w:p>
    <w:p>
      <w:pPr>
        <w:pStyle w:val="Heading2"/>
        <w:bidi/>
        <w:spacing w:after="120" w:before="240" w:line="345" w:lineRule="atLeast"/>
        <w:jc w:val="start"/>
      </w:pPr>
      <w:bookmarkStart w:id="100005" w:name="_Toc100005"/>
      <w:r>
        <w:rPr>
          <w:rFonts w:ascii="Arial" w:cs="Arial" w:hAnsi="Arial"/>
          <w:b/>
          <w:bCs/>
          <w:i w:val="false"/>
          <w:iCs w:val="false"/>
          <w:color w:val="1A1A1A"/>
          <w:sz w:val="30"/>
          <w:szCs w:val="30"/>
          <w:rtl/>
        </w:rPr>
        <w:t xml:space="preserve">قيود Micro غير القابلة للتفاوض بوصفها مرشحات النقل</w:t>
      </w:r>
      <w:bookmarkEnd w:id="100005"/>
    </w:p>
    <w:p>
      <w:pPr>
        <w:bidi/>
        <w:spacing w:after="120" w:line="312"/>
        <w:ind w:firstLine="480"/>
        <w:jc w:val="both"/>
      </w:pPr>
      <w:r>
        <w:rPr>
          <w:rFonts w:ascii="Arial" w:cs="Arial" w:hAnsi="Arial"/>
          <w:b w:val="false"/>
          <w:bCs w:val="false"/>
          <w:i w:val="false"/>
          <w:iCs w:val="false"/>
          <w:color w:val="262626"/>
          <w:sz w:val="24"/>
          <w:szCs w:val="24"/>
          <w:rtl/>
        </w:rPr>
        <w:t xml:space="preserve">اختبر كل اقتراح نقل في هذا التقرير مقابل القيود التالية المتحقق منها في كود Micro لا في وثائقه فقط: عربية RTL للهاتف أولًا مع عمل كامل دون اتصال عبر التخزين المحلي المفهرس دون سحابة أو مصادقة أو مزامنة على الفرع الرئيسي؛ وخمسة مقاعد في شريط التنقل السفلي مع زر تسجيل مركزي وشريط علوي للإعدادات؛ والدينار الأردني بخانتين عشريتين وبالأرقام الإنجليزية والتواريخ بصيغة DD/MM/YYYY؛ والفصل الصادق بين الكاش المادي والأمانة والذمم ومال المالك ونتيجة الفترة والأرصدة الافتتاحية المجهولة مع قاعدة الناقص لا يساوي صفرًا؛ وعدم إنشاء التقديرات وحسابات التكلفة أي أثر مالي أو مخزوني؛ واختيار المنتج اختياري أثناء البيع دون فرض مخزون؛ والتصحيحات تتبعية ذرية ذات مفتاح عملية واحد مع معاينة قبل وبعد؛ وحد الربح النهائي: لا يعرض صافي ربح نهائيًا عند نقص بيانات التكلفة أو تغيرها أو قدمها. أي اقتراح يخالف واحدة من هذه صُرف أو أُعيد تصميمه بصيغة ميكروية متوافقة، وهذا ما جرى في كل قرارات هذا التقرير.</w:t>
      </w:r>
    </w:p>
    <w:p>
      <w:pPr>
        <w:pStyle w:val="Heading1"/>
        <w:bidi/>
        <w:spacing w:after="160" w:before="360" w:line="368" w:lineRule="atLeast"/>
        <w:jc w:val="start"/>
      </w:pPr>
      <w:bookmarkStart w:id="100006" w:name="_Toc100006"/>
      <w:r>
        <w:rPr>
          <w:rFonts w:ascii="Arial" w:cs="Arial" w:hAnsi="Arial"/>
          <w:b/>
          <w:bCs/>
          <w:i w:val="false"/>
          <w:iCs w:val="false"/>
          <w:color w:val="1A1A1A"/>
          <w:sz w:val="32"/>
          <w:szCs w:val="32"/>
          <w:rtl/>
        </w:rPr>
        <w:t xml:space="preserve">المخرج أ — فهرس قدرات Zman الكامل</w:t>
      </w:r>
      <w:bookmarkEnd w:id="100006"/>
    </w:p>
    <w:p>
      <w:pPr>
        <w:pStyle w:val="Heading2"/>
        <w:bidi/>
        <w:spacing w:after="120" w:before="240" w:line="345" w:lineRule="atLeast"/>
        <w:jc w:val="start"/>
      </w:pPr>
      <w:bookmarkStart w:id="100007" w:name="_Toc100007"/>
      <w:r>
        <w:rPr>
          <w:rFonts w:ascii="Arial" w:cs="Arial" w:hAnsi="Arial"/>
          <w:b/>
          <w:bCs/>
          <w:i w:val="false"/>
          <w:iCs w:val="false"/>
          <w:color w:val="1A1A1A"/>
          <w:sz w:val="30"/>
          <w:szCs w:val="30"/>
          <w:rtl/>
        </w:rPr>
        <w:t xml:space="preserve">ما هو Zman: نظرة عامة على المنتج</w:t>
      </w:r>
      <w:bookmarkEnd w:id="100007"/>
    </w:p>
    <w:p>
      <w:pPr>
        <w:bidi/>
        <w:spacing w:after="120" w:line="312"/>
        <w:ind w:firstLine="480"/>
        <w:jc w:val="both"/>
      </w:pPr>
      <w:r>
        <w:rPr>
          <w:rFonts w:ascii="Arial" w:cs="Arial" w:hAnsi="Arial"/>
          <w:b w:val="false"/>
          <w:bCs w:val="false"/>
          <w:i w:val="false"/>
          <w:iCs w:val="false"/>
          <w:color w:val="262626"/>
          <w:sz w:val="24"/>
          <w:szCs w:val="24"/>
          <w:rtl/>
        </w:rPr>
        <w:t xml:space="preserve">Zman هو نظام مالي وإدارة طلبات عربي RTL لمالك ورشة نباتات واحد، يُستخدم نحو 95 بالمئة من الوقت على هاتف بعرض 360 إلى 390 بكسل، ووعده الجوهري كما يقول مالكه: رقم ربح واحد يثق به. مبناه التقني Next.js 15 مع React 19 و Drizzle على PostgreSQL، ويعمل عبر Server Actions دون استخدام خادم Express الموجود في المستودع بوصفه قطعة أثرية موازية، ونموذجه المالي سجل نقدي أساس (cash_movement هو مصدر الحقيقة النقدي الوحيد) مع ثلاثة تعديلات غير نقدية تُحسب وقت القراءة فقط: تكلفة البضاعة المباعة، وشطب المخزون، والإهلاك. الحذف الناعم هو الحذف الوحيد، وكل التجميعات ترشح المحذوف ناعمًا، والدستور المالي هو ملف ACCOUNTING_RULES.md بقواعده INV-1 إلى INV-25 المفروضة وقت التشغيل بفحوصات السلامة الستة عشر.</w:t>
      </w:r>
    </w:p>
    <w:p>
      <w:pPr>
        <w:bidi/>
        <w:spacing w:after="120" w:line="312"/>
        <w:ind w:firstLine="480"/>
        <w:jc w:val="both"/>
      </w:pPr>
      <w:r>
        <w:rPr>
          <w:rFonts w:ascii="Arial" w:cs="Arial" w:hAnsi="Arial"/>
          <w:b w:val="false"/>
          <w:bCs w:val="false"/>
          <w:i w:val="false"/>
          <w:iCs w:val="false"/>
          <w:color w:val="262626"/>
          <w:sz w:val="24"/>
          <w:szCs w:val="24"/>
          <w:rtl/>
        </w:rPr>
        <w:t xml:space="preserve">العملة بالفلس الصحيح (1000 فلس = دينار واحد بثلاث خانات عشرية)، والمدخل المالي يقبل الأرقام العربية الشرقية وينزع رموز العملة عند اللصق. السلو دون اتصال محدود بالمسودات داخل النماذج ونافذة التراجع خمس ثوان عن الحذف؛ فالمنتج متصل بالشبكة أولًا وكل كتابة تتطلب اتصالًا. المصادقة برمز واحد مشترك مع قفل بعد عشر دقائق خمول. التنقل: شريط سفلي من أربعة مقاعد على الهاتف مع ورقة المزيد المجمعة، و13 مسارًا كاملًا للشاشات.</w:t>
      </w:r>
    </w:p>
    <w:p>
      <w:pPr>
        <w:bidi/>
        <w:spacing w:after="120" w:line="312"/>
        <w:ind w:firstLine="480"/>
        <w:jc w:val="both"/>
      </w:pPr>
      <w:r>
        <w:rPr>
          <w:rFonts w:ascii="Arial" w:cs="Arial" w:hAnsi="Arial"/>
          <w:b w:val="false"/>
          <w:bCs w:val="false"/>
          <w:i w:val="false"/>
          <w:iCs w:val="false"/>
          <w:color w:val="262626"/>
          <w:sz w:val="24"/>
          <w:szCs w:val="24"/>
          <w:rtl/>
        </w:rPr>
        <w:t xml:space="preserve">يلخص الجدول التالي الفهرس الكامل للقدرات الأربع والعشرين مع مداخل الوصول والوظيفة والأثر ومصدر الدليل. الأدلة التفصيلية بمسارات الملفات الدقيقة موجودة في تقرير الوكيل الأول المرافق ضمن مجلد subagents.</w:t>
      </w:r>
    </w:p>
    <w:p>
      <w:pPr>
        <w:keepNext/>
        <w:bidi/>
        <w:spacing w:after="100" w:before="200" w:line="312"/>
        <w:jc w:val="start"/>
      </w:pPr>
      <w:r>
        <w:rPr>
          <w:rFonts w:ascii="Arial" w:cs="Arial" w:hAnsi="Arial"/>
          <w:b/>
          <w:bCs/>
          <w:i w:val="false"/>
          <w:iCs w:val="false"/>
          <w:color w:val="1A1A1A"/>
          <w:sz w:val="21"/>
          <w:szCs w:val="21"/>
          <w:rtl/>
        </w:rPr>
        <w:t xml:space="preserve">جدول 1: فهرس قدرات Zman الكامل (ZC-01 إلى ZC-24)</w:t>
      </w:r>
    </w:p>
    <w:tbl>
      <w:tblPr>
        <w:bidiVisual/>
        <w:tblW w:type="pct" w:w="100%"/>
        <w:tblBorders>
          <w:top w:val="single" w:color="C9A84C" w:sz="4"/>
          <w:left w:val="none" w:color="FFFFFF" w:sz="0"/>
          <w:bottom w:val="single" w:color="C9A84C" w:sz="4"/>
          <w:right w:val="none" w:color="FFFFFF" w:sz="0"/>
          <w:insideH w:val="single" w:color="DDD5C0" w:sz="1"/>
          <w:insideV w:val="single" w:color="DDD5C0" w:sz="1"/>
        </w:tblBorders>
        <w:tblLayout w:type="fixed"/>
      </w:tblPr>
      <w:tblGrid>
        <w:gridCol w:w="100"/>
        <w:gridCol w:w="100"/>
        <w:gridCol w:w="100"/>
        <w:gridCol w:w="100"/>
      </w:tblGrid>
      <w:tr>
        <w:trPr>
          <w:cantSplit/>
          <w:tblHeader/>
        </w:trPr>
        <w:tc>
          <w:tcPr>
            <w:tcW w:type="pct" w:w="10%"/>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الرمز</w:t>
            </w:r>
          </w:p>
        </w:tc>
        <w:tc>
          <w:tcPr>
            <w:tcW w:type="pct" w:w="24%"/>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القدرة</w:t>
            </w:r>
          </w:p>
        </w:tc>
        <w:tc>
          <w:tcPr>
            <w:tcW w:type="pct" w:w="24%"/>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الوصول</w:t>
            </w:r>
          </w:p>
        </w:tc>
        <w:tc>
          <w:tcPr>
            <w:tcW w:type="pct" w:w="42%"/>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الوظيفة والأثر الجوهري</w:t>
            </w:r>
          </w:p>
        </w:tc>
      </w:tr>
      <w:tr>
        <w:trPr>
          <w:cantSplit/>
        </w:trPr>
        <w:tc>
          <w:tcPr>
            <w:tcW w:type="pct" w:w="1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ZC-01</w:t>
            </w:r>
          </w:p>
        </w:tc>
        <w:tc>
          <w:tcPr>
            <w:tcW w:type="pct" w:w="2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نموذج الإدخال المالي الموحد</w:t>
            </w:r>
          </w:p>
        </w:tc>
        <w:tc>
          <w:tcPr>
            <w:tcW w:type="pct" w:w="2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زر عائم في المالية مع محرر بالمسار</w:t>
            </w:r>
          </w:p>
        </w:tc>
        <w:tc>
          <w:tcPr>
            <w:tcW w:type="pct" w:w="4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نموذج واحد بأربعة أوضاع (مصروف/شراء/أصل/دين) مع سطر يشرح أثر كل وضع على الربح قبل أي حقل، وتكلفة وحدة مشتقة، ومفاتيح عملية، ومسودات محلية</w:t>
            </w:r>
          </w:p>
        </w:tc>
      </w:tr>
      <w:tr>
        <w:trPr>
          <w:cantSplit/>
        </w:trPr>
        <w:tc>
          <w:tcPr>
            <w:tcW w:type="pct" w:w="1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ZC-02</w:t>
            </w:r>
          </w:p>
        </w:tc>
        <w:tc>
          <w:tcPr>
            <w:tcW w:type="pct" w:w="24%"/>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فئات المصاريف والتصنيف ثنائي البعد</w:t>
            </w:r>
          </w:p>
        </w:tc>
        <w:tc>
          <w:tcPr>
            <w:tcW w:type="pct" w:w="24%"/>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اختيار الفئة داخل النموذج وإدارتها من المرشحات</w:t>
            </w:r>
          </w:p>
        </w:tc>
        <w:tc>
          <w:tcPr>
            <w:tcW w:type="pct" w:w="4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قائمة أسماء مسطحة مع تسجيل تلقائي مؤجل للفئات المكتوبة يدويًا ودمج الأيتام في المرشحات، وبُعدا رأس المال والتشغيل وطبيعة التكلفة</w:t>
            </w:r>
          </w:p>
        </w:tc>
      </w:tr>
      <w:tr>
        <w:trPr>
          <w:cantSplit/>
        </w:trPr>
        <w:tc>
          <w:tcPr>
            <w:tcW w:type="pct" w:w="1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ZC-03</w:t>
            </w:r>
          </w:p>
        </w:tc>
        <w:tc>
          <w:tcPr>
            <w:tcW w:type="pct" w:w="2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مدفوعاتي الموحدة</w:t>
            </w:r>
          </w:p>
        </w:tc>
        <w:tc>
          <w:tcPr>
            <w:tcW w:type="pct" w:w="2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تبويب المدفوعات في المالية</w:t>
            </w:r>
          </w:p>
        </w:tc>
        <w:tc>
          <w:tcPr>
            <w:tcW w:type="pct" w:w="4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تجميع UNION ALL للمصاريف والمشتريات والديون بترقيم صفحات بالمؤشر وبطاقات بسطر ثانٍ لكل نوع وتراجع خمس ثوان عن الحذف</w:t>
            </w:r>
          </w:p>
        </w:tc>
      </w:tr>
      <w:tr>
        <w:trPr>
          <w:cantSplit/>
        </w:trPr>
        <w:tc>
          <w:tcPr>
            <w:tcW w:type="pct" w:w="1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ZC-04</w:t>
            </w:r>
          </w:p>
        </w:tc>
        <w:tc>
          <w:tcPr>
            <w:tcW w:type="pct" w:w="24%"/>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المبيعات اليدوية</w:t>
            </w:r>
          </w:p>
        </w:tc>
        <w:tc>
          <w:tcPr>
            <w:tcW w:type="pct" w:w="24%"/>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تبويب المبيعات وزر عائم</w:t>
            </w:r>
          </w:p>
        </w:tc>
        <w:tc>
          <w:tcPr>
            <w:tcW w:type="pct" w:w="4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إيراد نقدي خارج الطلبات مع قاعدة صافي العربون INV-4 وفهرس فريد يمنع التحويل المزدوج</w:t>
            </w:r>
          </w:p>
        </w:tc>
      </w:tr>
      <w:tr>
        <w:trPr>
          <w:cantSplit/>
        </w:trPr>
        <w:tc>
          <w:tcPr>
            <w:tcW w:type="pct" w:w="1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ZC-05</w:t>
            </w:r>
          </w:p>
        </w:tc>
        <w:tc>
          <w:tcPr>
            <w:tcW w:type="pct" w:w="2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دورة حياة الطلبات</w:t>
            </w:r>
          </w:p>
        </w:tc>
        <w:tc>
          <w:tcPr>
            <w:tcW w:type="pct" w:w="2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مسار الطلبات في الشريط السفلي</w:t>
            </w:r>
          </w:p>
        </w:tc>
        <w:tc>
          <w:tcPr>
            <w:tcW w:type="pct" w:w="4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مسار من خمس حالات مع عربون بوصفه التزامًا وملخص ربح متوقع بتنسيق محايد وتحذير مخزون قبل التسليم دون منع</w:t>
            </w:r>
          </w:p>
        </w:tc>
      </w:tr>
      <w:tr>
        <w:trPr>
          <w:cantSplit/>
        </w:trPr>
        <w:tc>
          <w:tcPr>
            <w:tcW w:type="pct" w:w="1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ZC-06</w:t>
            </w:r>
          </w:p>
        </w:tc>
        <w:tc>
          <w:tcPr>
            <w:tcW w:type="pct" w:w="24%"/>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تحويل الطلب لمبيعة والتحويلات العكسية</w:t>
            </w:r>
          </w:p>
        </w:tc>
        <w:tc>
          <w:tcPr>
            <w:tcW w:type="pct" w:w="24%"/>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أزرار تفاصيل الطلب</w:t>
            </w:r>
          </w:p>
        </w:tc>
        <w:tc>
          <w:tcPr>
            <w:tcW w:type="pct" w:w="4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تحويل ذري يدرج الإيراد مرة واحدة ويعيد تصنيف حركة العربون لا ترحيلها، مع مجموعة عكس كاملة (عكس التسليم ورد العربون واحتجازه وعكس الاحتجاز)</w:t>
            </w:r>
          </w:p>
        </w:tc>
      </w:tr>
      <w:tr>
        <w:trPr>
          <w:cantSplit/>
        </w:trPr>
        <w:tc>
          <w:tcPr>
            <w:tcW w:type="pct" w:w="1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ZC-07</w:t>
            </w:r>
          </w:p>
        </w:tc>
        <w:tc>
          <w:tcPr>
            <w:tcW w:type="pct" w:w="2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المخزون الانتقائي لكل صنف</w:t>
            </w:r>
          </w:p>
        </w:tc>
        <w:tc>
          <w:tcPr>
            <w:tcW w:type="pct" w:w="2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مفتاح تتبع في الكتالوج ومسار المخزون</w:t>
            </w:r>
          </w:p>
        </w:tc>
        <w:tc>
          <w:tcPr>
            <w:tcW w:type="pct" w:w="4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متابعة اختيارية لكل صنف افتراضيًا معقودة، ومشتريات متتبعة تُرسمل قيمة، وخصم آلي عند التسليم بتكلفة متوسط مرجح مخزنة، ورصيد سالب مسموح، وحوار إلغاء تتبع بعواقب مصرح بها</w:t>
            </w:r>
          </w:p>
        </w:tc>
      </w:tr>
      <w:tr>
        <w:trPr>
          <w:cantSplit/>
        </w:trPr>
        <w:tc>
          <w:tcPr>
            <w:tcW w:type="pct" w:w="1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ZC-08</w:t>
            </w:r>
          </w:p>
        </w:tc>
        <w:tc>
          <w:tcPr>
            <w:tcW w:type="pct" w:w="24%"/>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مكونات الطلب وبناء التكلفة</w:t>
            </w:r>
          </w:p>
        </w:tc>
        <w:tc>
          <w:tcPr>
            <w:tcW w:type="pct" w:w="24%"/>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قسم مكونات الطلب في محرر الطلب</w:t>
            </w:r>
          </w:p>
        </w:tc>
        <w:tc>
          <w:tcPr>
            <w:tcW w:type="pct" w:w="4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صفوف مكونات من الكتالوج أو نص حر مع تكلفة لقطة، وتكاليف على مستوى الطلب، وربح متوقع حي بلا أي أثر مالي أو مخزوني عند الحفظ</w:t>
            </w:r>
          </w:p>
        </w:tc>
      </w:tr>
      <w:tr>
        <w:trPr>
          <w:cantSplit/>
        </w:trPr>
        <w:tc>
          <w:tcPr>
            <w:tcW w:type="pct" w:w="1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ZC-09</w:t>
            </w:r>
          </w:p>
        </w:tc>
        <w:tc>
          <w:tcPr>
            <w:tcW w:type="pct" w:w="2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دالة الربح الواحدة LOCKED-6</w:t>
            </w:r>
          </w:p>
        </w:tc>
        <w:tc>
          <w:tcPr>
            <w:tcW w:type="pct" w:w="2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كل أسطح الربح</w:t>
            </w:r>
          </w:p>
        </w:tc>
        <w:tc>
          <w:tcPr>
            <w:tcW w:type="pct" w:w="4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دالة computeOperatingPnl وحدها تعرف الربح، وفحص IC-13 يعيد اشتقاقه من ثلاثة أسطح لفترتين ويفشل عند أي انحراف، وثالث رقم ربح محظور تسمية</w:t>
            </w:r>
          </w:p>
        </w:tc>
      </w:tr>
      <w:tr>
        <w:trPr>
          <w:cantSplit/>
        </w:trPr>
        <w:tc>
          <w:tcPr>
            <w:tcW w:type="pct" w:w="1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ZC-10</w:t>
            </w:r>
          </w:p>
        </w:tc>
        <w:tc>
          <w:tcPr>
            <w:tcW w:type="pct" w:w="24%"/>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الأصول والإهلاك المحسوب</w:t>
            </w:r>
          </w:p>
        </w:tc>
        <w:tc>
          <w:tcPr>
            <w:tcW w:type="pct" w:w="24%"/>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وضع الأصل ثم مودال العمر ومسار الأصول</w:t>
            </w:r>
          </w:p>
        </w:tc>
        <w:tc>
          <w:tcPr>
            <w:tcW w:type="pct" w:w="4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سجل أصول مع إهلاك شهري محسوب وقت القراءة بلا نقد أبدًا، وبدء رجعي، وسنة أخيرة تجتاح الباقي، وخصم في الأرباح مع بقاء الميزانية نقية</w:t>
            </w:r>
          </w:p>
        </w:tc>
      </w:tr>
      <w:tr>
        <w:trPr>
          <w:cantSplit/>
        </w:trPr>
        <w:tc>
          <w:tcPr>
            <w:tcW w:type="pct" w:w="1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ZC-11</w:t>
            </w:r>
          </w:p>
        </w:tc>
        <w:tc>
          <w:tcPr>
            <w:tcW w:type="pct" w:w="2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الذمم المدينة (ديون نقدية ل أشخاص)</w:t>
            </w:r>
          </w:p>
        </w:tc>
        <w:tc>
          <w:tcPr>
            <w:tcW w:type="pct" w:w="2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وضع الدين في النموذج الموحد ومرشح الديون</w:t>
            </w:r>
          </w:p>
        </w:tc>
        <w:tc>
          <w:tcPr>
            <w:tcW w:type="pct" w:w="4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قرض = نقد خارج وذمة قائمة (أصل لا مصروف ولا يظهر في الربح أبدًا)، ورصيد متبقٍ محسوب وقت القراءة وفحص تسوية IC-15</w:t>
            </w:r>
          </w:p>
        </w:tc>
      </w:tr>
      <w:tr>
        <w:trPr>
          <w:cantSplit/>
        </w:trPr>
        <w:tc>
          <w:tcPr>
            <w:tcW w:type="pct" w:w="1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ZC-12</w:t>
            </w:r>
          </w:p>
        </w:tc>
        <w:tc>
          <w:tcPr>
            <w:tcW w:type="pct" w:w="24%"/>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الحسابات والتحويلات وسحب المالك</w:t>
            </w:r>
          </w:p>
        </w:tc>
        <w:tc>
          <w:tcPr>
            <w:tcW w:type="pct" w:w="24%"/>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تبويب الحسابات المخفي</w:t>
            </w:r>
          </w:p>
        </w:tc>
        <w:tc>
          <w:tcPr>
            <w:tcW w:type="pct" w:w="4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حسابات نقد ومصرف، وتحويل زوج حركتين، وأرشفة مرفوضة برصيد غير صفري، ومعاملات المالك لا تمس الربح</w:t>
            </w:r>
          </w:p>
        </w:tc>
      </w:tr>
      <w:tr>
        <w:trPr>
          <w:cantSplit/>
        </w:trPr>
        <w:tc>
          <w:tcPr>
            <w:tcW w:type="pct" w:w="1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ZC-13</w:t>
            </w:r>
          </w:p>
        </w:tc>
        <w:tc>
          <w:tcPr>
            <w:tcW w:type="pct" w:w="2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الأرصدة الافتتاحية</w:t>
            </w:r>
          </w:p>
        </w:tc>
        <w:tc>
          <w:tcPr>
            <w:tcW w:type="pct" w:w="2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إعدادات الأرصدة</w:t>
            </w:r>
          </w:p>
        </w:tc>
        <w:tc>
          <w:tcPr>
            <w:tcW w:type="pct" w:w="4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صف واحد (تاريخ الانطلاق ونقد ومصرف ورأس مال) يكتب حركات افتتاحية ويقفل مرة واحدة مع فحص IC-11</w:t>
            </w:r>
          </w:p>
        </w:tc>
      </w:tr>
      <w:tr>
        <w:trPr>
          <w:cantSplit/>
        </w:trPr>
        <w:tc>
          <w:tcPr>
            <w:tcW w:type="pct" w:w="1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ZC-14</w:t>
            </w:r>
          </w:p>
        </w:tc>
        <w:tc>
          <w:tcPr>
            <w:tcW w:type="pct" w:w="24%"/>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لوحة المعلومات</w:t>
            </w:r>
          </w:p>
        </w:tc>
        <w:tc>
          <w:tcPr>
            <w:tcW w:type="pct" w:w="24%"/>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المسار الرئيسي</w:t>
            </w:r>
          </w:p>
        </w:tc>
        <w:tc>
          <w:tcPr>
            <w:tcW w:type="pct" w:w="4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بطاقات ملخصة بفترة قابلة للتصفية ولوحات مقارنة وسيولة وربح شهري بنصوص تعليمية وبحث شامل وحزمة استعلام واحدة</w:t>
            </w:r>
          </w:p>
        </w:tc>
      </w:tr>
      <w:tr>
        <w:trPr>
          <w:cantSplit/>
        </w:trPr>
        <w:tc>
          <w:tcPr>
            <w:tcW w:type="pct" w:w="1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ZC-15</w:t>
            </w:r>
          </w:p>
        </w:tc>
        <w:tc>
          <w:tcPr>
            <w:tcW w:type="pct" w:w="2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التقارير والوضع المالي</w:t>
            </w:r>
          </w:p>
        </w:tc>
        <w:tc>
          <w:tcPr>
            <w:tcW w:type="pct" w:w="2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مسار التقارير</w:t>
            </w:r>
          </w:p>
        </w:tc>
        <w:tc>
          <w:tcPr>
            <w:tcW w:type="pct" w:w="4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ستة تقارير بفترات، وميزانية عروض (الودائع المحتجزة الالتزام الوحيد)، وانحراف حقوق الملكية يجب أن يكون صفرًا، وتنزيل Markdown لكل قسم مع BOM</w:t>
            </w:r>
          </w:p>
        </w:tc>
      </w:tr>
      <w:tr>
        <w:trPr>
          <w:cantSplit/>
        </w:trPr>
        <w:tc>
          <w:tcPr>
            <w:tcW w:type="pct" w:w="1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ZC-16</w:t>
            </w:r>
          </w:p>
        </w:tc>
        <w:tc>
          <w:tcPr>
            <w:tcW w:type="pct" w:w="24%"/>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فحص السلامة المالي</w:t>
            </w:r>
          </w:p>
        </w:tc>
        <w:tc>
          <w:tcPr>
            <w:tcW w:type="pct" w:w="24%"/>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زر فحص الآن في التقارير</w:t>
            </w:r>
          </w:p>
        </w:tc>
        <w:tc>
          <w:tcPr>
            <w:tcW w:type="pct" w:w="4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16 فحصًا للقراءة فقط بالتوازي مع حكم كلي سليم/تحذير/خطأ وبطاقات عربية بالعناوين والأوصاف والفوارق والمعالجات المقترحة؛ الإنتاج: 14 سليم وتحذير واحد وصفر أخطاء</w:t>
            </w:r>
          </w:p>
        </w:tc>
      </w:tr>
      <w:tr>
        <w:trPr>
          <w:cantSplit/>
        </w:trPr>
        <w:tc>
          <w:tcPr>
            <w:tcW w:type="pct" w:w="1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ZC-17</w:t>
            </w:r>
          </w:p>
        </w:tc>
        <w:tc>
          <w:tcPr>
            <w:tcW w:type="pct" w:w="2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كتالوج المواد</w:t>
            </w:r>
          </w:p>
        </w:tc>
        <w:tc>
          <w:tcPr>
            <w:tcW w:type="pct" w:w="2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مسار الكتالوج</w:t>
            </w:r>
          </w:p>
        </w:tc>
        <w:tc>
          <w:tcPr>
            <w:tcW w:type="pct" w:w="4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اسم وتكلفة افتراضية ووحدة وملاحظات مع مفتاح تتبع ورصيد افتتاحي عند أول تفعيل وسجل حركات لكل صنف</w:t>
            </w:r>
          </w:p>
        </w:tc>
      </w:tr>
      <w:tr>
        <w:trPr>
          <w:cantSplit/>
        </w:trPr>
        <w:tc>
          <w:tcPr>
            <w:tcW w:type="pct" w:w="1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ZC-18</w:t>
            </w:r>
          </w:p>
        </w:tc>
        <w:tc>
          <w:tcPr>
            <w:tcW w:type="pct" w:w="24%"/>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شطب المخزون غير النقدي</w:t>
            </w:r>
          </w:p>
        </w:tc>
        <w:tc>
          <w:tcPr>
            <w:tcW w:type="pct" w:w="24%"/>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تعديل سريع صرف من المخزون</w:t>
            </w:r>
          </w:p>
        </w:tc>
        <w:tc>
          <w:tcPr>
            <w:tcW w:type="pct" w:w="4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معاملة واحدة: حركة خارج بمتوسط مرجح مع مصروف ظل غير نقدي، وبطاقة رمادية للقراءة فقط في المدفوعات، وبلا عكس (فجوة معروفة م-5)</w:t>
            </w:r>
          </w:p>
        </w:tc>
      </w:tr>
      <w:tr>
        <w:trPr>
          <w:cantSplit/>
        </w:trPr>
        <w:tc>
          <w:tcPr>
            <w:tcW w:type="pct" w:w="1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ZC-19</w:t>
            </w:r>
          </w:p>
        </w:tc>
        <w:tc>
          <w:tcPr>
            <w:tcW w:type="pct" w:w="2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سجل التدقيق</w:t>
            </w:r>
          </w:p>
        </w:tc>
        <w:tc>
          <w:tcPr>
            <w:tcW w:type="pct" w:w="2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إعدادات سجل التدقيق</w:t>
            </w:r>
          </w:p>
        </w:tc>
        <w:tc>
          <w:tcPr>
            <w:tcW w:type="pct" w:w="4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سجل إضافي فقط يكتب بعد الالتزام خارج المعاملة ولا يفشل المستدعي أبدًا ولا يحفظ رمز الدخول</w:t>
            </w:r>
          </w:p>
        </w:tc>
      </w:tr>
      <w:tr>
        <w:trPr>
          <w:cantSplit/>
        </w:trPr>
        <w:tc>
          <w:tcPr>
            <w:tcW w:type="pct" w:w="1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ZC-20</w:t>
            </w:r>
          </w:p>
        </w:tc>
        <w:tc>
          <w:tcPr>
            <w:tcW w:type="pct" w:w="24%"/>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الملاحظات</w:t>
            </w:r>
          </w:p>
        </w:tc>
        <w:tc>
          <w:tcPr>
            <w:tcW w:type="pct" w:w="24%"/>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مسار الملاحظات</w:t>
            </w:r>
          </w:p>
        </w:tc>
        <w:tc>
          <w:tcPr>
            <w:tcW w:type="pct" w:w="4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عنوان ومتن وفئة مع نسخ للحافظة وتجميع بحسب الفئة</w:t>
            </w:r>
          </w:p>
        </w:tc>
      </w:tr>
      <w:tr>
        <w:trPr>
          <w:cantSplit/>
        </w:trPr>
        <w:tc>
          <w:tcPr>
            <w:tcW w:type="pct" w:w="1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ZC-21</w:t>
            </w:r>
          </w:p>
        </w:tc>
        <w:tc>
          <w:tcPr>
            <w:tcW w:type="pct" w:w="2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رسائل واتساب</w:t>
            </w:r>
          </w:p>
        </w:tc>
        <w:tc>
          <w:tcPr>
            <w:tcW w:type="pct" w:w="2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شريط أدوات الطلبات</w:t>
            </w:r>
          </w:p>
        </w:tc>
        <w:tc>
          <w:tcPr>
            <w:tcW w:type="pct" w:w="4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قالب بمتغيرات وتطبيع أرقام أردنية إلى +962 مع بديل هاتف ثانٍ وإخفاء الزر بلا رقم صالح</w:t>
            </w:r>
          </w:p>
        </w:tc>
      </w:tr>
      <w:tr>
        <w:trPr>
          <w:cantSplit/>
        </w:trPr>
        <w:tc>
          <w:tcPr>
            <w:tcW w:type="pct" w:w="1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ZC-22</w:t>
            </w:r>
          </w:p>
        </w:tc>
        <w:tc>
          <w:tcPr>
            <w:tcW w:type="pct" w:w="24%"/>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المصادقة والقفل وPWA</w:t>
            </w:r>
          </w:p>
        </w:tc>
        <w:tc>
          <w:tcPr>
            <w:tcW w:type="pct" w:w="24%"/>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مسار الدخول</w:t>
            </w:r>
          </w:p>
        </w:tc>
        <w:tc>
          <w:tcPr>
            <w:tcW w:type="pct" w:w="4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رمز واحد مع وسيط فاشل مغلق وملف تعريف 8 ساعات وقفل خمول 10 دقائق وعامل خدمة بالشبكة أولًا</w:t>
            </w:r>
          </w:p>
        </w:tc>
      </w:tr>
      <w:tr>
        <w:trPr>
          <w:cantSplit/>
        </w:trPr>
        <w:tc>
          <w:tcPr>
            <w:tcW w:type="pct" w:w="1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ZC-23</w:t>
            </w:r>
          </w:p>
        </w:tc>
        <w:tc>
          <w:tcPr>
            <w:tcW w:type="pct" w:w="2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النسخ الاحتياطي JSON</w:t>
            </w:r>
          </w:p>
        </w:tc>
        <w:tc>
          <w:tcPr>
            <w:tcW w:type="pct" w:w="2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مودال النسخ</w:t>
            </w:r>
          </w:p>
        </w:tc>
        <w:tc>
          <w:tcPr>
            <w:tcW w:type="pct" w:w="4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تصدير جانب العميل لجزء من البيانات مع عدادات ملخص؛ لا يوجد مسار استيراد أو استعادة إطلاقًا</w:t>
            </w:r>
          </w:p>
        </w:tc>
      </w:tr>
      <w:tr>
        <w:trPr>
          <w:cantSplit/>
        </w:trPr>
        <w:tc>
          <w:tcPr>
            <w:tcW w:type="pct" w:w="1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ZC-24</w:t>
            </w:r>
          </w:p>
        </w:tc>
        <w:tc>
          <w:tcPr>
            <w:tcW w:type="pct" w:w="24%"/>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عقود تجربة الهاتف RTL</w:t>
            </w:r>
          </w:p>
        </w:tc>
        <w:tc>
          <w:tcPr>
            <w:tcW w:type="pct" w:w="24%"/>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كل الأسطح</w:t>
            </w:r>
          </w:p>
        </w:tc>
        <w:tc>
          <w:tcPr>
            <w:tcW w:type="pct" w:w="4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تراجع 5 ثوان، وإدخال مال متسامح مع اللصق، وقوانين ثبات الرأس، ومصفوفة أفعال الحالة، وحالات فراغ تعليمية، ونص يشرح الأثر قبل كل التزام مالي</w:t>
            </w:r>
          </w:p>
        </w:tc>
      </w:tr>
    </w:tbl>
    <w:p>
      <w:pPr>
        <w:spacing w:after="120"/>
      </w:pPr>
    </w:p>
    <w:p>
      <w:pPr>
        <w:pStyle w:val="Heading2"/>
        <w:bidi/>
        <w:spacing w:after="120" w:before="240" w:line="345" w:lineRule="atLeast"/>
        <w:jc w:val="start"/>
      </w:pPr>
      <w:bookmarkStart w:id="100008" w:name="_Toc100008"/>
      <w:r>
        <w:rPr>
          <w:rFonts w:ascii="Arial" w:cs="Arial" w:hAnsi="Arial"/>
          <w:b/>
          <w:bCs/>
          <w:i w:val="false"/>
          <w:iCs w:val="false"/>
          <w:color w:val="1A1A1A"/>
          <w:sz w:val="30"/>
          <w:szCs w:val="30"/>
          <w:rtl/>
        </w:rPr>
        <w:t xml:space="preserve">الدستور المالي ل Zman كما يهم النقل</w:t>
      </w:r>
      <w:bookmarkEnd w:id="100008"/>
    </w:p>
    <w:p>
      <w:pPr>
        <w:bidi/>
        <w:spacing w:after="120" w:line="312"/>
        <w:ind w:firstLine="480"/>
        <w:jc w:val="both"/>
      </w:pPr>
      <w:r>
        <w:rPr>
          <w:rFonts w:ascii="Arial" w:cs="Arial" w:hAnsi="Arial"/>
          <w:b w:val="false"/>
          <w:bCs w:val="false"/>
          <w:i w:val="false"/>
          <w:iCs w:val="false"/>
          <w:color w:val="262626"/>
          <w:sz w:val="24"/>
          <w:szCs w:val="24"/>
          <w:rtl/>
        </w:rPr>
        <w:t xml:space="preserve">يلخص هذا الدستور الملامح التي كانت حاكمة في قرارات النقل: السجل النقدي هو الحقيقة النقدية الوحيدة، وكل حدث نقدي يقابله حركة واحدة بالضبط، والتحويلات أزواج، والعربونات التزامات حتى التسليم، والحذف الناعم فقط، والأرقام المتوقعة لا تُنسق بوصفها فعلية أبدًا، ورأس المال خارج ربح التشغيل، والمشتريات المتتبعة تُرسمل، وتكلفة البضاعة تخصم عند البيع بتكلفة مخزنة غير قابلة للتعديل، والشطب مصروف غير نقدي، والإهلاك محسوب وقت القراءة واختياري، وانحراف حقوق الملكية صفر، ودالة ربح واحدة مفحوصة وقت التشغيل. هذه القواعد هي التي جعلت نقل الأنماط المعمارية (الدالة الواحدة وفحص التطابق) ممكنًا، ونقل الآليات (إعادة التصنيف والخصم الآلي) مستحيلًا.</w:t>
      </w:r>
    </w:p>
    <w:p>
      <w:pPr>
        <w:pStyle w:val="Heading1"/>
        <w:bidi/>
        <w:spacing w:after="160" w:before="360" w:line="368" w:lineRule="atLeast"/>
        <w:jc w:val="start"/>
      </w:pPr>
      <w:bookmarkStart w:id="100009" w:name="_Toc100009"/>
      <w:r>
        <w:rPr>
          <w:rFonts w:ascii="Arial" w:cs="Arial" w:hAnsi="Arial"/>
          <w:b/>
          <w:bCs/>
          <w:i w:val="false"/>
          <w:iCs w:val="false"/>
          <w:color w:val="1A1A1A"/>
          <w:sz w:val="32"/>
          <w:szCs w:val="32"/>
          <w:rtl/>
        </w:rPr>
        <w:t xml:space="preserve">المخرج ب — سجل الفجوات من Zman إلى Micro</w:t>
      </w:r>
      <w:bookmarkEnd w:id="100009"/>
    </w:p>
    <w:p>
      <w:pPr>
        <w:pStyle w:val="Heading2"/>
        <w:bidi/>
        <w:spacing w:after="120" w:before="240" w:line="345" w:lineRule="atLeast"/>
        <w:jc w:val="start"/>
      </w:pPr>
      <w:bookmarkStart w:id="100010" w:name="_Toc100010"/>
      <w:r>
        <w:rPr>
          <w:rFonts w:ascii="Arial" w:cs="Arial" w:hAnsi="Arial"/>
          <w:b/>
          <w:bCs/>
          <w:i w:val="false"/>
          <w:iCs w:val="false"/>
          <w:color w:val="1A1A1A"/>
          <w:sz w:val="30"/>
          <w:szCs w:val="30"/>
          <w:rtl/>
        </w:rPr>
        <w:t xml:space="preserve">قراءة السجل</w:t>
      </w:r>
      <w:bookmarkEnd w:id="100010"/>
    </w:p>
    <w:p>
      <w:pPr>
        <w:bidi/>
        <w:spacing w:after="120" w:line="312"/>
        <w:ind w:firstLine="480"/>
        <w:jc w:val="both"/>
      </w:pPr>
      <w:r>
        <w:rPr>
          <w:rFonts w:ascii="Arial" w:cs="Arial" w:hAnsi="Arial"/>
          <w:b w:val="false"/>
          <w:bCs w:val="false"/>
          <w:i w:val="false"/>
          <w:iCs w:val="false"/>
          <w:color w:val="262626"/>
          <w:sz w:val="24"/>
          <w:szCs w:val="24"/>
          <w:rtl/>
        </w:rPr>
        <w:t xml:space="preserve">يحتوي هذا السجل على القدرات الغائبة أو الأضعف أو المخفية أو غير المكتملة أو المختلفة ماديًا في Micro فقط، وكل صف يحمل تصنيفًا واحدًا ودليلًا من المستودعين وأثر المستخدم ودرجة الثقة. القدرات التي تصنف كافية في Micro لا تدخل السجل أصلًا بل تظهر بعده بوصفها تحذيرات من الفجوات الكاذبة، لأن اتجاه المقارنة واحد ولا يجوز تحويله. ضم التحليل أربعة وعشرين تصنيفًا إجماليًا: أربعة مختلفة، وثلاثة أضعف مع واحد مؤجل، وثلاثة خاص ب Zman فقط، واثنان غير مكتملين، وثلاثة ليست مرشحة للنقل، وسبعة كافية في Micro موثقة تحذيرًا لا فجوة.</w:t>
      </w:r>
    </w:p>
    <w:p>
      <w:pPr>
        <w:keepNext/>
        <w:bidi/>
        <w:spacing w:after="100" w:before="200" w:line="312"/>
        <w:jc w:val="start"/>
      </w:pPr>
      <w:r>
        <w:rPr>
          <w:rFonts w:ascii="Arial" w:cs="Arial" w:hAnsi="Arial"/>
          <w:b/>
          <w:bCs/>
          <w:i w:val="false"/>
          <w:iCs w:val="false"/>
          <w:color w:val="1A1A1A"/>
          <w:sz w:val="21"/>
          <w:szCs w:val="21"/>
          <w:rtl/>
        </w:rPr>
        <w:t xml:space="preserve">جدول 2: سجل الفجوات (القدرات المفقودة أو الأضعف أو المختلفة في Micro)</w:t>
      </w:r>
    </w:p>
    <w:tbl>
      <w:tblPr>
        <w:bidiVisual/>
        <w:tblW w:type="pct" w:w="100%"/>
        <w:tblBorders>
          <w:top w:val="single" w:color="C9A84C" w:sz="4"/>
          <w:left w:val="none" w:color="FFFFFF" w:sz="0"/>
          <w:bottom w:val="single" w:color="C9A84C" w:sz="4"/>
          <w:right w:val="none" w:color="FFFFFF" w:sz="0"/>
          <w:insideH w:val="single" w:color="DDD5C0" w:sz="1"/>
          <w:insideV w:val="single" w:color="DDD5C0" w:sz="1"/>
        </w:tblBorders>
        <w:tblLayout w:type="fixed"/>
      </w:tblPr>
      <w:tblGrid>
        <w:gridCol w:w="100"/>
        <w:gridCol w:w="100"/>
        <w:gridCol w:w="100"/>
        <w:gridCol w:w="100"/>
        <w:gridCol w:w="100"/>
        <w:gridCol w:w="100"/>
      </w:tblGrid>
      <w:tr>
        <w:trPr>
          <w:cantSplit/>
          <w:tblHeader/>
        </w:trPr>
        <w:tc>
          <w:tcPr>
            <w:tcW w:type="pct" w:w="8%"/>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الرمز</w:t>
            </w:r>
          </w:p>
        </w:tc>
        <w:tc>
          <w:tcPr>
            <w:tcW w:type="pct" w:w="20%"/>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القدرة</w:t>
            </w:r>
          </w:p>
        </w:tc>
        <w:tc>
          <w:tcPr>
            <w:tcW w:type="pct" w:w="16%"/>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التصنيف</w:t>
            </w:r>
          </w:p>
        </w:tc>
        <w:tc>
          <w:tcPr>
            <w:tcW w:type="pct" w:w="36%"/>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أثر المالك الأردني</w:t>
            </w:r>
          </w:p>
        </w:tc>
        <w:tc>
          <w:tcPr>
            <w:tcW w:type="pct" w:w="12%"/>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الاتجاه</w:t>
            </w:r>
          </w:p>
        </w:tc>
        <w:tc>
          <w:tcPr>
            <w:tcW w:type="pct" w:w="8%"/>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الثقة</w:t>
            </w:r>
          </w:p>
        </w:tc>
      </w:tr>
      <w:tr>
        <w:trPr>
          <w:cantSplit/>
        </w:trPr>
        <w:tc>
          <w:tcPr>
            <w:tcW w:type="pct" w:w="8%"/>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MG-01</w:t>
            </w:r>
          </w:p>
        </w:tc>
        <w:tc>
          <w:tcPr>
            <w:tcW w:type="pct" w:w="2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تصنيف المصاريف وتتبعها</w:t>
            </w:r>
          </w:p>
        </w:tc>
        <w:tc>
          <w:tcPr>
            <w:tcW w:type="pct" w:w="16%"/>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مختلف في Micro</w:t>
            </w:r>
          </w:p>
        </w:tc>
        <w:tc>
          <w:tcPr>
            <w:tcW w:type="pct" w:w="36%"/>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لا يستطيع الإجابة: ماذا صرفت على البنزين هذا الشهر؟ ف Micro يسأل أسئلة سياق الصدق ولا يحتفظ بمفردات مسماة، والتجميع قراءة يدوية للملاحظات</w:t>
            </w:r>
          </w:p>
        </w:tc>
        <w:tc>
          <w:tcPr>
            <w:tcW w:type="pct" w:w="1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تكيف (TR-04)</w:t>
            </w:r>
          </w:p>
        </w:tc>
        <w:tc>
          <w:tcPr>
            <w:tcW w:type="pct" w:w="8%"/>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عالية</w:t>
            </w:r>
          </w:p>
        </w:tc>
      </w:tr>
      <w:tr>
        <w:trPr>
          <w:cantSplit/>
        </w:trPr>
        <w:tc>
          <w:tcPr>
            <w:tcW w:type="pct" w:w="8%"/>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MG-02</w:t>
            </w:r>
          </w:p>
        </w:tc>
        <w:tc>
          <w:tcPr>
            <w:tcW w:type="pct" w:w="2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المخزون الانتقائي والأصناف غير المتتبعة</w:t>
            </w:r>
          </w:p>
        </w:tc>
        <w:tc>
          <w:tcPr>
            <w:tcW w:type="pct" w:w="16%"/>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مختلف في Micro</w:t>
            </w:r>
          </w:p>
        </w:tc>
        <w:tc>
          <w:tcPr>
            <w:tcW w:type="pct" w:w="36%"/>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نموذج Micro مقصود وأصرم؛ والاحتكاك الوحيد غياب جسر الاستلام من الشراء وظهور نفاد المخزون</w:t>
            </w:r>
          </w:p>
        </w:tc>
        <w:tc>
          <w:tcPr>
            <w:tcW w:type="pct" w:w="1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رفض الجوهر وتكيف الحواف (TR-07/TR-12)</w:t>
            </w:r>
          </w:p>
        </w:tc>
        <w:tc>
          <w:tcPr>
            <w:tcW w:type="pct" w:w="8%"/>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عالية</w:t>
            </w:r>
          </w:p>
        </w:tc>
      </w:tr>
      <w:tr>
        <w:trPr>
          <w:cantSplit/>
        </w:trPr>
        <w:tc>
          <w:tcPr>
            <w:tcW w:type="pct" w:w="8%"/>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MG-07</w:t>
            </w:r>
          </w:p>
        </w:tc>
        <w:tc>
          <w:tcPr>
            <w:tcW w:type="pct" w:w="2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نتيجة الفترة والأرباح والخسائر</w:t>
            </w:r>
          </w:p>
        </w:tc>
        <w:tc>
          <w:tcPr>
            <w:tcW w:type="pct" w:w="16%"/>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أضعف في Micro (وثيقة التصدير فقط)</w:t>
            </w:r>
          </w:p>
        </w:tc>
        <w:tc>
          <w:tcPr>
            <w:tcW w:type="pct" w:w="36%"/>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لا يستطيع تسليم محاسب أو جهة تمويل وثيقة فترة؛ حد الربح النهائي وغياب الميزانية حدان تصميميان لا يجوز إصلاحهما</w:t>
            </w:r>
          </w:p>
        </w:tc>
        <w:tc>
          <w:tcPr>
            <w:tcW w:type="pct" w:w="1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تكيف (TR-03/TR-01)</w:t>
            </w:r>
          </w:p>
        </w:tc>
        <w:tc>
          <w:tcPr>
            <w:tcW w:type="pct" w:w="8%"/>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عالية</w:t>
            </w:r>
          </w:p>
        </w:tc>
      </w:tr>
      <w:tr>
        <w:trPr>
          <w:cantSplit/>
        </w:trPr>
        <w:tc>
          <w:tcPr>
            <w:tcW w:type="pct" w:w="8%"/>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MG-08</w:t>
            </w:r>
          </w:p>
        </w:tc>
        <w:tc>
          <w:tcPr>
            <w:tcW w:type="pct" w:w="2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فحص السلامة المالي</w:t>
            </w:r>
          </w:p>
        </w:tc>
        <w:tc>
          <w:tcPr>
            <w:tcW w:type="pct" w:w="16%"/>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خاص ب Zman</w:t>
            </w:r>
          </w:p>
        </w:tc>
        <w:tc>
          <w:tcPr>
            <w:tcW w:type="pct" w:w="36%"/>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عندما يبدو رقم ما خاطئًا لا توجد لمسة واحدة تتحقق من حدود Micro الخمسة؛ الثقة مضمونة بالتصميم ولا تُعرض أبدًا</w:t>
            </w:r>
          </w:p>
        </w:tc>
        <w:tc>
          <w:tcPr>
            <w:tcW w:type="pct" w:w="1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تكيف (TR-02 بأولوية صفر)</w:t>
            </w:r>
          </w:p>
        </w:tc>
        <w:tc>
          <w:tcPr>
            <w:tcW w:type="pct" w:w="8%"/>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عالية</w:t>
            </w:r>
          </w:p>
        </w:tc>
      </w:tr>
      <w:tr>
        <w:trPr>
          <w:cantSplit/>
        </w:trPr>
        <w:tc>
          <w:tcPr>
            <w:tcW w:type="pct" w:w="8%"/>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MG-10</w:t>
            </w:r>
          </w:p>
        </w:tc>
        <w:tc>
          <w:tcPr>
            <w:tcW w:type="pct" w:w="2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الأصول والإهلاك</w:t>
            </w:r>
          </w:p>
        </w:tc>
        <w:tc>
          <w:tcPr>
            <w:tcW w:type="pct" w:w="16%"/>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خاص ب Zman (مؤجل في Micro بعقد)</w:t>
            </w:r>
          </w:p>
        </w:tc>
        <w:tc>
          <w:tcPr>
            <w:tcW w:type="pct" w:w="36%"/>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شراء ماكينة أو فرن لا يوزع كلفته على عمره؛ حقيقي لكنه نادر للشخصية المستهدفة</w:t>
            </w:r>
          </w:p>
        </w:tc>
        <w:tc>
          <w:tcPr>
            <w:tcW w:type="pct" w:w="1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رفض الآن وبوابة مستقبلية (TR-14)</w:t>
            </w:r>
          </w:p>
        </w:tc>
        <w:tc>
          <w:tcPr>
            <w:tcW w:type="pct" w:w="8%"/>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عالية</w:t>
            </w:r>
          </w:p>
        </w:tc>
      </w:tr>
      <w:tr>
        <w:trPr>
          <w:cantSplit/>
        </w:trPr>
        <w:tc>
          <w:tcPr>
            <w:tcW w:type="pct" w:w="8%"/>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MG-11</w:t>
            </w:r>
          </w:p>
        </w:tc>
        <w:tc>
          <w:tcPr>
            <w:tcW w:type="pct" w:w="2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سجل التدقيق</w:t>
            </w:r>
          </w:p>
        </w:tc>
        <w:tc>
          <w:tcPr>
            <w:tcW w:type="pct" w:w="16%"/>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مختلف في Micro</w:t>
            </w:r>
          </w:p>
        </w:tc>
        <w:tc>
          <w:tcPr>
            <w:tcW w:type="pct" w:w="36%"/>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ماذا غيرت الأسبوع الماضي؟ يجيب عنه سجل التصحيحات الموثق أما الإنشاءات فتظهر في قوائمها فقط</w:t>
            </w:r>
          </w:p>
        </w:tc>
        <w:tc>
          <w:tcPr>
            <w:tcW w:type="pct" w:w="1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دمج في طبقة النشاط (TR-05)</w:t>
            </w:r>
          </w:p>
        </w:tc>
        <w:tc>
          <w:tcPr>
            <w:tcW w:type="pct" w:w="8%"/>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متوسطة</w:t>
            </w:r>
          </w:p>
        </w:tc>
      </w:tr>
      <w:tr>
        <w:trPr>
          <w:cantSplit/>
        </w:trPr>
        <w:tc>
          <w:tcPr>
            <w:tcW w:type="pct" w:w="8%"/>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MG-12</w:t>
            </w:r>
          </w:p>
        </w:tc>
        <w:tc>
          <w:tcPr>
            <w:tcW w:type="pct" w:w="2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سجل النشاط الموحد</w:t>
            </w:r>
          </w:p>
        </w:tc>
        <w:tc>
          <w:tcPr>
            <w:tcW w:type="pct" w:w="16%"/>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غير مكتمل في Micro</w:t>
            </w:r>
          </w:p>
        </w:tc>
        <w:tc>
          <w:tcPr>
            <w:tcW w:type="pct" w:w="36%"/>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ماذا جرى اليوم أو هذا الأسبوع؟ يتطلب زيارة أربعة أسطح أو أكثر؛ كتلة ما تغير مؤخرًا في الرئيسية تغطي أربعة أنواع فقط وتربط الأحداث ربطًا عامًا</w:t>
            </w:r>
          </w:p>
        </w:tc>
        <w:tc>
          <w:tcPr>
            <w:tcW w:type="pct" w:w="1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تكيف (TR-05)</w:t>
            </w:r>
          </w:p>
        </w:tc>
        <w:tc>
          <w:tcPr>
            <w:tcW w:type="pct" w:w="8%"/>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متوسطة إلى عالية</w:t>
            </w:r>
          </w:p>
        </w:tc>
      </w:tr>
      <w:tr>
        <w:trPr>
          <w:cantSplit/>
        </w:trPr>
        <w:tc>
          <w:tcPr>
            <w:tcW w:type="pct" w:w="8%"/>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MG-13</w:t>
            </w:r>
          </w:p>
        </w:tc>
        <w:tc>
          <w:tcPr>
            <w:tcW w:type="pct" w:w="2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التقارير والتصفيات والملخصات</w:t>
            </w:r>
          </w:p>
        </w:tc>
        <w:tc>
          <w:tcPr>
            <w:tcW w:type="pct" w:w="16%"/>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أضعف في Micro</w:t>
            </w:r>
          </w:p>
        </w:tc>
        <w:tc>
          <w:tcPr>
            <w:tcW w:type="pct" w:w="36%"/>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لا يوجد ملف فترة قابل للمشاركة؛ التصدير الوحيد نسخة JSON كاملة للبيانات</w:t>
            </w:r>
          </w:p>
        </w:tc>
        <w:tc>
          <w:tcPr>
            <w:tcW w:type="pct" w:w="1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تكيف (TR-03)</w:t>
            </w:r>
          </w:p>
        </w:tc>
        <w:tc>
          <w:tcPr>
            <w:tcW w:type="pct" w:w="8%"/>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عالية</w:t>
            </w:r>
          </w:p>
        </w:tc>
      </w:tr>
      <w:tr>
        <w:trPr>
          <w:cantSplit/>
        </w:trPr>
        <w:tc>
          <w:tcPr>
            <w:tcW w:type="pct" w:w="8%"/>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MG-14</w:t>
            </w:r>
          </w:p>
        </w:tc>
        <w:tc>
          <w:tcPr>
            <w:tcW w:type="pct" w:w="2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الملاحظات المتكررة</w:t>
            </w:r>
          </w:p>
        </w:tc>
        <w:tc>
          <w:tcPr>
            <w:tcW w:type="pct" w:w="16%"/>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خاص ب Zman</w:t>
            </w:r>
          </w:p>
        </w:tc>
        <w:tc>
          <w:tcPr>
            <w:tcW w:type="pct" w:w="36%"/>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إعادة كتابة المواصفات وعبارات المتابعة نفسها يوميًا؛ احتكاك حقيقي منخفض الخطورة للحرف المتكررة</w:t>
            </w:r>
          </w:p>
        </w:tc>
        <w:tc>
          <w:tcPr>
            <w:tcW w:type="pct" w:w="1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تكيف مشروط بموافقة المالك (TR-10)</w:t>
            </w:r>
          </w:p>
        </w:tc>
        <w:tc>
          <w:tcPr>
            <w:tcW w:type="pct" w:w="8%"/>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عالية تصنيفًا، متوسطة قيمة</w:t>
            </w:r>
          </w:p>
        </w:tc>
      </w:tr>
      <w:tr>
        <w:trPr>
          <w:cantSplit/>
        </w:trPr>
        <w:tc>
          <w:tcPr>
            <w:tcW w:type="pct" w:w="8%"/>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MG-15</w:t>
            </w:r>
          </w:p>
        </w:tc>
        <w:tc>
          <w:tcPr>
            <w:tcW w:type="pct" w:w="2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لوحة المعلومات</w:t>
            </w:r>
          </w:p>
        </w:tc>
        <w:tc>
          <w:tcPr>
            <w:tcW w:type="pct" w:w="16%"/>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مختلف في Micro (خيار هوية)</w:t>
            </w:r>
          </w:p>
        </w:tc>
        <w:tc>
          <w:tcPr>
            <w:tcW w:type="pct" w:w="36%"/>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ليست عيبًا بل اختيار هوية: الرئيسية قرار أولًا؛ التحليلات مغطاة جزئيًا في طبقة قراءة الفترة</w:t>
            </w:r>
          </w:p>
        </w:tc>
        <w:tc>
          <w:tcPr>
            <w:tcW w:type="pct" w:w="1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رفض تعارض الهوية (TR-17)</w:t>
            </w:r>
          </w:p>
        </w:tc>
        <w:tc>
          <w:tcPr>
            <w:tcW w:type="pct" w:w="8%"/>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عالية</w:t>
            </w:r>
          </w:p>
        </w:tc>
      </w:tr>
      <w:tr>
        <w:trPr>
          <w:cantSplit/>
        </w:trPr>
        <w:tc>
          <w:tcPr>
            <w:tcW w:type="pct" w:w="8%"/>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MG-16</w:t>
            </w:r>
          </w:p>
        </w:tc>
        <w:tc>
          <w:tcPr>
            <w:tcW w:type="pct" w:w="2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المصادقة وتسجيل الدخول</w:t>
            </w:r>
          </w:p>
        </w:tc>
        <w:tc>
          <w:tcPr>
            <w:tcW w:type="pct" w:w="16%"/>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ليست مرشحة للنقل</w:t>
            </w:r>
          </w:p>
        </w:tc>
        <w:tc>
          <w:tcPr>
            <w:tcW w:type="pct" w:w="36%"/>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لا أثر؛ إضافة المصادقة تنكسر بها وعد العمل دون اتصال</w:t>
            </w:r>
          </w:p>
        </w:tc>
        <w:tc>
          <w:tcPr>
            <w:tcW w:type="pct" w:w="1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رفض (TR-17)</w:t>
            </w:r>
          </w:p>
        </w:tc>
        <w:tc>
          <w:tcPr>
            <w:tcW w:type="pct" w:w="8%"/>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عالية</w:t>
            </w:r>
          </w:p>
        </w:tc>
      </w:tr>
      <w:tr>
        <w:trPr>
          <w:cantSplit/>
        </w:trPr>
        <w:tc>
          <w:tcPr>
            <w:tcW w:type="pct" w:w="8%"/>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MG-19</w:t>
            </w:r>
          </w:p>
        </w:tc>
        <w:tc>
          <w:tcPr>
            <w:tcW w:type="pct" w:w="2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تكامل واتساب</w:t>
            </w:r>
          </w:p>
        </w:tc>
        <w:tc>
          <w:tcPr>
            <w:tcW w:type="pct" w:w="16%"/>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ليست مرشحة للنقل</w:t>
            </w:r>
          </w:p>
        </w:tc>
        <w:tc>
          <w:tcPr>
            <w:tcW w:type="pct" w:w="36%"/>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شارك المالك المعلومات يدويًا خارج التطبيق؛ حد منتج مقبول</w:t>
            </w:r>
          </w:p>
        </w:tc>
        <w:tc>
          <w:tcPr>
            <w:tcW w:type="pct" w:w="1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رفض قائمة عدم البناء (TR-17)</w:t>
            </w:r>
          </w:p>
        </w:tc>
        <w:tc>
          <w:tcPr>
            <w:tcW w:type="pct" w:w="8%"/>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عالية</w:t>
            </w:r>
          </w:p>
        </w:tc>
      </w:tr>
      <w:tr>
        <w:trPr>
          <w:cantSplit/>
        </w:trPr>
        <w:tc>
          <w:tcPr>
            <w:tcW w:type="pct" w:w="8%"/>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MG-20</w:t>
            </w:r>
          </w:p>
        </w:tc>
        <w:tc>
          <w:tcPr>
            <w:tcW w:type="pct" w:w="2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البحث الشامل</w:t>
            </w:r>
          </w:p>
        </w:tc>
        <w:tc>
          <w:tcPr>
            <w:tcW w:type="pct" w:w="16%"/>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أضعف في Micro (مؤجل)</w:t>
            </w:r>
          </w:p>
        </w:tc>
        <w:tc>
          <w:tcPr>
            <w:tcW w:type="pct" w:w="36%"/>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إيجاد سجل قديم يتطلب معرفة سطحه؛ محدود عند حجم الشخصية الحالي</w:t>
            </w:r>
          </w:p>
        </w:tc>
        <w:tc>
          <w:tcPr>
            <w:tcW w:type="pct" w:w="1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تأجيل وملاحظة تجريبية (TR-16)</w:t>
            </w:r>
          </w:p>
        </w:tc>
        <w:tc>
          <w:tcPr>
            <w:tcW w:type="pct" w:w="8%"/>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متوسطة</w:t>
            </w:r>
          </w:p>
        </w:tc>
      </w:tr>
      <w:tr>
        <w:trPr>
          <w:cantSplit/>
        </w:trPr>
        <w:tc>
          <w:tcPr>
            <w:tcW w:type="pct" w:w="8%"/>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MG-21</w:t>
            </w:r>
          </w:p>
        </w:tc>
        <w:tc>
          <w:tcPr>
            <w:tcW w:type="pct" w:w="2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القفل التلقائي عند الخمول</w:t>
            </w:r>
          </w:p>
        </w:tc>
        <w:tc>
          <w:tcPr>
            <w:tcW w:type="pct" w:w="16%"/>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ليست مرشحة للنقل</w:t>
            </w:r>
          </w:p>
        </w:tc>
        <w:tc>
          <w:tcPr>
            <w:tcW w:type="pct" w:w="36%"/>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لا أثر اليوم؛ يعاد النظر فقط إن أظهر الاختبار استخدام جهاز مشترك</w:t>
            </w:r>
          </w:p>
        </w:tc>
        <w:tc>
          <w:tcPr>
            <w:tcW w:type="pct" w:w="1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رفض لهذه المرحلة</w:t>
            </w:r>
          </w:p>
        </w:tc>
        <w:tc>
          <w:tcPr>
            <w:tcW w:type="pct" w:w="8%"/>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عالية</w:t>
            </w:r>
          </w:p>
        </w:tc>
      </w:tr>
      <w:tr>
        <w:trPr>
          <w:cantSplit/>
        </w:trPr>
        <w:tc>
          <w:tcPr>
            <w:tcW w:type="pct" w:w="8%"/>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MG-22</w:t>
            </w:r>
          </w:p>
        </w:tc>
        <w:tc>
          <w:tcPr>
            <w:tcW w:type="pct" w:w="2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حفظ مسودة الإدخال (جديد)</w:t>
            </w:r>
          </w:p>
        </w:tc>
        <w:tc>
          <w:tcPr>
            <w:tcW w:type="pct" w:w="16%"/>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غير مكتمل في Micro</w:t>
            </w:r>
          </w:p>
        </w:tc>
        <w:tc>
          <w:tcPr>
            <w:tcW w:type="pct" w:w="36%"/>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تحديث متصفح الهاتف أثناء تعبئة نموذج مالي يفقد كل شيء؛ الحراسة تحذر ولا تستعيد (اكتشاف الجولة الثالثة)</w:t>
            </w:r>
          </w:p>
        </w:tc>
        <w:tc>
          <w:tcPr>
            <w:tcW w:type="pct" w:w="1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تكيف (TR-11)</w:t>
            </w:r>
          </w:p>
        </w:tc>
        <w:tc>
          <w:tcPr>
            <w:tcW w:type="pct" w:w="8%"/>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عالية فجوةً، متوسطة قيمة</w:t>
            </w:r>
          </w:p>
        </w:tc>
      </w:tr>
    </w:tbl>
    <w:p>
      <w:pPr>
        <w:spacing w:after="120"/>
      </w:pPr>
    </w:p>
    <w:p>
      <w:pPr>
        <w:pStyle w:val="Heading2"/>
        <w:bidi/>
        <w:spacing w:after="120" w:before="240" w:line="345" w:lineRule="atLeast"/>
        <w:jc w:val="start"/>
      </w:pPr>
      <w:bookmarkStart w:id="100011" w:name="_Toc100011"/>
      <w:r>
        <w:rPr>
          <w:rFonts w:ascii="Arial" w:cs="Arial" w:hAnsi="Arial"/>
          <w:b/>
          <w:bCs/>
          <w:i w:val="false"/>
          <w:iCs w:val="false"/>
          <w:color w:val="1A1A1A"/>
          <w:sz w:val="30"/>
          <w:szCs w:val="30"/>
          <w:rtl/>
        </w:rPr>
        <w:t xml:space="preserve">تحذيرات الفجوات الكاذبة: مجالات أقوى فيها Micro</w:t>
      </w:r>
      <w:bookmarkEnd w:id="100011"/>
    </w:p>
    <w:p>
      <w:pPr>
        <w:bidi/>
        <w:spacing w:after="120" w:line="312"/>
        <w:ind w:firstLine="480"/>
        <w:jc w:val="both"/>
      </w:pPr>
      <w:r>
        <w:rPr>
          <w:rFonts w:ascii="Arial" w:cs="Arial" w:hAnsi="Arial"/>
          <w:b w:val="false"/>
          <w:bCs w:val="false"/>
          <w:i w:val="false"/>
          <w:iCs w:val="false"/>
          <w:color w:val="262626"/>
          <w:sz w:val="24"/>
          <w:szCs w:val="24"/>
          <w:rtl/>
        </w:rPr>
        <w:t xml:space="preserve">القدرات التالية تبدو مفقودة في Micro وهي في الحقيقة أقوى فيه، وتسجيلها فجواتًا يكون خطأً مباشرًا يعكس اتجاه المقارنة. وحدات الكتالوج والتحويلات: وحدة Zman نص حر بلا تحويلات، بينما لدى Micro وحدات بأبعاد وتحويلات كسرية دقيقة وقوالب تخطيطية. المحافظ والنقد: يضيف Micro محفظة رقمية وأمانة المجهول في الرصيد الافتتاحي والتوزيع والتغطية وعدّ الصندوق ودفتر محفظة بمصادر مرتبطة. التصدير والنسخ الاحتياطي: تصدير Micro كامل ومتحقق منه وقابل للاستعادة مع سلسلة هجرات، أما Zman فيصدّر جزءًا دون أي مسار استعادة. حساب التكلفة: آلة حاسبة عميقة وتقديرات محفوظة بحالات معرفة وأرضية سعر وهامش أمان، تفوق مكونات الطلب في Zman. دورة الطلبات: عشر حالات مع تسويات وبوابة يحتاج مراجعة وسجل أحداث، أعمق من خمس حالات Zman مع تحويله. دفتر الناس: قراءة لكل طرف بصافي وحركات تتجاوز أسماء مبعثرة. التصحيحات والتراجع: نظام استبدال عكسي موثق بمعاينات وأسباب وتاريخ موحد من أحد عشر نوعًا. شطب المخزون: حركة هدر مسببة قابلة للعكس أصرم من شطب Zman الأصم. الأرصدة الافتتاحية: أمانة المجهول مع استكمال لاحق واستيراد موجه تفوق صفًا واحدًا مقفولًا.</w:t>
      </w:r>
    </w:p>
    <w:p>
      <w:pPr>
        <w:pBdr>
          <w:right w:val="single" w:color="C9A84C" w:sz="6" w:space="8"/>
        </w:pBdr>
        <w:bidi/>
        <w:spacing w:after="120" w:before="120" w:line="312"/>
        <w:ind w:right="200"/>
        <w:jc w:val="start"/>
      </w:pPr>
      <w:r>
        <w:rPr>
          <w:rFonts w:ascii="Arial" w:cs="Arial" w:hAnsi="Arial"/>
          <w:b w:val="false"/>
          <w:bCs w:val="false"/>
          <w:i/>
          <w:iCs/>
          <w:color w:val="6E6560"/>
          <w:sz w:val="20"/>
          <w:szCs w:val="20"/>
          <w:rtl/>
        </w:rPr>
        <w:t xml:space="preserve">تنبيه عكسي بالأمانة: غياب صافي الربح النهائي في Micro حد تصميمي وليس فجوة؛ الناقص لا يساوي صفرًا، وأي نقل يصلح هذا الحد ينتهك القاعدة الجوهرية للمنتج.</w:t>
      </w:r>
    </w:p>
    <w:p>
      <w:pPr>
        <w:pStyle w:val="Heading1"/>
        <w:bidi/>
        <w:spacing w:after="160" w:before="360" w:line="368" w:lineRule="atLeast"/>
        <w:jc w:val="start"/>
      </w:pPr>
      <w:bookmarkStart w:id="100012" w:name="_Toc100012"/>
      <w:r>
        <w:rPr>
          <w:rFonts w:ascii="Arial" w:cs="Arial" w:hAnsi="Arial"/>
          <w:b/>
          <w:bCs/>
          <w:i w:val="false"/>
          <w:iCs w:val="false"/>
          <w:color w:val="1A1A1A"/>
          <w:sz w:val="32"/>
          <w:szCs w:val="32"/>
          <w:rtl/>
        </w:rPr>
        <w:t xml:space="preserve">المخرج ج — الملفات التفصيلية للقدرات الجدية</w:t>
      </w:r>
      <w:bookmarkEnd w:id="100012"/>
    </w:p>
    <w:p>
      <w:pPr>
        <w:bidi/>
        <w:spacing w:after="120" w:line="312"/>
        <w:ind w:firstLine="480"/>
        <w:jc w:val="both"/>
      </w:pPr>
      <w:r>
        <w:rPr>
          <w:rFonts w:ascii="Arial" w:cs="Arial" w:hAnsi="Arial"/>
          <w:b w:val="false"/>
          <w:bCs w:val="false"/>
          <w:i w:val="false"/>
          <w:iCs w:val="false"/>
          <w:color w:val="262626"/>
          <w:sz w:val="24"/>
          <w:szCs w:val="24"/>
          <w:rtl/>
        </w:rPr>
        <w:t xml:space="preserve">يقدم هذا المخرج ملفًا كاملًا من البداية إلى النهاية لكل مرشح جدي للنقل: حاجة المستخدم ومداخل السير والشاشات والحقول والحسابات والحالات وآثار البيانات والمال وتصحيحاتها وسلوك دون اتصال ومسار العودة. صيغت الملفات بحيث يستطيع مصمم أو مهندس لاحق التنفيذ دون إعادة فتح Zman، والأدلة التفصيلية بمستوى الأسطر في تقارير الوكلاء المرافقة.</w:t>
      </w:r>
    </w:p>
    <w:p>
      <w:pPr>
        <w:pStyle w:val="Heading2"/>
        <w:bidi/>
        <w:spacing w:after="120" w:before="240" w:line="345" w:lineRule="atLeast"/>
        <w:jc w:val="start"/>
      </w:pPr>
      <w:bookmarkStart w:id="100013" w:name="_Toc100013"/>
      <w:r>
        <w:rPr>
          <w:rFonts w:ascii="Arial" w:cs="Arial" w:hAnsi="Arial"/>
          <w:b/>
          <w:bCs/>
          <w:i w:val="false"/>
          <w:iCs w:val="false"/>
          <w:color w:val="1A1A1A"/>
          <w:sz w:val="30"/>
          <w:szCs w:val="30"/>
          <w:rtl/>
        </w:rPr>
        <w:t xml:space="preserve">الملف الأول: تصنيفي للمصاريف (TR-04)</w:t>
      </w:r>
      <w:bookmarkEnd w:id="100013"/>
    </w:p>
    <w:p>
      <w:pPr>
        <w:pStyle w:val="Heading3"/>
        <w:bidi/>
        <w:spacing w:after="100" w:before="200" w:line="324" w:lineRule="atLeast"/>
        <w:jc w:val="start"/>
      </w:pPr>
      <w:bookmarkStart w:id="100014" w:name="_Toc100014"/>
      <w:r>
        <w:rPr>
          <w:rFonts w:ascii="Arial" w:cs="Arial" w:hAnsi="Arial"/>
          <w:b/>
          <w:bCs/>
          <w:i w:val="false"/>
          <w:iCs w:val="false"/>
          <w:color w:val="1A1A1A"/>
          <w:sz w:val="28"/>
          <w:szCs w:val="28"/>
          <w:rtl/>
        </w:rPr>
        <w:t xml:space="preserve">كيف تعمل القدرة في Zman من البداية إلى النهاية</w:t>
      </w:r>
      <w:bookmarkEnd w:id="100014"/>
    </w:p>
    <w:p>
      <w:pPr>
        <w:bidi/>
        <w:spacing w:after="120" w:line="312"/>
        <w:ind w:firstLine="480"/>
        <w:jc w:val="both"/>
      </w:pPr>
      <w:r>
        <w:rPr>
          <w:rFonts w:ascii="Arial" w:cs="Arial" w:hAnsi="Arial"/>
          <w:b w:val="false"/>
          <w:bCs w:val="false"/>
          <w:i w:val="false"/>
          <w:iCs w:val="false"/>
          <w:color w:val="262626"/>
          <w:sz w:val="24"/>
          <w:szCs w:val="24"/>
          <w:rtl/>
        </w:rPr>
        <w:t xml:space="preserve">يدخل المالك من زر تسجيل جديد في تبويب المدفوعات فيفتح نموذج الإدخال الموحد ويختار وضع المصروف اليومي. الحقول: التاريخ (اليوم افتراضيًا)، والفئة (قائمة اختيار من كتالوج الفئات مع خيار أخرى وإدخال يدوي يحول الحقل إلى نص حر مع رابط عودة للقائمة)، والمبلغ (إدخال نقدي أكبر من صفر)، وملاحظة اختيارية. عند الحفظ تكتب صف المصروف وحركة نقد خارجة ومفتاح عملية وسجل تدقيق، وتُدون الفئة مهذبة (بلا فراغات زائدة) وتُسجل تلقائيًا في الكتالوج داخل المعاملة نفسها، وفشل التسجيل لا يمنع حفظ المصروف أبدًا. مفردات المرشح تجمع الكتالوج مع الفئات المميزة من صفوف المصاريف فيبقى التاريخ قابلًا للتصفية دائمًا. الإدارة من مودال إدارة الفئات إضافة وتعديلًا وحذفًا، مع أن تعديل الاسم لا يعيد كتابة التاريخ فينشطر التوزيع بين الإملاءات القديمة والجديدة (نقطة ضعف موثقة). معنى التصنيف في Zman بُعدان لا قائمة واحدة: رأس المال ضد التشغيل، وطبيعة التكلفة ثابتة أم متغيرة، مع شارة شطب المخزون؛ والفئة نفسها لا تحرك مبلغًا واحدًا بل تغذي توزيع الأرباح والتصفية.</w:t>
      </w:r>
    </w:p>
    <w:p>
      <w:pPr>
        <w:pStyle w:val="Heading3"/>
        <w:bidi/>
        <w:spacing w:after="100" w:before="200" w:line="324" w:lineRule="atLeast"/>
        <w:jc w:val="start"/>
      </w:pPr>
      <w:bookmarkStart w:id="100015" w:name="_Toc100015"/>
      <w:r>
        <w:rPr>
          <w:rFonts w:ascii="Arial" w:cs="Arial" w:hAnsi="Arial"/>
          <w:b/>
          <w:bCs/>
          <w:i w:val="false"/>
          <w:iCs w:val="false"/>
          <w:color w:val="1A1A1A"/>
          <w:sz w:val="28"/>
          <w:szCs w:val="28"/>
          <w:rtl/>
        </w:rPr>
        <w:t xml:space="preserve">الفجوة المحددة في Micro والتصميم المكيف</w:t>
      </w:r>
      <w:bookmarkEnd w:id="100015"/>
    </w:p>
    <w:p>
      <w:pPr>
        <w:bidi/>
        <w:spacing w:after="120" w:line="312"/>
        <w:ind w:firstLine="480"/>
        <w:jc w:val="both"/>
      </w:pPr>
      <w:r>
        <w:rPr>
          <w:rFonts w:ascii="Arial" w:cs="Arial" w:hAnsi="Arial"/>
          <w:b w:val="false"/>
          <w:bCs w:val="false"/>
          <w:i w:val="false"/>
          <w:iCs w:val="false"/>
          <w:color w:val="262626"/>
          <w:sz w:val="24"/>
          <w:szCs w:val="24"/>
          <w:rtl/>
        </w:rPr>
        <w:t xml:space="preserve">يسجل Micro سياق قرار المصروف (علاقة المشروع أو المشترك، وسلوك ثابت أو متغير أو مختلط أو مجهول، والغرض، والمعرفة، وأنماط حصة المشترك) وهو نموذج صدق مقصود بلا مفردات مسماة، فيكون سؤال البنزين بلا جواب. التصميم المكيف: حقل اختياري واحد اسمه تصنيفك (اختياري) داخل طبقة التفاصيل الثانوية الموجودة أصلًا في محرر الحدث المالي، مع اقتراحات من التصنيفات المستخدمة سابقًا. عقد البيانات: إضافة حقل اختياري categoryLabel إلى سياق مصروف التشغيل بحد ثمانين حرفًا مهذبًا ومسطوح الفراغات، مجمد على الحدث كالملاحظة؛ والاقتراحات قائمة مشتقة بالقراءة لا مخزن كتابة جديد، فيكون دمج الأيتام خاصية ملازمة للاشتقاق. الأثر على الدلتات الخمس وعلى حصة المشترك وعلى نتيجة الفترة: صفر. الثمرة في كشف الفترة بكتلة مجمعة بحسب التصنيف (مطوية افتراضيًا) مع روابط مصادر، ومرشح اختياري في طبقة الأحداث. الحالات: فراغ بلا تصنيفات، ودون اتصال دون تغيير، والتعديل عبر استبدال موثق فقط إن طلبه المالك لاحقًا. الهجرة: المخطط من 30 إلى 31 والتصدير من 22 إلى 23 مع هجرة استيراد تضبط القيمة إلى null للملفات الأقدم دون أي تعبئة رجعية، فيظهر التراث غير مصنف بأمانة. العناصر المرفوضة من Zman: كتالوج مُدار مع مودال إدارة (إصلاح لنظام ملوت من البذور في خادم لا يوجد في Micro)، وأدوات الدمج والتعديل الصامت للتاريخ، وأي قواعد تكرار أو كتابة تلقائية.</w:t>
      </w:r>
    </w:p>
    <w:p>
      <w:pPr>
        <w:pStyle w:val="Heading2"/>
        <w:bidi/>
        <w:spacing w:after="120" w:before="240" w:line="345" w:lineRule="atLeast"/>
        <w:jc w:val="start"/>
      </w:pPr>
      <w:bookmarkStart w:id="100016" w:name="_Toc100016"/>
      <w:r>
        <w:rPr>
          <w:rFonts w:ascii="Arial" w:cs="Arial" w:hAnsi="Arial"/>
          <w:b/>
          <w:bCs/>
          <w:i w:val="false"/>
          <w:iCs w:val="false"/>
          <w:color w:val="1A1A1A"/>
          <w:sz w:val="30"/>
          <w:szCs w:val="30"/>
          <w:rtl/>
        </w:rPr>
        <w:t xml:space="preserve">الملف الثاني: فحص سلامة مالي (TR-02)</w:t>
      </w:r>
      <w:bookmarkEnd w:id="100016"/>
    </w:p>
    <w:p>
      <w:pPr>
        <w:pStyle w:val="Heading3"/>
        <w:bidi/>
        <w:spacing w:after="100" w:before="200" w:line="324" w:lineRule="atLeast"/>
        <w:jc w:val="start"/>
      </w:pPr>
      <w:bookmarkStart w:id="100017" w:name="_Toc100017"/>
      <w:r>
        <w:rPr>
          <w:rFonts w:ascii="Arial" w:cs="Arial" w:hAnsi="Arial"/>
          <w:b/>
          <w:bCs/>
          <w:i w:val="false"/>
          <w:iCs w:val="false"/>
          <w:color w:val="1A1A1A"/>
          <w:sz w:val="28"/>
          <w:szCs w:val="28"/>
          <w:rtl/>
        </w:rPr>
        <w:t xml:space="preserve">كيف تعمل القدرة في Zman من البداية إلى النهاية</w:t>
      </w:r>
      <w:bookmarkEnd w:id="100017"/>
    </w:p>
    <w:p>
      <w:pPr>
        <w:bidi/>
        <w:spacing w:after="120" w:line="312"/>
        <w:ind w:firstLine="480"/>
        <w:jc w:val="both"/>
      </w:pPr>
      <w:r>
        <w:rPr>
          <w:rFonts w:ascii="Arial" w:cs="Arial" w:hAnsi="Arial"/>
          <w:b w:val="false"/>
          <w:bCs w:val="false"/>
          <w:i w:val="false"/>
          <w:iCs w:val="false"/>
          <w:color w:val="262626"/>
          <w:sz w:val="24"/>
          <w:szCs w:val="24"/>
          <w:rtl/>
        </w:rPr>
        <w:t xml:space="preserve">يدخل المالك من مسار التقارير إلى بطاقة الفحص الدوري فيضغط زر فحص الآن (بحالة جارٍ الفحص)، فتجري 16 فحصًا للقراءة فقط بالتوازي على الخادم، ثم يعرض لافتة الحكم الكلي (سليم أو تحذير أو خطأ مع تاريخ اللقطة ووقت التشغيل) وتوست مرآة، وبطاقة لكل فحص تحمل أيقونة الحالة والعنوان العربي وشارة الحالة والوصح والفارق المالي وعدد المخالفات وقائمة هويات السجلات المخالفة قابلة للفتح، ومعالجة مقترحة بصيغة تلميح إجراء. الوعد المكتوب في التلميح: الفحص آمن ولا يغيّر أي أرقام، يقرأ فقط. المعالجة تجري في مكانها الأصلي؛ الفحص يشير ولا يصلح. الأدلة الإنتاجية: أربعة عشر سليمًا وتحذير واحد وصفر أخطاء مع انحراف حقوق ملكية صفري.</w:t>
      </w:r>
    </w:p>
    <w:p>
      <w:pPr>
        <w:pStyle w:val="Heading3"/>
        <w:bidi/>
        <w:spacing w:after="100" w:before="200" w:line="324" w:lineRule="atLeast"/>
        <w:jc w:val="start"/>
      </w:pPr>
      <w:bookmarkStart w:id="100018" w:name="_Toc100018"/>
      <w:r>
        <w:rPr>
          <w:rFonts w:ascii="Arial" w:cs="Arial" w:hAnsi="Arial"/>
          <w:b/>
          <w:bCs/>
          <w:i w:val="false"/>
          <w:iCs w:val="false"/>
          <w:color w:val="1A1A1A"/>
          <w:sz w:val="28"/>
          <w:szCs w:val="28"/>
          <w:rtl/>
        </w:rPr>
        <w:t xml:space="preserve">الفجوة المحددة في Micro والتصميم المكيف</w:t>
      </w:r>
      <w:bookmarkEnd w:id="100018"/>
    </w:p>
    <w:p>
      <w:pPr>
        <w:bidi/>
        <w:spacing w:after="120" w:line="312"/>
        <w:ind w:firstLine="480"/>
        <w:jc w:val="both"/>
      </w:pPr>
      <w:r>
        <w:rPr>
          <w:rFonts w:ascii="Arial" w:cs="Arial" w:hAnsi="Arial"/>
          <w:b w:val="false"/>
          <w:bCs w:val="false"/>
          <w:i w:val="false"/>
          <w:iCs w:val="false"/>
          <w:color w:val="262626"/>
          <w:sz w:val="24"/>
          <w:szCs w:val="24"/>
          <w:rtl/>
        </w:rPr>
        <w:t xml:space="preserve">يفرض Micro السلامة بنيويًا (مسار كتابة واحد وفهارس فريدة ومعاملات ذرية وتحقق استيراد) لكن بلا سطح يراه المالك؛ والاستيراد والاستعادة مرسلان فعلًا ويمكن للمستخدم الوصول إليهما من الإعدادات، ومع العمل المحلي أولًا لا يوجد مشرف قواعد بيانات يمسك الفساد غير التطبيق نفسه؛ ولهذا كان هذا البند أولوية صفر. التصميم المكيف: مسار قراءة جديد /tools/integrity من نوع سطح (يبقي شريط التنقل) في أدواتي بوصفه أداة تفكير وتحقق تحاكي هوية احسب قبل أن تلتزم، مع مدخل نصي ثانٍ في قسم الحقيقة في مالي حيث يُشك في الرقم. عقد الشاشة: ترويسة بوعد من سطر (يقرأ أرقامك ويتحقق من توازنها ولا يكتب ولا يصحح)، ثم بطاقة الحكم الكلي وزمن التشغيل وزر افحص الآن، ثم بطاقات الفحوص بعناوين عربية ووصلات لكل سجل مخالف (أقوى من عرض الهويات الخام في Zman) وإجراء مقترح نصي يفتح سطح المعالجة. الصفر كتابة، وآخر تشغيل يخزن ذاكرة مشتقة لا مخزنًا جديدًا. مجموعة الفحوص الميكروية MIC من واحد إلى عشرة بعد التصحيحات النقدية للوكيل الخامس: تطابق نتيجة الفترة بين الأسطح (يتطلب TR-01 والغياب قيمة تفحص)، وبنية النقد (غير المخصص غير سالب ورصيد كل محفظة غير سالب وكل تحويل خارج له مقابل داخل وكل عكس يشير إلى أصل قائم)، وتوازن التصحيحات في الأسر الخمس كلها، وسلامة مراجع المصدر للتخصيصات، واتساق التحصيلات بالصيغة الكاملة (المحصل يساوي مجموع عربونات محصلة زائد تحصيلات غير معكوسة ناقص معكوسات ناقص مرتجعات عربون)، والقرارات المعلقة تحذير لا خطأ، والأمانة غير سالبة وقت القراءة، والمخزون غير سالب بمراجع سليمة، وأمانة المعرفة، وإظهار العربونات المحتجزة معلومةً. خرائطة فحوص Zman: سبعة من ستة عشر مفروضة بنيويًا في Micro وقت الكتابة، وسبعة تتحول إلى فحوص قراءة جديدة، واثنان لا ينطبقان (لا أرشفة ولا أصول).</w:t>
      </w:r>
    </w:p>
    <w:p>
      <w:pPr>
        <w:pStyle w:val="Heading2"/>
        <w:bidi/>
        <w:spacing w:after="120" w:before="240" w:line="345" w:lineRule="atLeast"/>
        <w:jc w:val="start"/>
      </w:pPr>
      <w:bookmarkStart w:id="100019" w:name="_Toc100019"/>
      <w:r>
        <w:rPr>
          <w:rFonts w:ascii="Arial" w:cs="Arial" w:hAnsi="Arial"/>
          <w:b/>
          <w:bCs/>
          <w:i w:val="false"/>
          <w:iCs w:val="false"/>
          <w:color w:val="1A1A1A"/>
          <w:sz w:val="30"/>
          <w:szCs w:val="30"/>
          <w:rtl/>
        </w:rPr>
        <w:t xml:space="preserve">الملف الثالث: شارك الكشف (TR-03)</w:t>
      </w:r>
      <w:bookmarkEnd w:id="100019"/>
    </w:p>
    <w:p>
      <w:pPr>
        <w:pStyle w:val="Heading3"/>
        <w:bidi/>
        <w:spacing w:after="100" w:before="200" w:line="324" w:lineRule="atLeast"/>
        <w:jc w:val="start"/>
      </w:pPr>
      <w:bookmarkStart w:id="100020" w:name="_Toc100020"/>
      <w:r>
        <w:rPr>
          <w:rFonts w:ascii="Arial" w:cs="Arial" w:hAnsi="Arial"/>
          <w:b/>
          <w:bCs/>
          <w:i w:val="false"/>
          <w:iCs w:val="false"/>
          <w:color w:val="1A1A1A"/>
          <w:sz w:val="28"/>
          <w:szCs w:val="28"/>
          <w:rtl/>
        </w:rPr>
        <w:t xml:space="preserve">كيف تعمل القدرة في Zman والفجوة والتصميم المكيف</w:t>
      </w:r>
      <w:bookmarkEnd w:id="100020"/>
    </w:p>
    <w:p>
      <w:pPr>
        <w:bidi/>
        <w:spacing w:after="120" w:line="312"/>
        <w:ind w:firstLine="480"/>
        <w:jc w:val="both"/>
      </w:pPr>
      <w:r>
        <w:rPr>
          <w:rFonts w:ascii="Arial" w:cs="Arial" w:hAnsi="Arial"/>
          <w:b w:val="false"/>
          <w:bCs w:val="false"/>
          <w:i w:val="false"/>
          <w:iCs w:val="false"/>
          <w:color w:val="262626"/>
          <w:sz w:val="24"/>
          <w:szCs w:val="24"/>
          <w:rtl/>
        </w:rPr>
        <w:t xml:space="preserve">في Zman يفتح المالك التقارير ويختار الفترة ثم أزرار التنزيل لكل قسم، فيعيد إجراء الخادم تقرير Markdown عربيًا يلفه العميل في Blob مع علامة BOM لضمان ظهور العربية في أدوات ويندوز، باسم ملف مؤرخ، مع توست نجاح. الفجوة في Micro مؤكدة بالفحص: كشف الفترة بلا أي منطق تنزيل أو مشاركة، والتصدير الوحيد نسخة JSON كاملة. التصميم المكيف: مجموعة أفعال على سطح الكشف القائم نفسه باسم شارك الكشف، يولد ملف Markdown مع BOM من قراءة الكشف القائمة نفسها بلا أي كتابة وبلا أي تغيير في المخطط أو نسخ التصدير، باسم micro-statement مع المدى بالأرقام الإنجليزية والتاريخ DD/MM/YYYY، ويعمل دون اتصال بقراءة محلية خالصة، مع خيار مشاركة النص عبر navigator.share عند توفره. قواعد المحتوى الملزمة: كل سطر مالي يحمل حالته المعرفية، والنتيجة المجهولة تصدر بعبارة غير متاح بسبب بيانات ناقصة ولا تصدر صفرًا أبدًا، وصياغة الأمانة محفوظة (كاش موجود، ليس مالك ولا ربحك)، وملخص التصحيحات داخل الملف، وأسطر الحقيقة تصدر حرفيًا (توقيع أمانة Micro الذي يفتقده Zman)، والترويسة تذكر وقت التوليد والفترة وأنها قراءة من السجل المحلي، ولا صافي ربح نهائي ولا معادلة ميزانية؛ يكفي ملخص مكونات موصوف بأنه قراءة مكونات لا ميزانية محاسبية. غير المنقول: صفحة تقارير مستقلة (أسطح القراءة في Micro هي الكشف وطبقات المالية)، وترقيم صفحات الخلاصة (حل لخادم بمقياس لا لبيانات محلية بمئات السجلات)، وPDF (مؤجل لمسار مستندي إن رفض المستلمون Markdown).</w:t>
      </w:r>
    </w:p>
    <w:p>
      <w:pPr>
        <w:pStyle w:val="Heading2"/>
        <w:bidi/>
        <w:spacing w:after="120" w:before="240" w:line="345" w:lineRule="atLeast"/>
        <w:jc w:val="start"/>
      </w:pPr>
      <w:bookmarkStart w:id="100021" w:name="_Toc100021"/>
      <w:r>
        <w:rPr>
          <w:rFonts w:ascii="Arial" w:cs="Arial" w:hAnsi="Arial"/>
          <w:b/>
          <w:bCs/>
          <w:i w:val="false"/>
          <w:iCs w:val="false"/>
          <w:color w:val="1A1A1A"/>
          <w:sz w:val="30"/>
          <w:szCs w:val="30"/>
          <w:rtl/>
        </w:rPr>
        <w:t xml:space="preserve">الملف الرابع: قراءة الفترة الواحدة (TR-01)</w:t>
      </w:r>
      <w:bookmarkEnd w:id="100021"/>
    </w:p>
    <w:p>
      <w:pPr>
        <w:pStyle w:val="Heading3"/>
        <w:bidi/>
        <w:spacing w:after="100" w:before="200" w:line="324" w:lineRule="atLeast"/>
        <w:jc w:val="start"/>
      </w:pPr>
      <w:bookmarkStart w:id="100022" w:name="_Toc100022"/>
      <w:r>
        <w:rPr>
          <w:rFonts w:ascii="Arial" w:cs="Arial" w:hAnsi="Arial"/>
          <w:b/>
          <w:bCs/>
          <w:i w:val="false"/>
          <w:iCs w:val="false"/>
          <w:color w:val="1A1A1A"/>
          <w:sz w:val="28"/>
          <w:szCs w:val="28"/>
          <w:rtl/>
        </w:rPr>
        <w:t xml:space="preserve">القدرة في Zman والفجوة والتصميم المكيف</w:t>
      </w:r>
      <w:bookmarkEnd w:id="100022"/>
    </w:p>
    <w:p>
      <w:pPr>
        <w:bidi/>
        <w:spacing w:after="120" w:line="312"/>
        <w:ind w:firstLine="480"/>
        <w:jc w:val="both"/>
      </w:pPr>
      <w:r>
        <w:rPr>
          <w:rFonts w:ascii="Arial" w:cs="Arial" w:hAnsi="Arial"/>
          <w:b w:val="false"/>
          <w:bCs w:val="false"/>
          <w:i w:val="false"/>
          <w:iCs w:val="false"/>
          <w:color w:val="262626"/>
          <w:sz w:val="24"/>
          <w:szCs w:val="24"/>
          <w:rtl/>
        </w:rPr>
        <w:t xml:space="preserve">في Zman دالة واحدة تعرف الربح تستدعيها كل الأسطح، وفحص وقتي يعيد اشتقاق الرقم من ثلاثة مسارات عرض لفترتين ويفشل عند أي انحراف، وحظر ثالث رقم ربح بقاعدة تسمية. الفجوة في Micro: مساران مستقلان لحساب النتيجة (قراءة نتيجة الفترة المسجلة في خدمة المالية المشاريعية وخدمة الكشف) وحقائق موضع في الرئيسية، بلا أي فحص وقتي للتطابق؛ الحماية من الانحراف بالاختبارات وحدها. التصميم المكيف: تعيين قراءة نتيجة الفترة المسجلة دالةً قانونية وحيدة، تستهلكها كل الأسطح أو تفحص تطابقها، ولا تحتوي أي صفحة حسابًا زمنيًا مضمنًا، مع اختبار سطح عام يقفل الواجهة. الفحص المتقاطع يعيد الحساب من المخازن ويقارن سطر نتيجة الكشف وقيم عرض الفترة؛ انحراف فوق صفر دينار بكسور يستدعي تحذيرًا في سطح الفحص برقمين معًا بلا أي إصلاح تلقائي. والغياب نفسه قيمة تفحص: عند كون النتيجة مجهولة يجب أن تعرض كل الأسطح الحالة نفسها بأسبابها. ما لا ينقل: صيغة Zman (نتيجة Micro محدودة وتبطل عند المجهول ولا تستبعد شيئًا بصمت)؛ النمط فقط ينقل فيقوي الحد. بلا مخطط ولا شاشة، وأولوية صفر لأنه شرط مسبق لفحص MIC-1 ولثقة التصدير.</w:t>
      </w:r>
    </w:p>
    <w:p>
      <w:pPr>
        <w:pStyle w:val="Heading2"/>
        <w:bidi/>
        <w:spacing w:after="120" w:before="240" w:line="345" w:lineRule="atLeast"/>
        <w:jc w:val="start"/>
      </w:pPr>
      <w:bookmarkStart w:id="100023" w:name="_Toc100023"/>
      <w:r>
        <w:rPr>
          <w:rFonts w:ascii="Arial" w:cs="Arial" w:hAnsi="Arial"/>
          <w:b/>
          <w:bCs/>
          <w:i w:val="false"/>
          <w:iCs w:val="false"/>
          <w:color w:val="1A1A1A"/>
          <w:sz w:val="30"/>
          <w:szCs w:val="30"/>
          <w:rtl/>
        </w:rPr>
        <w:t xml:space="preserve">الملف الخامس: حواف المخزون الانتقائي (TR-07) ورفض جوهره (TR-12)</w:t>
      </w:r>
      <w:bookmarkEnd w:id="100023"/>
    </w:p>
    <w:p>
      <w:pPr>
        <w:pStyle w:val="Heading3"/>
        <w:bidi/>
        <w:spacing w:after="100" w:before="200" w:line="324" w:lineRule="atLeast"/>
        <w:jc w:val="start"/>
      </w:pPr>
      <w:bookmarkStart w:id="100024" w:name="_Toc100024"/>
      <w:r>
        <w:rPr>
          <w:rFonts w:ascii="Arial" w:cs="Arial" w:hAnsi="Arial"/>
          <w:b/>
          <w:bCs/>
          <w:i w:val="false"/>
          <w:iCs w:val="false"/>
          <w:color w:val="1A1A1A"/>
          <w:sz w:val="28"/>
          <w:szCs w:val="28"/>
          <w:rtl/>
        </w:rPr>
        <w:t xml:space="preserve">القدرة في Zman من البداية إلى النهاية</w:t>
      </w:r>
      <w:bookmarkEnd w:id="100024"/>
    </w:p>
    <w:p>
      <w:pPr>
        <w:bidi/>
        <w:spacing w:after="120" w:line="312"/>
        <w:ind w:firstLine="480"/>
        <w:jc w:val="both"/>
      </w:pPr>
      <w:r>
        <w:rPr>
          <w:rFonts w:ascii="Arial" w:cs="Arial" w:hAnsi="Arial"/>
          <w:b w:val="false"/>
          <w:bCs w:val="false"/>
          <w:i w:val="false"/>
          <w:iCs w:val="false"/>
          <w:color w:val="262626"/>
          <w:sz w:val="24"/>
          <w:szCs w:val="24"/>
          <w:rtl/>
        </w:rPr>
        <w:t xml:space="preserve">لكل صنف في كتالوج Zman مفتاح متتبع معطل افتراضيًا؛ الصنف غير المتتبع يبقى شراءه تشغيليًا بحتًا يخصم الربح في شهر الشراء ولا تنشأ له حركات مخزون أبدًا. عند التفعيل يظهر حقل الرصيد الافتتاحي مرة واحدة (يدخل بتكلفة صفرية مقاصة موثقة)، فتصبح المشتريات المرتبطة حركات دخول مرسملة تستثنى من ربح التشغيل، ويخصم التسليم داخل معاملة التحويل حركات خروج بتكلفة متوسط مرجح مخزنة غير قابلة للتعديل، والرصيد السالب مسموح مع ملاحظة تحذير، وإلغاء التتبع برصيد موجب يستلزم حوار عواقب مصرح بها يمسح سجل الحركات ناعمًا. الموانع: يرفض ربط شراء بصنف غير متتبع، ويرفض جمع رأس مال مع تتبع، ويقفل تعديل المكونات بعد التسليم.</w:t>
      </w:r>
    </w:p>
    <w:p>
      <w:pPr>
        <w:pStyle w:val="Heading3"/>
        <w:bidi/>
        <w:spacing w:after="100" w:before="200" w:line="324" w:lineRule="atLeast"/>
        <w:jc w:val="start"/>
      </w:pPr>
      <w:bookmarkStart w:id="100025" w:name="_Toc100025"/>
      <w:r>
        <w:rPr>
          <w:rFonts w:ascii="Arial" w:cs="Arial" w:hAnsi="Arial"/>
          <w:b/>
          <w:bCs/>
          <w:i w:val="false"/>
          <w:iCs w:val="false"/>
          <w:color w:val="1A1A1A"/>
          <w:sz w:val="28"/>
          <w:szCs w:val="28"/>
          <w:rtl/>
        </w:rPr>
        <w:t xml:space="preserve">موقف Micro والحواف المقبولة والجوهر المرفوض</w:t>
      </w:r>
      <w:bookmarkEnd w:id="100025"/>
    </w:p>
    <w:p>
      <w:pPr>
        <w:bidi/>
        <w:spacing w:after="120" w:line="312"/>
        <w:ind w:firstLine="480"/>
        <w:jc w:val="both"/>
      </w:pPr>
      <w:r>
        <w:rPr>
          <w:rFonts w:ascii="Arial" w:cs="Arial" w:hAnsi="Arial"/>
          <w:b w:val="false"/>
          <w:bCs w:val="false"/>
          <w:i w:val="false"/>
          <w:iCs w:val="false"/>
          <w:color w:val="262626"/>
          <w:sz w:val="24"/>
          <w:szCs w:val="24"/>
          <w:rtl/>
        </w:rPr>
        <w:t xml:space="preserve">مخزون Micro اختياري ككل بتاريخ تفعيل، وللمادة حركات تُسجل بتدخل المالك، والمواضع غير سالبة مفروضة وقت الكتابة، والمشتريات تمس النقد والدائنين فقط بنص صريح في محرر شراء المورد: لن يحوله Micro إلى تكلفة بيع أو مخزون حتى المرحلة التالية. الجوهر الآلي غير قابل للنقل مبدئيًا بأربعة تعارضات صلبة: آثار مخزون من تقديرات، وتجاوز حد الدليل الصريح، وتسامح السالب، وتحويل المجهول إلى صفر في الرصيد الافتتاحي. أما الحواف الثلاث فتنقل: جسر استلم هذه المواد في المخزون كفعل نصي على سجل شراء المورد يفتح محرر استلام الحركة مملوءًا مسبقًا بمعامل purchase مع حفظ صريح (جسر لا أتمتة)، وشريط هادئ لنفاد المخزون في عرض المواد (قراءة لا نظام تنبيه)، وقانون حوار العواقب المصرح بها محفوظًا لأي عقد إلغاء تفعيل مستقبلي (لا يوجد اليوم أي مسار إلغاء في Micro وقد تحقق الوكيل الخامس من ذلك). يضاف المعامل إلى مفردات الروابط العميقة المغلقة مع مسار عودة قانوني في التغيير نفسه.</w:t>
      </w:r>
    </w:p>
    <w:p>
      <w:pPr>
        <w:pStyle w:val="Heading2"/>
        <w:bidi/>
        <w:spacing w:after="120" w:before="240" w:line="345" w:lineRule="atLeast"/>
        <w:jc w:val="start"/>
      </w:pPr>
      <w:bookmarkStart w:id="100026" w:name="_Toc100026"/>
      <w:r>
        <w:rPr>
          <w:rFonts w:ascii="Arial" w:cs="Arial" w:hAnsi="Arial"/>
          <w:b/>
          <w:bCs/>
          <w:i w:val="false"/>
          <w:iCs w:val="false"/>
          <w:color w:val="1A1A1A"/>
          <w:sz w:val="30"/>
          <w:szCs w:val="30"/>
          <w:rtl/>
        </w:rPr>
        <w:t xml:space="preserve">الملف السادس: آخر ما صار وسجل كل ما صار (TR-05)</w:t>
      </w:r>
      <w:bookmarkEnd w:id="100026"/>
    </w:p>
    <w:p>
      <w:pPr>
        <w:bidi/>
        <w:spacing w:after="120" w:line="312"/>
        <w:ind w:firstLine="480"/>
        <w:jc w:val="both"/>
      </w:pPr>
      <w:r>
        <w:rPr>
          <w:rFonts w:ascii="Arial" w:cs="Arial" w:hAnsi="Arial"/>
          <w:b w:val="false"/>
          <w:bCs w:val="false"/>
          <w:i w:val="false"/>
          <w:iCs w:val="false"/>
          <w:color w:val="262626"/>
          <w:sz w:val="24"/>
          <w:szCs w:val="24"/>
          <w:rtl/>
        </w:rPr>
        <w:t xml:space="preserve">سجل النشاط في Zman قائمة زمنية واحدة للطلبات والمبيعات والمصاريف والمشتريات بأيقونة نوع وعنوان وزمن ومبلغ بإشارة (أو شرطة عند غياب الأثر النقدي) وربط كل صف بسجلّه في وضع التحرير مباشرة. الفجوة في Micro مركبة من قطع: كتلة ما تغير مؤخرًا في الرئيسية مقتصرة على خمسة صفوف من الطلبات والمسودات والأحداث المالية (بربط عام إلى المالية لا بالحدث نفسه مع أن معلمة التركيز موجودة وأولدها) والمواعيد؛ فتغيب المبيعات المباشرة والتصحيحات وقيود المحافظ. التصميم المكيف بطبقتين: الطبقة الأولى إثراء نموذج قراءة الكتلة القائمة (إضافة المبيعات المباشرة بإنشاءاتها ومراجعاتها، والتصحيحات بوسم تصحيح مع صافي أثر صادق وشرطة لغير النقدي، وقيود المحافظ، وربط صفوف الأحداث بالتركيز event) مع الإبقاء على السقف خمسة إلى سبعة والوزن البصري نفسه حفاظًا على مبدأ القرار أولًا. الطبقة الثانية (بموافقة المالك على ازدحام الرئيسية): فعل مزيد يفتح قارئ قراءة فقط بمسار /finance/activity من عائلة المالية (مهمة قراءة لا أداة حساب) على نموذج قراءة مشتق واحد فوق المخازن القائمة بصفوف لكل نوع وروابط إلى السجلات المركزة، ولا مقعد سادس ولا لوحة معلومات أبدًا.</w:t>
      </w:r>
    </w:p>
    <w:p>
      <w:pPr>
        <w:pStyle w:val="Heading2"/>
        <w:bidi/>
        <w:spacing w:after="120" w:before="240" w:line="345" w:lineRule="atLeast"/>
        <w:jc w:val="start"/>
      </w:pPr>
      <w:bookmarkStart w:id="100027" w:name="_Toc100027"/>
      <w:r>
        <w:rPr>
          <w:rFonts w:ascii="Arial" w:cs="Arial" w:hAnsi="Arial"/>
          <w:b/>
          <w:bCs/>
          <w:i w:val="false"/>
          <w:iCs w:val="false"/>
          <w:color w:val="1A1A1A"/>
          <w:sz w:val="30"/>
          <w:szCs w:val="30"/>
          <w:rtl/>
        </w:rPr>
        <w:t xml:space="preserve">الملف السابع: مسودة محفوظة للمحررات (TR-11) — الاكتشاف الجديد</w:t>
      </w:r>
      <w:bookmarkEnd w:id="100027"/>
    </w:p>
    <w:p>
      <w:pPr>
        <w:bidi/>
        <w:spacing w:after="120" w:line="312"/>
        <w:ind w:firstLine="480"/>
        <w:jc w:val="both"/>
      </w:pPr>
      <w:r>
        <w:rPr>
          <w:rFonts w:ascii="Arial" w:cs="Arial" w:hAnsi="Arial"/>
          <w:b w:val="false"/>
          <w:bCs w:val="false"/>
          <w:i w:val="false"/>
          <w:iCs w:val="false"/>
          <w:color w:val="262626"/>
          <w:sz w:val="24"/>
          <w:szCs w:val="24"/>
          <w:rtl/>
        </w:rPr>
        <w:t xml:space="preserve">يحفظ نموذج الإدخال الموحد في Zman مسودات لكل وضع في التخزين المحلي عند كل تغيير ويعرضها للاستعادة عند إعادة الفتح في وضع الإنشاء فقط، مع مسح المفتاح عند الحفظ أو التجاهل. الفحص بالمستودع يؤكد أن لا محررًا في Micro يحفظ إدخالًا غير محفوظًا؛ فالاستخدام الوحيد للتخزين المحلي في الإعداد (مسودة محذوفة عند الإكمال) وهو سابقة داخلية تثبت معرفة النمط. التصميم المكيف: مفتاح مسودة لكل محرر يكتب عند التغييع ويعرض شريط استعادة عند إعادة الفتح في وضع الإنشاء فقط بقاعدة Zman نفسها، والمسح عند الحفظ أو التجاهل، ولا يلتزم سجلًا أبدًا؛ المسودة إدخال لا سجل، وخارج المخطط والتصدير. يبدأ التعميم بمحرر الحدث المالي (أطول النماذج) ثم يتوسع، مع قاعدة الفصل: المسودة تستعيد الإدخال والحراسة تحكم التنقل ولا تفاعل بينهما.</w:t>
      </w:r>
    </w:p>
    <w:p>
      <w:pPr>
        <w:pStyle w:val="Heading2"/>
        <w:bidi/>
        <w:spacing w:after="120" w:before="240" w:line="345" w:lineRule="atLeast"/>
        <w:jc w:val="start"/>
      </w:pPr>
      <w:bookmarkStart w:id="100028" w:name="_Toc100028"/>
      <w:r>
        <w:rPr>
          <w:rFonts w:ascii="Arial" w:cs="Arial" w:hAnsi="Arial"/>
          <w:b/>
          <w:bCs/>
          <w:i w:val="false"/>
          <w:iCs w:val="false"/>
          <w:color w:val="1A1A1A"/>
          <w:sz w:val="30"/>
          <w:szCs w:val="30"/>
          <w:rtl/>
        </w:rPr>
        <w:t xml:space="preserve">ملفات مكثفة للبنود المساندة</w:t>
      </w:r>
      <w:bookmarkEnd w:id="100028"/>
    </w:p>
    <w:p>
      <w:pPr>
        <w:bidi/>
        <w:spacing w:after="120" w:line="312"/>
        <w:ind w:firstLine="480"/>
        <w:jc w:val="both"/>
      </w:pPr>
      <w:r>
        <w:rPr>
          <w:rFonts w:ascii="Arial" w:cs="Arial" w:hAnsi="Arial"/>
          <w:b w:val="false"/>
          <w:bCs w:val="false"/>
          <w:i w:val="false"/>
          <w:iCs w:val="false"/>
          <w:color w:val="262626"/>
          <w:sz w:val="24"/>
          <w:szCs w:val="24"/>
          <w:rtl/>
        </w:rPr>
        <w:t xml:space="preserve">صفوف ظهور الهدر (TR-06): يظهر Zman الشطب بطاقة رمادية للقراءة فقط حيث يقرأ المالك النقد، أما Micro فالهدر في سجل حركات المخزون وحده؛ ينقل الأثر وحده بصفوف قراءة في طبقة الأحداث أو شريط الحقيقة بعنوان هدر مخزون بلا خروج نقد مع المبلغ ورابط المصدر وشرطة غير النقدي، دون أي كتابة، وآليات الهدر القابلة للعكس في Micro تبقى كما هي رفضًا صريحًا لآلية الظل الأصم في Zman. قوانين الأثر والثبات (TR-08): توثيق مكتوب بوابات مراجعة: نص يشرح الأثر قبل كل التزام مالي مع الحالة السلبية (لا تنشأ حركة نقدية جديدة) وسطر تلميح للقرض الشخصي في محرري السحب والمصروف، وقانون ثبات الترويسة (لا صفوف شرطية فوق المحتوى والمرشحات في الجسم بلف لا تمرير)، ومصفوفة أفعال الحالة لتفاصيل الطلب موثقة جدولًا، وحالات فراغ تعليمية بثلاث خطوات وفعل مباشر. مساعدات التراجع واللصق (TR-09): تراجع خمس ثوان عن الحذف للسجلات غير المالية فقط (التقديرات اليوم والملاحظات إن بنيت) والاستعادة محلية حقيقية تسقط معها تعقيدات حراسة الاتصال، مع منع صريح على السجلات المالية لأن مسار التصحيح أصرم؛ ونزع رموز العملة عند لصق المبالغ في مسار الإدخال الإنجليزي (تطبيع الأرقام موجود أصلًا). الملاحظات المتكررة (TR-10): مخزن محلي غير مالي كسابقة التقديرات في أدواتي بعنوان ومتن وفئة ونسخ للحافظة، مع تعبئة اختيارية لمواصفات الطلب نصًا فقط لا أسعارًا أبدًا، وبناء مشروط بموافقة المالك مع تجميع قرار المخزن مع رفعة المخطط 31.</w:t>
      </w:r>
    </w:p>
    <w:p>
      <w:pPr>
        <w:pStyle w:val="Heading1"/>
        <w:bidi/>
        <w:spacing w:after="160" w:before="360" w:line="368" w:lineRule="atLeast"/>
        <w:jc w:val="start"/>
      </w:pPr>
      <w:bookmarkStart w:id="100029" w:name="_Toc100029"/>
      <w:r>
        <w:rPr>
          <w:rFonts w:ascii="Arial" w:cs="Arial" w:hAnsi="Arial"/>
          <w:b/>
          <w:bCs/>
          <w:i w:val="false"/>
          <w:iCs w:val="false"/>
          <w:color w:val="1A1A1A"/>
          <w:sz w:val="32"/>
          <w:szCs w:val="32"/>
          <w:rtl/>
        </w:rPr>
        <w:t xml:space="preserve">المخرج د — خريطة النقل للملاحة وشاشات المعلومات</w:t>
      </w:r>
      <w:bookmarkEnd w:id="100029"/>
    </w:p>
    <w:p>
      <w:pPr>
        <w:bidi/>
        <w:spacing w:after="120" w:line="312"/>
        <w:ind w:firstLine="480"/>
        <w:jc w:val="both"/>
      </w:pPr>
      <w:r>
        <w:rPr>
          <w:rFonts w:ascii="Arial" w:cs="Arial" w:hAnsi="Arial"/>
          <w:b w:val="false"/>
          <w:bCs w:val="false"/>
          <w:i w:val="false"/>
          <w:iCs w:val="false"/>
          <w:color w:val="262626"/>
          <w:sz w:val="24"/>
          <w:szCs w:val="24"/>
          <w:rtl/>
        </w:rPr>
        <w:t xml:space="preserve">تحدد الخريطة مكان كل قدرة مقبولة في Micro باحترام نموذج المقاعد الخمسة وزر التسجيل المركزي وتصنيف المسارات عميق وسطح وفق العقد 26 ومسار العودة الآمن. القاعدة الحاكمة: القارئ سطح يبقي شريط التنقل، والمحرر عمق يخفيه ويحرس المدخلات غير المحفوظة ويعود بأصل الافتتاح. لا يُنشأ أي مقعد سادس ولا ورقة المزيد ولا لوحات تحليلية في الرئيسية ولا محررات فوق الصفحة بنوافذ؛ فكل ذلك يفتت هوية تنقل مكتملة ومختبرة.</w:t>
      </w:r>
    </w:p>
    <w:p>
      <w:pPr>
        <w:keepNext/>
        <w:bidi/>
        <w:spacing w:after="100" w:before="200" w:line="312"/>
        <w:jc w:val="start"/>
      </w:pPr>
      <w:r>
        <w:rPr>
          <w:rFonts w:ascii="Arial" w:cs="Arial" w:hAnsi="Arial"/>
          <w:b/>
          <w:bCs/>
          <w:i w:val="false"/>
          <w:iCs w:val="false"/>
          <w:color w:val="1A1A1A"/>
          <w:sz w:val="21"/>
          <w:szCs w:val="21"/>
          <w:rtl/>
        </w:rPr>
        <w:t xml:space="preserve">جدول 3: خريطة النقل (المالك والمسار والنمط والمداخل والعودة)</w:t>
      </w:r>
    </w:p>
    <w:tbl>
      <w:tblPr>
        <w:bidiVisual/>
        <w:tblW w:type="pct" w:w="100%"/>
        <w:tblBorders>
          <w:top w:val="single" w:color="C9A84C" w:sz="4"/>
          <w:left w:val="none" w:color="FFFFFF" w:sz="0"/>
          <w:bottom w:val="single" w:color="C9A84C" w:sz="4"/>
          <w:right w:val="none" w:color="FFFFFF" w:sz="0"/>
          <w:insideH w:val="single" w:color="DDD5C0" w:sz="1"/>
          <w:insideV w:val="single" w:color="DDD5C0" w:sz="1"/>
        </w:tblBorders>
        <w:tblLayout w:type="fixed"/>
      </w:tblPr>
      <w:tblGrid>
        <w:gridCol w:w="100"/>
        <w:gridCol w:w="100"/>
        <w:gridCol w:w="100"/>
        <w:gridCol w:w="100"/>
        <w:gridCol w:w="100"/>
      </w:tblGrid>
      <w:tr>
        <w:trPr>
          <w:cantSplit/>
          <w:tblHeader/>
        </w:trPr>
        <w:tc>
          <w:tcPr>
            <w:tcW w:type="pct" w:w="8%"/>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البند</w:t>
            </w:r>
          </w:p>
        </w:tc>
        <w:tc>
          <w:tcPr>
            <w:tcW w:type="pct" w:w="20%"/>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الاسم في Micro</w:t>
            </w:r>
          </w:p>
        </w:tc>
        <w:tc>
          <w:tcPr>
            <w:tcW w:type="pct" w:w="12%"/>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التبويب المالك</w:t>
            </w:r>
          </w:p>
        </w:tc>
        <w:tc>
          <w:tcPr>
            <w:tcW w:type="pct" w:w="30%"/>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الشاشة والنمط</w:t>
            </w:r>
          </w:p>
        </w:tc>
        <w:tc>
          <w:tcPr>
            <w:tcW w:type="pct" w:w="30%"/>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المداخل والعودة</w:t>
            </w:r>
          </w:p>
        </w:tc>
      </w:tr>
      <w:tr>
        <w:trPr>
          <w:cantSplit/>
        </w:trPr>
        <w:tc>
          <w:tcPr>
            <w:tcW w:type="pct" w:w="8%"/>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TR-01</w:t>
            </w:r>
          </w:p>
        </w:tc>
        <w:tc>
          <w:tcPr>
            <w:tcW w:type="pct" w:w="2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قراءة الفترة الواحدة</w:t>
            </w:r>
          </w:p>
        </w:tc>
        <w:tc>
          <w:tcPr>
            <w:tcW w:type="pct" w:w="1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مالي</w:t>
            </w:r>
          </w:p>
        </w:tc>
        <w:tc>
          <w:tcPr>
            <w:tcW w:type="pct" w:w="3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بلا شاشة: انضباط طبقة التطبيق مع اختبار سطح عام</w:t>
            </w:r>
          </w:p>
        </w:tc>
        <w:tc>
          <w:tcPr>
            <w:tcW w:type="pct" w:w="3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لا مداخل؛ شرط مسبق لفحص MIC-1</w:t>
            </w:r>
          </w:p>
        </w:tc>
      </w:tr>
      <w:tr>
        <w:trPr>
          <w:cantSplit/>
        </w:trPr>
        <w:tc>
          <w:tcPr>
            <w:tcW w:type="pct" w:w="8%"/>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TR-02</w:t>
            </w:r>
          </w:p>
        </w:tc>
        <w:tc>
          <w:tcPr>
            <w:tcW w:type="pct" w:w="2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فحص سلامة مالي</w:t>
            </w:r>
          </w:p>
        </w:tc>
        <w:tc>
          <w:tcPr>
            <w:tcW w:type="pct" w:w="1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أدواتي (مدخل ثانوي في مالي)</w:t>
            </w:r>
          </w:p>
        </w:tc>
        <w:tc>
          <w:tcPr>
            <w:tcW w:type="pct" w:w="3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مسار سطح جديد /tools/integrity مع تراجع إلى /tools</w:t>
            </w:r>
          </w:p>
        </w:tc>
        <w:tc>
          <w:tcPr>
            <w:tcW w:type="pct" w:w="3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صف حالة الوحدات في أدواتي وفعل نصي في قسم الحقيقة في مالي مع اقتراح تلقائي بعد الاستيراد</w:t>
            </w:r>
          </w:p>
        </w:tc>
      </w:tr>
      <w:tr>
        <w:trPr>
          <w:cantSplit/>
        </w:trPr>
        <w:tc>
          <w:tcPr>
            <w:tcW w:type="pct" w:w="8%"/>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TR-03</w:t>
            </w:r>
          </w:p>
        </w:tc>
        <w:tc>
          <w:tcPr>
            <w:tcW w:type="pct" w:w="2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شارك الكشف</w:t>
            </w:r>
          </w:p>
        </w:tc>
        <w:tc>
          <w:tcPr>
            <w:tcW w:type="pct" w:w="1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مالي</w:t>
            </w:r>
          </w:p>
        </w:tc>
        <w:tc>
          <w:tcPr>
            <w:tcW w:type="pct" w:w="3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مجموعة أفعال داخل كشف الفترة القائم</w:t>
            </w:r>
          </w:p>
        </w:tc>
        <w:tc>
          <w:tcPr>
            <w:tcW w:type="pct" w:w="3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فعل حمّل الكشف نصًا في نهاية الكشف وفعل في تذييل طبقة الفترة</w:t>
            </w:r>
          </w:p>
        </w:tc>
      </w:tr>
      <w:tr>
        <w:trPr>
          <w:cantSplit/>
        </w:trPr>
        <w:tc>
          <w:tcPr>
            <w:tcW w:type="pct" w:w="8%"/>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TR-04</w:t>
            </w:r>
          </w:p>
        </w:tc>
        <w:tc>
          <w:tcPr>
            <w:tcW w:type="pct" w:w="2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تصنيفي للمصاريف</w:t>
            </w:r>
          </w:p>
        </w:tc>
        <w:tc>
          <w:tcPr>
            <w:tcW w:type="pct" w:w="1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مالي</w:t>
            </w:r>
          </w:p>
        </w:tc>
        <w:tc>
          <w:tcPr>
            <w:tcW w:type="pct" w:w="3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حقل داخل طبقة التفاصيل الثانوية في محرر الحدث</w:t>
            </w:r>
          </w:p>
        </w:tc>
        <w:tc>
          <w:tcPr>
            <w:tcW w:type="pct" w:w="3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حقل تصنيفك اختياري مع اقتراحات مشتقة، وكتلة تجميع في الكشف مطوية افتراضيًا</w:t>
            </w:r>
          </w:p>
        </w:tc>
      </w:tr>
      <w:tr>
        <w:trPr>
          <w:cantSplit/>
        </w:trPr>
        <w:tc>
          <w:tcPr>
            <w:tcW w:type="pct" w:w="8%"/>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TR-05</w:t>
            </w:r>
          </w:p>
        </w:tc>
        <w:tc>
          <w:tcPr>
            <w:tcW w:type="pct" w:w="2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آخر ما صار وسجل كل ما صار</w:t>
            </w:r>
          </w:p>
        </w:tc>
        <w:tc>
          <w:tcPr>
            <w:tcW w:type="pct" w:w="1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مشروعي الآن ومالي</w:t>
            </w:r>
          </w:p>
        </w:tc>
        <w:tc>
          <w:tcPr>
            <w:tcW w:type="pct" w:w="3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كتلة الرئيسية القائمة وقارئ سطح /finance/activity</w:t>
            </w:r>
          </w:p>
        </w:tc>
        <w:tc>
          <w:tcPr>
            <w:tcW w:type="pct" w:w="3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فعل مزيد من الكتلة وفعل نصي في قسم الحقيقة، وربط الصفوف بمعامل التركيز القائم</w:t>
            </w:r>
          </w:p>
        </w:tc>
      </w:tr>
      <w:tr>
        <w:trPr>
          <w:cantSplit/>
        </w:trPr>
        <w:tc>
          <w:tcPr>
            <w:tcW w:type="pct" w:w="8%"/>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TR-06</w:t>
            </w:r>
          </w:p>
        </w:tc>
        <w:tc>
          <w:tcPr>
            <w:tcW w:type="pct" w:w="2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هدر مخزون بلا خروج نقد</w:t>
            </w:r>
          </w:p>
        </w:tc>
        <w:tc>
          <w:tcPr>
            <w:tcW w:type="pct" w:w="1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مالي</w:t>
            </w:r>
          </w:p>
        </w:tc>
        <w:tc>
          <w:tcPr>
            <w:tcW w:type="pct" w:w="3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صفوف قراءة في طبقة الأحداث أو شريط الحقيقة</w:t>
            </w:r>
          </w:p>
        </w:tc>
        <w:tc>
          <w:tcPr>
            <w:tcW w:type="pct" w:w="3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انضمام قراءة من المخزون مع رابط مصدر وشرطة غير النقدي</w:t>
            </w:r>
          </w:p>
        </w:tc>
      </w:tr>
      <w:tr>
        <w:trPr>
          <w:cantSplit/>
        </w:trPr>
        <w:tc>
          <w:tcPr>
            <w:tcW w:type="pct" w:w="8%"/>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TR-07</w:t>
            </w:r>
          </w:p>
        </w:tc>
        <w:tc>
          <w:tcPr>
            <w:tcW w:type="pct" w:w="2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استلم هذه المواد وشريط النفاد</w:t>
            </w:r>
          </w:p>
        </w:tc>
        <w:tc>
          <w:tcPr>
            <w:tcW w:type="pct" w:w="1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مالي</w:t>
            </w:r>
          </w:p>
        </w:tc>
        <w:tc>
          <w:tcPr>
            <w:tcW w:type="pct" w:w="3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فعل نصي سياقي على سجل شراء المورد وشريط في عرض المواد</w:t>
            </w:r>
          </w:p>
        </w:tc>
        <w:tc>
          <w:tcPr>
            <w:tcW w:type="pct" w:w="3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معامل purchase في مفردات الروابط العميقة المغلقة مع عودة إلى سجل الشراء</w:t>
            </w:r>
          </w:p>
        </w:tc>
      </w:tr>
      <w:tr>
        <w:trPr>
          <w:cantSplit/>
        </w:trPr>
        <w:tc>
          <w:tcPr>
            <w:tcW w:type="pct" w:w="8%"/>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TR-08</w:t>
            </w:r>
          </w:p>
        </w:tc>
        <w:tc>
          <w:tcPr>
            <w:tcW w:type="pct" w:w="2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قوانين الأثر والثبات</w:t>
            </w:r>
          </w:p>
        </w:tc>
        <w:tc>
          <w:tcPr>
            <w:tcW w:type="pct" w:w="1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عابر للأسطح</w:t>
            </w:r>
          </w:p>
        </w:tc>
        <w:tc>
          <w:tcPr>
            <w:tcW w:type="pct" w:w="3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توثيق عقود وبوابات مراجعة</w:t>
            </w:r>
          </w:p>
        </w:tc>
        <w:tc>
          <w:tcPr>
            <w:tcW w:type="pct" w:w="3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لا شاشة؛ قائمة تدقيق في مراجعة كل مجموعة قادمة</w:t>
            </w:r>
          </w:p>
        </w:tc>
      </w:tr>
      <w:tr>
        <w:trPr>
          <w:cantSplit/>
        </w:trPr>
        <w:tc>
          <w:tcPr>
            <w:tcW w:type="pct" w:w="8%"/>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TR-09</w:t>
            </w:r>
          </w:p>
        </w:tc>
        <w:tc>
          <w:tcPr>
            <w:tcW w:type="pct" w:w="2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تراجع خمس ثوان ومساعد اللصق</w:t>
            </w:r>
          </w:p>
        </w:tc>
        <w:tc>
          <w:tcPr>
            <w:tcW w:type="pct" w:w="1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عابر للأسطح</w:t>
            </w:r>
          </w:p>
        </w:tc>
        <w:tc>
          <w:tcPr>
            <w:tcW w:type="pct" w:w="3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مكون في نماذج النماذج ومساعد في إدخال الإنجليزي</w:t>
            </w:r>
          </w:p>
        </w:tc>
        <w:tc>
          <w:tcPr>
            <w:tcW w:type="pct" w:w="3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يبدأ من حذف التقديرات ثم الملاحظات إن بنيت</w:t>
            </w:r>
          </w:p>
        </w:tc>
      </w:tr>
      <w:tr>
        <w:trPr>
          <w:cantSplit/>
        </w:trPr>
        <w:tc>
          <w:tcPr>
            <w:tcW w:type="pct" w:w="8%"/>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TR-10</w:t>
            </w:r>
          </w:p>
        </w:tc>
        <w:tc>
          <w:tcPr>
            <w:tcW w:type="pct" w:w="2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ملاحظاتي المتكررة</w:t>
            </w:r>
          </w:p>
        </w:tc>
        <w:tc>
          <w:tcPr>
            <w:tcW w:type="pct" w:w="1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أدواتي</w:t>
            </w:r>
          </w:p>
        </w:tc>
        <w:tc>
          <w:tcPr>
            <w:tcW w:type="pct" w:w="3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وحدة جديدة (مشروطة بموافقة المالك)</w:t>
            </w:r>
          </w:p>
        </w:tc>
        <w:tc>
          <w:tcPr>
            <w:tcW w:type="pct" w:w="3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صف حالة في أدواتي وتعبئة نصية للمواصفات فقط</w:t>
            </w:r>
          </w:p>
        </w:tc>
      </w:tr>
      <w:tr>
        <w:trPr>
          <w:cantSplit/>
        </w:trPr>
        <w:tc>
          <w:tcPr>
            <w:tcW w:type="pct" w:w="8%"/>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TR-11</w:t>
            </w:r>
          </w:p>
        </w:tc>
        <w:tc>
          <w:tcPr>
            <w:tcW w:type="pct" w:w="2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مسودة محفوظة</w:t>
            </w:r>
          </w:p>
        </w:tc>
        <w:tc>
          <w:tcPr>
            <w:tcW w:type="pct" w:w="1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عابر للأسطح</w:t>
            </w:r>
          </w:p>
        </w:tc>
        <w:tc>
          <w:tcPr>
            <w:tcW w:type="pct" w:w="3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شريط استعادة عند إعادة فتح المحرر في وضع الإنشاء</w:t>
            </w:r>
          </w:p>
        </w:tc>
        <w:tc>
          <w:tcPr>
            <w:tcW w:type="pct" w:w="3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يبدأ بمحرر الحدث المالي ثم يتوسع محررًا محررًا</w:t>
            </w:r>
          </w:p>
        </w:tc>
      </w:tr>
    </w:tbl>
    <w:p>
      <w:pPr>
        <w:spacing w:after="120"/>
      </w:pPr>
    </w:p>
    <w:p>
      <w:pPr>
        <w:bidi/>
        <w:spacing w:after="120" w:line="312"/>
        <w:ind w:firstLine="480"/>
        <w:jc w:val="both"/>
      </w:pPr>
      <w:r>
        <w:rPr>
          <w:rFonts w:ascii="Arial" w:cs="Arial" w:hAnsi="Arial"/>
          <w:b w:val="false"/>
          <w:bCs w:val="false"/>
          <w:i w:val="false"/>
          <w:iCs w:val="false"/>
          <w:color w:val="262626"/>
          <w:sz w:val="24"/>
          <w:szCs w:val="24"/>
          <w:rtl/>
        </w:rPr>
        <w:t xml:space="preserve">الالتزامات الملزمة عند إضافة المسارات الجديدة: يسجل مسارا TR-02 و TR-05 صف تراجع قانوني في عقد التنقل 26، ويضاف معامل purchase إلى مفردات الروابط المغلقة، وكل ذلك في التغيير نفسه لا بعده. أما البنود المرفوضة على مستوى تجربة الاستخدام (شريط جانبي بستة مقاعد وورقة أكثر، ولوحات لوحة المعلومات، والمحررات النوافذية فوق الصفحة، والأرقام العربية الشرقية وعرض ثلاث خانات للفلس، وتسميات الزر العائم لكل تبويب) فمرفوضة بأدلة من نموذجي التنقل في المنتجين وتوثق في تقرير الوكيل الثالث.</w:t>
      </w:r>
    </w:p>
    <w:p>
      <w:pPr>
        <w:pStyle w:val="Heading1"/>
        <w:bidi/>
        <w:spacing w:after="160" w:before="360" w:line="368" w:lineRule="atLeast"/>
        <w:jc w:val="start"/>
      </w:pPr>
      <w:bookmarkStart w:id="100030" w:name="_Toc100030"/>
      <w:r>
        <w:rPr>
          <w:rFonts w:ascii="Arial" w:cs="Arial" w:hAnsi="Arial"/>
          <w:b/>
          <w:bCs/>
          <w:i w:val="false"/>
          <w:iCs w:val="false"/>
          <w:color w:val="1A1A1A"/>
          <w:sz w:val="32"/>
          <w:szCs w:val="32"/>
          <w:rtl/>
        </w:rPr>
        <w:t xml:space="preserve">المخرج هـ — العقود المالية وبيانات النقل</w:t>
      </w:r>
      <w:bookmarkEnd w:id="100030"/>
    </w:p>
    <w:p>
      <w:pPr>
        <w:bidi/>
        <w:spacing w:after="120" w:line="312"/>
        <w:ind w:firstLine="480"/>
        <w:jc w:val="both"/>
      </w:pPr>
      <w:r>
        <w:rPr>
          <w:rFonts w:ascii="Arial" w:cs="Arial" w:hAnsi="Arial"/>
          <w:b w:val="false"/>
          <w:bCs w:val="false"/>
          <w:i w:val="false"/>
          <w:iCs w:val="false"/>
          <w:color w:val="262626"/>
          <w:sz w:val="24"/>
          <w:szCs w:val="24"/>
          <w:rtl/>
        </w:rPr>
        <w:t xml:space="preserve">تلتزم كل العقود المقبولة بالمسار الجوهري: من الصفحة إلى خدمة التطبيق إلى المجال إلى المخزن المحلي؛ والمعاملات الذرية للكتابات المقترنة؛ ومفاتيح العملية لكل نية؛ وقبول الاستيراد لنسخ التصدير الأقدم؛ وعدم إعادة كتابة التاريخ بصمت؛ وعدم إنشاء التقديرات أي أثر؛ والناقص لا يساوي صفرًا. يلخص الجدول عقود السجلات ثم تليه القرارات المفتوحة والرفوض الصلبة.</w:t>
      </w:r>
    </w:p>
    <w:p>
      <w:pPr>
        <w:keepNext/>
        <w:bidi/>
        <w:spacing w:after="100" w:before="200" w:line="312"/>
        <w:jc w:val="start"/>
      </w:pPr>
      <w:r>
        <w:rPr>
          <w:rFonts w:ascii="Arial" w:cs="Arial" w:hAnsi="Arial"/>
          <w:b/>
          <w:bCs/>
          <w:i w:val="false"/>
          <w:iCs w:val="false"/>
          <w:color w:val="1A1A1A"/>
          <w:sz w:val="21"/>
          <w:szCs w:val="21"/>
          <w:rtl/>
        </w:rPr>
        <w:t xml:space="preserve">جدول 4: عقود سجلات النقل</w:t>
      </w:r>
    </w:p>
    <w:tbl>
      <w:tblPr>
        <w:bidiVisual/>
        <w:tblW w:type="pct" w:w="100%"/>
        <w:tblBorders>
          <w:top w:val="single" w:color="C9A84C" w:sz="4"/>
          <w:left w:val="none" w:color="FFFFFF" w:sz="0"/>
          <w:bottom w:val="single" w:color="C9A84C" w:sz="4"/>
          <w:right w:val="none" w:color="FFFFFF" w:sz="0"/>
          <w:insideH w:val="single" w:color="DDD5C0" w:sz="1"/>
          <w:insideV w:val="single" w:color="DDD5C0" w:sz="1"/>
        </w:tblBorders>
        <w:tblLayout w:type="fixed"/>
      </w:tblPr>
      <w:tblGrid>
        <w:gridCol w:w="100"/>
        <w:gridCol w:w="100"/>
        <w:gridCol w:w="100"/>
        <w:gridCol w:w="100"/>
      </w:tblGrid>
      <w:tr>
        <w:trPr>
          <w:cantSplit/>
          <w:tblHeader/>
        </w:trPr>
        <w:tc>
          <w:tcPr>
            <w:tcW w:type="pct" w:w="12%"/>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العقد</w:t>
            </w:r>
          </w:p>
        </w:tc>
        <w:tc>
          <w:tcPr>
            <w:tcW w:type="pct" w:w="30%"/>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شكل السجل</w:t>
            </w:r>
          </w:p>
        </w:tc>
        <w:tc>
          <w:tcPr>
            <w:tcW w:type="pct" w:w="34%"/>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الأثر والتصحيح</w:t>
            </w:r>
          </w:p>
        </w:tc>
        <w:tc>
          <w:tcPr>
            <w:tcW w:type="pct" w:w="24%"/>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الهجرة</w:t>
            </w:r>
          </w:p>
        </w:tc>
      </w:tr>
      <w:tr>
        <w:trPr>
          <w:cantSplit/>
        </w:trPr>
        <w:tc>
          <w:tcPr>
            <w:tcW w:type="pct" w:w="1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TR-04</w:t>
            </w:r>
          </w:p>
        </w:tc>
        <w:tc>
          <w:tcPr>
            <w:tcW w:type="pct" w:w="3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حقل اختياري categoryLabel في سياق مصروف التشغيل بحد 80 حرفًا مهذبًا مجمدًا على الحدث</w:t>
            </w:r>
          </w:p>
        </w:tc>
        <w:tc>
          <w:tcPr>
            <w:tcW w:type="pct" w:w="3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صفر أثر على الدلتات الخمس وحصة المشترك ونتيجة الفترة؛ التعديل بديل موثق فقط؛ مفتاح الحدث نفسه</w:t>
            </w:r>
          </w:p>
        </w:tc>
        <w:tc>
          <w:tcPr>
            <w:tcW w:type="pct" w:w="2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المخطط 31 والتصدير 23، وقيمة null للأقدم بلا تعبئة، مع تحديثات متزامنة للتطبيع والتحقق واختبار السطح</w:t>
            </w:r>
          </w:p>
        </w:tc>
      </w:tr>
      <w:tr>
        <w:trPr>
          <w:cantSplit/>
        </w:trPr>
        <w:tc>
          <w:tcPr>
            <w:tcW w:type="pct" w:w="1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TR-02</w:t>
            </w:r>
          </w:p>
        </w:tc>
        <w:tc>
          <w:tcPr>
            <w:tcW w:type="pct" w:w="3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نتائج فحص {معرف MIC وعنوان عربي وحالة ووصف وهويات وروابط} للقراءة فقط وآخر تشغيل ذاكرة مشتقة</w:t>
            </w:r>
          </w:p>
        </w:tc>
        <w:tc>
          <w:tcPr>
            <w:tcW w:type="pct" w:w="34%"/>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صفر كتابة (ثبات بصمة المخزن شرط قبول)؛ المعالجة روابط إلى محررات التصحيح القائمة ولا إصلاح آليًا أبدًا</w:t>
            </w:r>
          </w:p>
        </w:tc>
        <w:tc>
          <w:tcPr>
            <w:tcW w:type="pct" w:w="24%"/>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لا شيء؛ خارج المخطط والتصدير</w:t>
            </w:r>
          </w:p>
        </w:tc>
      </w:tr>
      <w:tr>
        <w:trPr>
          <w:cantSplit/>
        </w:trPr>
        <w:tc>
          <w:tcPr>
            <w:tcW w:type="pct" w:w="1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TR-03</w:t>
            </w:r>
          </w:p>
        </w:tc>
        <w:tc>
          <w:tcPr>
            <w:tcW w:type="pct" w:w="3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بلا سجل (ملف Blob من قراءة الكشف)</w:t>
            </w:r>
          </w:p>
        </w:tc>
        <w:tc>
          <w:tcPr>
            <w:tcW w:type="pct" w:w="3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قراءة خالصة إلى ملف محلي لا يعاد استيراده بياناتٍ</w:t>
            </w:r>
          </w:p>
        </w:tc>
        <w:tc>
          <w:tcPr>
            <w:tcW w:type="pct" w:w="2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لا شيء؛ قواعد الصياغة ملزمة</w:t>
            </w:r>
          </w:p>
        </w:tc>
      </w:tr>
      <w:tr>
        <w:trPr>
          <w:cantSplit/>
        </w:trPr>
        <w:tc>
          <w:tcPr>
            <w:tcW w:type="pct" w:w="1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TR-05</w:t>
            </w:r>
          </w:p>
        </w:tc>
        <w:tc>
          <w:tcPr>
            <w:tcW w:type="pct" w:w="3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نموذج صفوف مشتق فوق المخازن القائمة</w:t>
            </w:r>
          </w:p>
        </w:tc>
        <w:tc>
          <w:tcPr>
            <w:tcW w:type="pct" w:w="34%"/>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بلا كتابة؛ صفوف التصحيحات بوسم وصافي أثر وشرطة لغير النقدي</w:t>
            </w:r>
          </w:p>
        </w:tc>
        <w:tc>
          <w:tcPr>
            <w:tcW w:type="pct" w:w="24%"/>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لا شيء؛ صف تراجع للمسار</w:t>
            </w:r>
          </w:p>
        </w:tc>
      </w:tr>
      <w:tr>
        <w:trPr>
          <w:cantSplit/>
        </w:trPr>
        <w:tc>
          <w:tcPr>
            <w:tcW w:type="pct" w:w="1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TR-07</w:t>
            </w:r>
          </w:p>
        </w:tc>
        <w:tc>
          <w:tcPr>
            <w:tcW w:type="pct" w:w="3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معلمة تعبئة مسبقة فقط purchase</w:t>
            </w:r>
          </w:p>
        </w:tc>
        <w:tc>
          <w:tcPr>
            <w:tcW w:type="pct" w:w="3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لا كتابة آلية؛ أثر المخزون يبقى بحركة صريحة من المالك</w:t>
            </w:r>
          </w:p>
        </w:tc>
        <w:tc>
          <w:tcPr>
            <w:tcW w:type="pct" w:w="2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مفردات العقد 26 فقط</w:t>
            </w:r>
          </w:p>
        </w:tc>
      </w:tr>
      <w:tr>
        <w:trPr>
          <w:cantSplit/>
        </w:trPr>
        <w:tc>
          <w:tcPr>
            <w:tcW w:type="pct" w:w="1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TR-10</w:t>
            </w:r>
          </w:p>
        </w:tc>
        <w:tc>
          <w:tcPr>
            <w:tcW w:type="pct" w:w="3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مخزن محلي غير مالي (عنوان ومتن وفئة) مع نسخ</w:t>
            </w:r>
          </w:p>
        </w:tc>
        <w:tc>
          <w:tcPr>
            <w:tcW w:type="pct" w:w="34%"/>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بلا أثر مالي أو مخزوني؛ حذف بتراجع خمس ثوان؛ فهارس فريدة ومفاتيح عملية</w:t>
            </w:r>
          </w:p>
        </w:tc>
        <w:tc>
          <w:tcPr>
            <w:tcW w:type="pct" w:w="24%"/>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يضم مع رفعة المخطط 31</w:t>
            </w:r>
          </w:p>
        </w:tc>
      </w:tr>
      <w:tr>
        <w:trPr>
          <w:cantSplit/>
        </w:trPr>
        <w:tc>
          <w:tcPr>
            <w:tcW w:type="pct" w:w="1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TR-11</w:t>
            </w:r>
          </w:p>
        </w:tc>
        <w:tc>
          <w:tcPr>
            <w:tcW w:type="pct" w:w="3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مفاتيح مسودة لكل محرر في التخزين المحلي</w:t>
            </w:r>
          </w:p>
        </w:tc>
        <w:tc>
          <w:tcPr>
            <w:tcW w:type="pct" w:w="3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لا شيء حتى حفظ صريح؛ المسودة إدخال لا سجل</w:t>
            </w:r>
          </w:p>
        </w:tc>
        <w:tc>
          <w:tcPr>
            <w:tcW w:type="pct" w:w="2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خارج المخطط والتصدير</w:t>
            </w:r>
          </w:p>
        </w:tc>
      </w:tr>
    </w:tbl>
    <w:p>
      <w:pPr>
        <w:spacing w:after="120"/>
      </w:pPr>
    </w:p>
    <w:p>
      <w:pPr>
        <w:pStyle w:val="Heading2"/>
        <w:bidi/>
        <w:spacing w:after="120" w:before="240" w:line="345" w:lineRule="atLeast"/>
        <w:jc w:val="start"/>
      </w:pPr>
      <w:bookmarkStart w:id="100031" w:name="_Toc100031"/>
      <w:r>
        <w:rPr>
          <w:rFonts w:ascii="Arial" w:cs="Arial" w:hAnsi="Arial"/>
          <w:b/>
          <w:bCs/>
          <w:i w:val="false"/>
          <w:iCs w:val="false"/>
          <w:color w:val="1A1A1A"/>
          <w:sz w:val="30"/>
          <w:szCs w:val="30"/>
          <w:rtl/>
        </w:rPr>
        <w:t xml:space="preserve">قرار العربون المحتجز: سؤال مطروح لا حل مفبرك</w:t>
      </w:r>
      <w:bookmarkEnd w:id="100031"/>
    </w:p>
    <w:p>
      <w:pPr>
        <w:bidi/>
        <w:spacing w:after="120" w:line="312"/>
        <w:ind w:firstLine="480"/>
        <w:jc w:val="both"/>
      </w:pPr>
      <w:r>
        <w:rPr>
          <w:rFonts w:ascii="Arial" w:cs="Arial" w:hAnsi="Arial"/>
          <w:b w:val="false"/>
          <w:bCs w:val="false"/>
          <w:i w:val="false"/>
          <w:iCs w:val="false"/>
          <w:color w:val="262626"/>
          <w:sz w:val="24"/>
          <w:szCs w:val="24"/>
          <w:rtl/>
        </w:rPr>
        <w:t xml:space="preserve">العربون المحتجز في Micro (حالة cancelled_retained) نقد لا هو إيراد ولا التزام ولا أمانة اليوم؛ قرار موثق بلا بيت محاسبي. لا يخترع هذا التحليل نوع حدث جديدًا ولا يصلح شيئًا، بل يصوغ سؤال المالك: عند إلغاء طلب والاحتفاظ بعربونه، ماذا يعني لك هذا المبلغ؟ أيعود إليك شخصيًا، أم إيراد مشروع عن فترة الإلغاء، أم حالة معلنة معلقة تظل ظاهرة حتى قرار لاحق؟ حتى الجواب تبقى القواعد المرحلية ملزمة: صياغة عربون محتفظ به قرار موثق ليس إيرادًا بعد في الكشف وطبقة الودائع، وفحص MIC-10 يظهره معلومة. أي تغيير يستلزم عقدًا متخصصًا (نوع حدث أو بعد دلتا جديد) بقرار مستقل من المالك، لا نقلًا من Zman.</w:t>
      </w:r>
    </w:p>
    <w:p>
      <w:pPr>
        <w:pStyle w:val="Heading2"/>
        <w:bidi/>
        <w:spacing w:after="120" w:before="240" w:line="345" w:lineRule="atLeast"/>
        <w:jc w:val="start"/>
      </w:pPr>
      <w:bookmarkStart w:id="100032" w:name="_Toc100032"/>
      <w:r>
        <w:rPr>
          <w:rFonts w:ascii="Arial" w:cs="Arial" w:hAnsi="Arial"/>
          <w:b/>
          <w:bCs/>
          <w:i w:val="false"/>
          <w:iCs w:val="false"/>
          <w:color w:val="1A1A1A"/>
          <w:sz w:val="30"/>
          <w:szCs w:val="30"/>
          <w:rtl/>
        </w:rPr>
        <w:t xml:space="preserve">الرفوض الصلبة التي تحفظ صدق Micro المالي</w:t>
      </w:r>
      <w:bookmarkEnd w:id="100032"/>
    </w:p>
    <w:p>
      <w:pPr>
        <w:bidi/>
        <w:spacing w:after="120" w:line="312"/>
        <w:ind w:firstLine="480"/>
        <w:jc w:val="both"/>
      </w:pPr>
      <w:r>
        <w:rPr>
          <w:rFonts w:ascii="Arial" w:cs="Arial" w:hAnsi="Arial"/>
          <w:b w:val="false"/>
          <w:bCs w:val="false"/>
          <w:i w:val="false"/>
          <w:iCs w:val="false"/>
          <w:color w:val="262626"/>
          <w:sz w:val="24"/>
          <w:szCs w:val="24"/>
          <w:rtl/>
        </w:rPr>
        <w:t xml:space="preserve">أولًا: رفض جوهر أتمتة المخزون (الخصم الآلي عند التسليم والرسملة الآلية والرصيد السالب والرصيد الافتتاحي بصفر ومسح سجل الحركات عند إلغاء التتبع) لأنه ينشئ آثار مخزون من التقديرات ويتجاوز حد الدليل ويكسر عدم السالب ويحول المجهول إلى صفر، بينما تنفيذ Micro للاختيارية والتكلفة المخزنة أصرم أصلًا. ثانيًا: رفض تحويل الطلب إلى مبيعة وإعادة تصنيف حركة نقد ماضية والاحتجاز إيرادًا آليًا، لأنه يفتح مسار إيراد ثانيًا ضد قاعدة الإيراد مرة واحدة، ويعدل أحداثًا ماضية ضد السجل الإضافي فقط، ويخالف التحصيل لا يساوي ربحًا وقاعدة عدم التخمين في العربون المحتجز؛ تسوية Micro الثلاثية بمعاينة ما قبل وبعد أقوى. ثالثًا: رفض نوع حدث القرض الشخصي الآن لأنه يحتاج بعد دلتا سادسًا وعقده المستقل، والخطر الحالي (تسجيله سحبًا أو مصروفًا يفسد رأس المال أو الربح) يعالج بتلميح صياغة فقط ضمن TR-08. رابعًا: رفض منع العكس في الشطب لأن السجلات غير القابلة للتصحيح تنتهك التتبع؛ يبقى هدر Micro العكسي. خامسًا: لا شيء في العقود المقبولة يسمح بظهور الأمانة ربحًا أو تحويل المجهول صفرًا أو تكرار الأحداث أو فرض المخزون أو تجاوز التصحيحات، وقد تحقق ذلك بندًا بندًا على الدلتات.</w:t>
      </w:r>
    </w:p>
    <w:p>
      <w:pPr>
        <w:pStyle w:val="Heading1"/>
        <w:bidi/>
        <w:spacing w:after="160" w:before="360" w:line="368" w:lineRule="atLeast"/>
        <w:jc w:val="start"/>
      </w:pPr>
      <w:bookmarkStart w:id="100033" w:name="_Toc100033"/>
      <w:r>
        <w:rPr>
          <w:rFonts w:ascii="Arial" w:cs="Arial" w:hAnsi="Arial"/>
          <w:b/>
          <w:bCs/>
          <w:i w:val="false"/>
          <w:iCs w:val="false"/>
          <w:color w:val="1A1A1A"/>
          <w:sz w:val="32"/>
          <w:szCs w:val="32"/>
          <w:rtl/>
        </w:rPr>
        <w:t xml:space="preserve">المخرج و — الترتيب النهائي لتوصيات النقل</w:t>
      </w:r>
      <w:bookmarkEnd w:id="100033"/>
    </w:p>
    <w:p>
      <w:pPr>
        <w:bidi/>
        <w:spacing w:after="120" w:line="312"/>
        <w:ind w:firstLine="480"/>
        <w:jc w:val="both"/>
      </w:pPr>
      <w:r>
        <w:rPr>
          <w:rFonts w:ascii="Arial" w:cs="Arial" w:hAnsi="Arial"/>
          <w:b w:val="false"/>
          <w:bCs w:val="false"/>
          <w:i w:val="false"/>
          <w:iCs w:val="false"/>
          <w:color w:val="262626"/>
          <w:sz w:val="24"/>
          <w:szCs w:val="24"/>
          <w:rtl/>
        </w:rPr>
        <w:t xml:space="preserve">يعرض هذا المخرج القائمة المرتبة الواحدة للنقل بطبقاتها الأربع مع التبرير المكثف لكل قرار كبير: مشكلة المستخدم، والدليل، والقرار، وسبب الطريقة، والمقايضة، والأولوية. حل الوكيل الخامس التناقضات الأربعة الكبرى بشكل ملزم قبل الترتيب: جوهر المخزون الآلي لا ينقل شيئًا وتنتقل حوافه فقط، وفجوة نتيجة الفترة هي وثيقة التصدير مع انضباط القراءة الواحدة وحدا الربح المحدود وغياب الميزانية حدان تصميميان لا يصلحان، وتحويل الطلب مرفوض بتأكيد حاسم، والأصول والإهلاك خارج المجموعة حتى عقد Micro الخاص، وفحص السلامة أولوية صفر لأن الاستيراد مرسل فعلًا والعمل محلي أولًا.</w:t>
      </w:r>
    </w:p>
    <w:p>
      <w:pPr>
        <w:keepNext/>
        <w:bidi/>
        <w:spacing w:after="100" w:before="200" w:line="312"/>
        <w:jc w:val="start"/>
      </w:pPr>
      <w:r>
        <w:rPr>
          <w:rFonts w:ascii="Arial" w:cs="Arial" w:hAnsi="Arial"/>
          <w:b/>
          <w:bCs/>
          <w:i w:val="false"/>
          <w:iCs w:val="false"/>
          <w:color w:val="1A1A1A"/>
          <w:sz w:val="21"/>
          <w:szCs w:val="21"/>
          <w:rtl/>
        </w:rPr>
        <w:t xml:space="preserve">جدول 5: طبقة الأولوية صفر P0 — العمود الفقري للسلامة المالية</w:t>
      </w:r>
    </w:p>
    <w:tbl>
      <w:tblPr>
        <w:bidiVisual/>
        <w:tblW w:type="pct" w:w="100%"/>
        <w:tblBorders>
          <w:top w:val="single" w:color="C9A84C" w:sz="4"/>
          <w:left w:val="none" w:color="FFFFFF" w:sz="0"/>
          <w:bottom w:val="single" w:color="C9A84C" w:sz="4"/>
          <w:right w:val="none" w:color="FFFFFF" w:sz="0"/>
          <w:insideH w:val="single" w:color="DDD5C0" w:sz="1"/>
          <w:insideV w:val="single" w:color="DDD5C0" w:sz="1"/>
        </w:tblBorders>
        <w:tblLayout w:type="fixed"/>
      </w:tblPr>
      <w:tblGrid>
        <w:gridCol w:w="100"/>
        <w:gridCol w:w="100"/>
        <w:gridCol w:w="100"/>
        <w:gridCol w:w="100"/>
      </w:tblGrid>
      <w:tr>
        <w:trPr>
          <w:cantSplit/>
          <w:tblHeader/>
        </w:trPr>
        <w:tc>
          <w:tcPr>
            <w:tcW w:type="pct" w:w="10%"/>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البند</w:t>
            </w:r>
          </w:p>
        </w:tc>
        <w:tc>
          <w:tcPr>
            <w:tcW w:type="pct" w:w="26%"/>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القرار</w:t>
            </w:r>
          </w:p>
        </w:tc>
        <w:tc>
          <w:tcPr>
            <w:tcW w:type="pct" w:w="34%"/>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المشكلة والدليل</w:t>
            </w:r>
          </w:p>
        </w:tc>
        <w:tc>
          <w:tcPr>
            <w:tcW w:type="pct" w:w="30%"/>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المقايضة والسبب</w:t>
            </w:r>
          </w:p>
        </w:tc>
      </w:tr>
      <w:tr>
        <w:trPr>
          <w:cantSplit/>
        </w:trPr>
        <w:tc>
          <w:tcPr>
            <w:tcW w:type="pct" w:w="1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TR-01</w:t>
            </w:r>
          </w:p>
        </w:tc>
        <w:tc>
          <w:tcPr>
            <w:tcW w:type="pct" w:w="26%"/>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قراءة الفترة الواحدة: تعيين الدالة القانونية وفحص التطابق واختبار سطح عام</w:t>
            </w:r>
          </w:p>
        </w:tc>
        <w:tc>
          <w:tcPr>
            <w:tcW w:type="pct" w:w="3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مساران مستقلان للحساب قد يتباعدان (خدمة المالية المشاريعية مقابل خدمة الكشف) بلا حارس وقتي؛ وعد المنتج قراءة صادقة واحدة</w:t>
            </w:r>
          </w:p>
        </w:tc>
        <w:tc>
          <w:tcPr>
            <w:tcW w:type="pct" w:w="3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النمط المعماري وحده ينقل لأن صيغة Zman غير قابلة للنسخ؛ يجب حصر المقارنة بالحقول المشتركة وإلا صاح الواطئ</w:t>
            </w:r>
          </w:p>
        </w:tc>
      </w:tr>
      <w:tr>
        <w:trPr>
          <w:cantSplit/>
        </w:trPr>
        <w:tc>
          <w:tcPr>
            <w:tcW w:type="pct" w:w="1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TR-02</w:t>
            </w:r>
          </w:p>
        </w:tc>
        <w:tc>
          <w:tcPr>
            <w:tcW w:type="pct" w:w="26%"/>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فحص سلامة مالي: سطح قراءة بفحوص MIC من واحد إلى عشرة وروابط سجلات ومعالجات نصية</w:t>
            </w:r>
          </w:p>
        </w:tc>
        <w:tc>
          <w:tcPr>
            <w:tcW w:type="pct" w:w="34%"/>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لا لمسة واحدة تثبت سلامة الأرقام؛ الاستيراد والاستعادة مرسلان ومتاحان للمستخدم؛ محليًا لا يمسك الفساد غير التطبيق</w:t>
            </w:r>
          </w:p>
        </w:tc>
        <w:tc>
          <w:tcPr>
            <w:tcW w:type="pct" w:w="3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الإيجابيات الكاذبة تأكل الثقة فتشتق الفحوص من قواعد مجال مختبَرة والحالات المقصودة تحذير ومعلومة لا خطأ</w:t>
            </w:r>
          </w:p>
        </w:tc>
      </w:tr>
    </w:tbl>
    <w:p>
      <w:pPr>
        <w:spacing w:after="120"/>
      </w:pPr>
    </w:p>
    <w:p>
      <w:pPr>
        <w:keepNext/>
        <w:bidi/>
        <w:spacing w:after="100" w:before="200" w:line="312"/>
        <w:jc w:val="start"/>
      </w:pPr>
      <w:r>
        <w:rPr>
          <w:rFonts w:ascii="Arial" w:cs="Arial" w:hAnsi="Arial"/>
          <w:b/>
          <w:bCs/>
          <w:i w:val="false"/>
          <w:iCs w:val="false"/>
          <w:color w:val="1A1A1A"/>
          <w:sz w:val="21"/>
          <w:szCs w:val="21"/>
          <w:rtl/>
        </w:rPr>
        <w:t xml:space="preserve">جدول 6: طبقة الأولوية الأولى P1 — تحسينات القيمة العالية</w:t>
      </w:r>
    </w:p>
    <w:tbl>
      <w:tblPr>
        <w:bidiVisual/>
        <w:tblW w:type="pct" w:w="100%"/>
        <w:tblBorders>
          <w:top w:val="single" w:color="C9A84C" w:sz="4"/>
          <w:left w:val="none" w:color="FFFFFF" w:sz="0"/>
          <w:bottom w:val="single" w:color="C9A84C" w:sz="4"/>
          <w:right w:val="none" w:color="FFFFFF" w:sz="0"/>
          <w:insideH w:val="single" w:color="DDD5C0" w:sz="1"/>
          <w:insideV w:val="single" w:color="DDD5C0" w:sz="1"/>
        </w:tblBorders>
        <w:tblLayout w:type="fixed"/>
      </w:tblPr>
      <w:tblGrid>
        <w:gridCol w:w="100"/>
        <w:gridCol w:w="100"/>
        <w:gridCol w:w="100"/>
        <w:gridCol w:w="100"/>
      </w:tblGrid>
      <w:tr>
        <w:trPr>
          <w:cantSplit/>
          <w:tblHeader/>
        </w:trPr>
        <w:tc>
          <w:tcPr>
            <w:tcW w:type="pct" w:w="10%"/>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البند</w:t>
            </w:r>
          </w:p>
        </w:tc>
        <w:tc>
          <w:tcPr>
            <w:tcW w:type="pct" w:w="26%"/>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القرار</w:t>
            </w:r>
          </w:p>
        </w:tc>
        <w:tc>
          <w:tcPr>
            <w:tcW w:type="pct" w:w="34%"/>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المشكلة والدليل</w:t>
            </w:r>
          </w:p>
        </w:tc>
        <w:tc>
          <w:tcPr>
            <w:tcW w:type="pct" w:w="30%"/>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المقايضة والسبب</w:t>
            </w:r>
          </w:p>
        </w:tc>
      </w:tr>
      <w:tr>
        <w:trPr>
          <w:cantSplit/>
        </w:trPr>
        <w:tc>
          <w:tcPr>
            <w:tcW w:type="pct" w:w="1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TR-03</w:t>
            </w:r>
          </w:p>
        </w:tc>
        <w:tc>
          <w:tcPr>
            <w:tcW w:type="pct" w:w="26%"/>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شارك الكشف: تصدير Markdown مع BOM من القراءة القائمة وأسطر الحقيقة حرفيًا</w:t>
            </w:r>
          </w:p>
        </w:tc>
        <w:tc>
          <w:tcPr>
            <w:tcW w:type="pct" w:w="3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الكشف بلا منطق تنزيل (تحقق مباشر)؛ لا وثيقة تسلم لمحاسب أو جهة تمويل</w:t>
            </w:r>
          </w:p>
        </w:tc>
        <w:tc>
          <w:tcPr>
            <w:tcW w:type="pct" w:w="3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بلا كتابة وبلا مخطط ويعمل دون اتصال؛ مقايضة مقروئية Markdown إن رفضها المستلمون فيتبعها مسار PDF لاحقًا</w:t>
            </w:r>
          </w:p>
        </w:tc>
      </w:tr>
      <w:tr>
        <w:trPr>
          <w:cantSplit/>
        </w:trPr>
        <w:tc>
          <w:tcPr>
            <w:tcW w:type="pct" w:w="1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TR-04</w:t>
            </w:r>
          </w:p>
        </w:tc>
        <w:tc>
          <w:tcPr>
            <w:tcW w:type="pct" w:w="26%"/>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تصنيفي للمصاريف: وسم حر مشتق وكتلة تجميع في الكشف</w:t>
            </w:r>
          </w:p>
        </w:tc>
        <w:tc>
          <w:tcPr>
            <w:tcW w:type="pct" w:w="34%"/>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سؤال البنزين بلا جواب؛ بلا مفردات مسماة في سياق المصروف</w:t>
            </w:r>
          </w:p>
        </w:tc>
        <w:tc>
          <w:tcPr>
            <w:tcW w:type="pct" w:w="3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التعديل الوحيد المقبول على المخزن (31/23)؛ انفصام الوسوم بمرور الزمن مقبول وموثق مع أثر Zman نفسه</w:t>
            </w:r>
          </w:p>
        </w:tc>
      </w:tr>
      <w:tr>
        <w:trPr>
          <w:cantSplit/>
        </w:trPr>
        <w:tc>
          <w:tcPr>
            <w:tcW w:type="pct" w:w="1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TR-08</w:t>
            </w:r>
          </w:p>
        </w:tc>
        <w:tc>
          <w:tcPr>
            <w:tcW w:type="pct" w:w="26%"/>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قوانين الأثر والثبات: توثيق ملزم ببوابات مراجعة</w:t>
            </w:r>
          </w:p>
        </w:tc>
        <w:tc>
          <w:tcPr>
            <w:tcW w:type="pct" w:w="34%"/>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الخطر ارتدادي لا حالي: مجموعات قادمة تعيد أخطاء ما قبل العقود</w:t>
            </w:r>
          </w:p>
        </w:tc>
        <w:tc>
          <w:tcPr>
            <w:tcW w:type="pct" w:w="3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شبه مجاني؛ يمنع إعادة استيراد أخطاء Zman السابقة للعقود؛ الانزياح إن لم تفرض البوابات</w:t>
            </w:r>
          </w:p>
        </w:tc>
      </w:tr>
    </w:tbl>
    <w:p>
      <w:pPr>
        <w:spacing w:after="120"/>
      </w:pPr>
    </w:p>
    <w:p>
      <w:pPr>
        <w:keepNext/>
        <w:bidi/>
        <w:spacing w:after="100" w:before="200" w:line="312"/>
        <w:jc w:val="start"/>
      </w:pPr>
      <w:r>
        <w:rPr>
          <w:rFonts w:ascii="Arial" w:cs="Arial" w:hAnsi="Arial"/>
          <w:b/>
          <w:bCs/>
          <w:i w:val="false"/>
          <w:iCs w:val="false"/>
          <w:color w:val="1A1A1A"/>
          <w:sz w:val="21"/>
          <w:szCs w:val="21"/>
          <w:rtl/>
        </w:rPr>
        <w:t xml:space="preserve">جدول 7: طبقة الأولوية الثانية P2 — قيمة دون اشتراط للتنفيذ الأول</w:t>
      </w:r>
    </w:p>
    <w:tbl>
      <w:tblPr>
        <w:bidiVisual/>
        <w:tblW w:type="pct" w:w="100%"/>
        <w:tblBorders>
          <w:top w:val="single" w:color="C9A84C" w:sz="4"/>
          <w:left w:val="none" w:color="FFFFFF" w:sz="0"/>
          <w:bottom w:val="single" w:color="C9A84C" w:sz="4"/>
          <w:right w:val="none" w:color="FFFFFF" w:sz="0"/>
          <w:insideH w:val="single" w:color="DDD5C0" w:sz="1"/>
          <w:insideV w:val="single" w:color="DDD5C0" w:sz="1"/>
        </w:tblBorders>
        <w:tblLayout w:type="fixed"/>
      </w:tblPr>
      <w:tblGrid>
        <w:gridCol w:w="100"/>
        <w:gridCol w:w="100"/>
        <w:gridCol w:w="100"/>
      </w:tblGrid>
      <w:tr>
        <w:trPr>
          <w:cantSplit/>
          <w:tblHeader/>
        </w:trPr>
        <w:tc>
          <w:tcPr>
            <w:tcW w:type="pct" w:w="10%"/>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البند</w:t>
            </w:r>
          </w:p>
        </w:tc>
        <w:tc>
          <w:tcPr>
            <w:tcW w:type="pct" w:w="62%"/>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القرار في سطر</w:t>
            </w:r>
          </w:p>
        </w:tc>
        <w:tc>
          <w:tcPr>
            <w:tcW w:type="pct" w:w="28%"/>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يعتمد على</w:t>
            </w:r>
          </w:p>
        </w:tc>
      </w:tr>
      <w:tr>
        <w:trPr>
          <w:cantSplit/>
        </w:trPr>
        <w:tc>
          <w:tcPr>
            <w:tcW w:type="pct" w:w="1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TR-05</w:t>
            </w:r>
          </w:p>
        </w:tc>
        <w:tc>
          <w:tcPr>
            <w:tcW w:type="pct" w:w="6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إثراء كتلة ما تغير مؤخرًا بالمبيعات والتصحيحات وقيود المحافظ مع ربط التركيز، وقارئ سجل كل ما صار بموافقة المالك</w:t>
            </w:r>
          </w:p>
        </w:tc>
        <w:tc>
          <w:tcPr>
            <w:tcW w:type="pct" w:w="28%"/>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الموافقة على ازدحام الرئيسية وصف التراجع للمسار</w:t>
            </w:r>
          </w:p>
        </w:tc>
      </w:tr>
      <w:tr>
        <w:trPr>
          <w:cantSplit/>
        </w:trPr>
        <w:tc>
          <w:tcPr>
            <w:tcW w:type="pct" w:w="1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TR-06</w:t>
            </w:r>
          </w:p>
        </w:tc>
        <w:tc>
          <w:tcPr>
            <w:tcW w:type="pct" w:w="6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صفوف قراءة للهدر في طبقة أحداث المالية بعنوان هدر مخزون بلا خروج نقد</w:t>
            </w:r>
          </w:p>
        </w:tc>
        <w:tc>
          <w:tcPr>
            <w:tcW w:type="pct" w:w="28%"/>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يركب نموذج قراءة TR-05 نفسه</w:t>
            </w:r>
          </w:p>
        </w:tc>
      </w:tr>
      <w:tr>
        <w:trPr>
          <w:cantSplit/>
        </w:trPr>
        <w:tc>
          <w:tcPr>
            <w:tcW w:type="pct" w:w="1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TR-07</w:t>
            </w:r>
          </w:p>
        </w:tc>
        <w:tc>
          <w:tcPr>
            <w:tcW w:type="pct" w:w="6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جسر استلام من سجل الشراء بمعلمة تعبئة مسبقة وشريط نفاد هادئ وقانون حوار محفوظ</w:t>
            </w:r>
          </w:p>
        </w:tc>
        <w:tc>
          <w:tcPr>
            <w:tcW w:type="pct" w:w="28%"/>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إضافة مفردة العقد 26</w:t>
            </w:r>
          </w:p>
        </w:tc>
      </w:tr>
      <w:tr>
        <w:trPr>
          <w:cantSplit/>
        </w:trPr>
        <w:tc>
          <w:tcPr>
            <w:tcW w:type="pct" w:w="1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TR-09</w:t>
            </w:r>
          </w:p>
        </w:tc>
        <w:tc>
          <w:tcPr>
            <w:tcW w:type="pct" w:w="6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تراجع خمس ثوان للسجلات غير المالية ونزع رموز العملة عند اللصق</w:t>
            </w:r>
          </w:p>
        </w:tc>
        <w:tc>
          <w:tcPr>
            <w:tcW w:type="pct" w:w="28%"/>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قوانين TR-08 أولًا</w:t>
            </w:r>
          </w:p>
        </w:tc>
      </w:tr>
      <w:tr>
        <w:trPr>
          <w:cantSplit/>
        </w:trPr>
        <w:tc>
          <w:tcPr>
            <w:tcW w:type="pct" w:w="1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TR-10</w:t>
            </w:r>
          </w:p>
        </w:tc>
        <w:tc>
          <w:tcPr>
            <w:tcW w:type="pct" w:w="6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ملاحظاتي المتكررة مخزنًا غير مالي مشروطًا بموافقة المالك وبلا أسعار أبدًا</w:t>
            </w:r>
          </w:p>
        </w:tc>
        <w:tc>
          <w:tcPr>
            <w:tcW w:type="pct" w:w="28%"/>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موافقة المالك وتجميع الرفعة مع TR-04</w:t>
            </w:r>
          </w:p>
        </w:tc>
      </w:tr>
      <w:tr>
        <w:trPr>
          <w:cantSplit/>
        </w:trPr>
        <w:tc>
          <w:tcPr>
            <w:tcW w:type="pct" w:w="1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TR-11</w:t>
            </w:r>
          </w:p>
        </w:tc>
        <w:tc>
          <w:tcPr>
            <w:tcW w:type="pct" w:w="6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مسودة محفوظة لكل محرر بشريط استعادة في وضع الإنشاء فقط</w:t>
            </w:r>
          </w:p>
        </w:tc>
        <w:tc>
          <w:tcPr>
            <w:tcW w:type="pct" w:w="28%"/>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بلا اعتماد؛ يبدأ بمحرر الحدث المالي</w:t>
            </w:r>
          </w:p>
        </w:tc>
      </w:tr>
    </w:tbl>
    <w:p>
      <w:pPr>
        <w:spacing w:after="120"/>
      </w:pPr>
    </w:p>
    <w:p>
      <w:pPr>
        <w:keepNext/>
        <w:bidi/>
        <w:spacing w:after="100" w:before="200" w:line="312"/>
        <w:jc w:val="start"/>
      </w:pPr>
      <w:r>
        <w:rPr>
          <w:rFonts w:ascii="Arial" w:cs="Arial" w:hAnsi="Arial"/>
          <w:b/>
          <w:bCs/>
          <w:i w:val="false"/>
          <w:iCs w:val="false"/>
          <w:color w:val="1A1A1A"/>
          <w:sz w:val="21"/>
          <w:szCs w:val="21"/>
          <w:rtl/>
        </w:rPr>
        <w:t xml:space="preserve">جدول 8: طبقة الرفض — لا ينقل بأسباب ملزمة</w:t>
      </w:r>
    </w:p>
    <w:tbl>
      <w:tblPr>
        <w:bidiVisual/>
        <w:tblW w:type="pct" w:w="100%"/>
        <w:tblBorders>
          <w:top w:val="single" w:color="C9A84C" w:sz="4"/>
          <w:left w:val="none" w:color="FFFFFF" w:sz="0"/>
          <w:bottom w:val="single" w:color="C9A84C" w:sz="4"/>
          <w:right w:val="none" w:color="FFFFFF" w:sz="0"/>
          <w:insideH w:val="single" w:color="DDD5C0" w:sz="1"/>
          <w:insideV w:val="single" w:color="DDD5C0" w:sz="1"/>
        </w:tblBorders>
        <w:tblLayout w:type="fixed"/>
      </w:tblPr>
      <w:tblGrid>
        <w:gridCol w:w="100"/>
        <w:gridCol w:w="100"/>
        <w:gridCol w:w="100"/>
      </w:tblGrid>
      <w:tr>
        <w:trPr>
          <w:cantSplit/>
          <w:tblHeader/>
        </w:trPr>
        <w:tc>
          <w:tcPr>
            <w:tcW w:type="pct" w:w="10%"/>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البند</w:t>
            </w:r>
          </w:p>
        </w:tc>
        <w:tc>
          <w:tcPr>
            <w:tcW w:type="pct" w:w="30%"/>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المرفوض</w:t>
            </w:r>
          </w:p>
        </w:tc>
        <w:tc>
          <w:tcPr>
            <w:tcW w:type="pct" w:w="60%"/>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السبب الملزم</w:t>
            </w:r>
          </w:p>
        </w:tc>
      </w:tr>
      <w:tr>
        <w:trPr>
          <w:cantSplit/>
        </w:trPr>
        <w:tc>
          <w:tcPr>
            <w:tcW w:type="pct" w:w="1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TR-12</w:t>
            </w:r>
          </w:p>
        </w:tc>
        <w:tc>
          <w:tcPr>
            <w:tcW w:type="pct" w:w="3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جوهر أتمتة المخزون الانتقائي</w:t>
            </w:r>
          </w:p>
        </w:tc>
        <w:tc>
          <w:tcPr>
            <w:tcW w:type="pct" w:w="6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أربعة انتهاكات صلبة: آثار مخزون من التقديرات، وتجاوز الدليل الصريح (عقدا 11 و13)، وكسر عدم السالب، والمجهول يصبح صفرًا؛ Micro ينفذ الاختيارية والتكلفة المخزنة أصرم أصلًا، والحواف في TR-07</w:t>
            </w:r>
          </w:p>
        </w:tc>
      </w:tr>
      <w:tr>
        <w:trPr>
          <w:cantSplit/>
        </w:trPr>
        <w:tc>
          <w:tcPr>
            <w:tcW w:type="pct" w:w="1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TR-13</w:t>
            </w:r>
          </w:p>
        </w:tc>
        <w:tc>
          <w:tcPr>
            <w:tcW w:type="pct" w:w="3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تحويل الطلب لمبيعة وإعادة تصنيف العربون والاحتجاز إيرادًا</w:t>
            </w:r>
          </w:p>
        </w:tc>
        <w:tc>
          <w:tcPr>
            <w:tcW w:type="pct" w:w="6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مسار إيراد ثان ضد الإيراد مرة واحدة، وتعديل نقد ماض ضد السجل الإضافي، وإيراد من محتجز ضد التحصيل لا يساوي ربحًا؛ التسوية الثلاثية ومعاينة Micro أقوى، والقوانين محفوظة في TR-08</w:t>
            </w:r>
          </w:p>
        </w:tc>
      </w:tr>
      <w:tr>
        <w:trPr>
          <w:cantSplit/>
        </w:trPr>
        <w:tc>
          <w:tcPr>
            <w:tcW w:type="pct" w:w="1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TR-14</w:t>
            </w:r>
          </w:p>
        </w:tc>
        <w:tc>
          <w:tcPr>
            <w:tcW w:type="pct" w:w="3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الأصول والإهلاك الآن</w:t>
            </w:r>
          </w:p>
        </w:tc>
        <w:tc>
          <w:tcPr>
            <w:tcW w:type="pct" w:w="6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مؤجل بعقد متخصص لا نخمن قواعدها بقرار Micro الموثق؛ بنك الأنماط محفوظ والمفتوح الوحيد loss_non_cash، والبناء المبكر هو مخالفة التخمين بعينها</w:t>
            </w:r>
          </w:p>
        </w:tc>
      </w:tr>
      <w:tr>
        <w:trPr>
          <w:cantSplit/>
        </w:trPr>
        <w:tc>
          <w:tcPr>
            <w:tcW w:type="pct" w:w="1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TR-15</w:t>
            </w:r>
          </w:p>
        </w:tc>
        <w:tc>
          <w:tcPr>
            <w:tcW w:type="pct" w:w="3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الذمم القرضية الآن</w:t>
            </w:r>
          </w:p>
        </w:tc>
        <w:tc>
          <w:tcPr>
            <w:tcW w:type="pct" w:w="6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تحتاج بعد دلتا سادسًا ونوع حدث جديدًا أي عقدًا مستقلًا لا نقلًا؛ التلميح الصياغي يكفي اليوم ضمن TR-08</w:t>
            </w:r>
          </w:p>
        </w:tc>
      </w:tr>
      <w:tr>
        <w:trPr>
          <w:cantSplit/>
        </w:trPr>
        <w:tc>
          <w:tcPr>
            <w:tcW w:type="pct" w:w="1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TR-16</w:t>
            </w:r>
          </w:p>
        </w:tc>
        <w:tc>
          <w:tcPr>
            <w:tcW w:type="pct" w:w="3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البحث الشامل والنموذج الذكي كاملًا والخلاصة الموحدة وترقيمها</w:t>
            </w:r>
          </w:p>
        </w:tc>
        <w:tc>
          <w:tcPr>
            <w:tcW w:type="pct" w:w="6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البحث محدود الحجم عند الشخصية وطبقة النشاط تغطي إيجاد الحديث (ملاحظة تجريبية)؛ نمط الأوضاع والتلميح موجود في Micro (ورقة الأفعال الخمسة وبطاقة الأثر) ولا يبقى إلا حفظ المسودة TR-11؛ ترقيم UNION ALL حل خادم بلا قيمة محلية</w:t>
            </w:r>
          </w:p>
        </w:tc>
      </w:tr>
      <w:tr>
        <w:trPr>
          <w:cantSplit/>
        </w:trPr>
        <w:tc>
          <w:tcPr>
            <w:tcW w:type="pct" w:w="1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TR-17</w:t>
            </w:r>
          </w:p>
        </w:tc>
        <w:tc>
          <w:tcPr>
            <w:tcW w:type="pct" w:w="3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اللوحات والمصادقة والقفل وواتساب والنسخ الجزئي وشطب الظل والأرقام الشرقية والمحررات النوافذية</w:t>
            </w:r>
          </w:p>
        </w:tc>
        <w:tc>
          <w:tcPr>
            <w:tcW w:type="pct" w:w="6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تعارض هوية الرئيسية قرار أولًا، ورفوض منصة (لا مصادقة ولا سحابة)، وقائمة عدم البناء، وفجوة عكسية (تصدير Micro كامل متحقق)، وهدر Micro العكسي هو المتوافق، وقواعد الأرقام والمسارات العميقة نظم شاملة</w:t>
            </w:r>
          </w:p>
        </w:tc>
      </w:tr>
    </w:tbl>
    <w:p>
      <w:pPr>
        <w:spacing w:after="120"/>
      </w:pPr>
    </w:p>
    <w:p>
      <w:pPr>
        <w:bidi/>
        <w:spacing w:after="120" w:line="312"/>
        <w:ind w:firstLine="480"/>
        <w:jc w:val="both"/>
      </w:pPr>
      <w:r>
        <w:rPr>
          <w:rFonts w:ascii="Arial" w:cs="Arial" w:hAnsi="Arial"/>
          <w:b w:val="false"/>
          <w:bCs w:val="false"/>
          <w:i w:val="false"/>
          <w:iCs w:val="false"/>
          <w:color w:val="262626"/>
          <w:sz w:val="24"/>
          <w:szCs w:val="24"/>
          <w:rtl/>
        </w:rPr>
        <w:t xml:space="preserve">فحص الاتساق ناجح: لا يعتمد شيء في P0 على بنية غير مقبولة في P2، ولا يعتمد شيء مرفوض عليه بصمت؛ حواف المخزون في TR-07، وقوانين التحويل في TR-08، وظهور الهدر في TR-06، ومسودات النموذج في TR-11، وطموح الخلاصة في TR-05، وقوانين الحرفة في TR-08 و TR-09.</w:t>
      </w:r>
    </w:p>
    <w:p>
      <w:pPr>
        <w:pStyle w:val="Heading1"/>
        <w:bidi/>
        <w:spacing w:after="160" w:before="360" w:line="368" w:lineRule="atLeast"/>
        <w:jc w:val="start"/>
      </w:pPr>
      <w:bookmarkStart w:id="100034" w:name="_Toc100034"/>
      <w:r>
        <w:rPr>
          <w:rFonts w:ascii="Arial" w:cs="Arial" w:hAnsi="Arial"/>
          <w:b/>
          <w:bCs/>
          <w:i w:val="false"/>
          <w:iCs w:val="false"/>
          <w:color w:val="1A1A1A"/>
          <w:sz w:val="32"/>
          <w:szCs w:val="32"/>
          <w:rtl/>
        </w:rPr>
        <w:t xml:space="preserve">المخرج ز — معمارية النقل النهائية</w:t>
      </w:r>
      <w:bookmarkEnd w:id="100034"/>
    </w:p>
    <w:p>
      <w:pPr>
        <w:pStyle w:val="Heading2"/>
        <w:bidi/>
        <w:spacing w:after="120" w:before="240" w:line="345" w:lineRule="atLeast"/>
        <w:jc w:val="start"/>
      </w:pPr>
      <w:bookmarkStart w:id="100035" w:name="_Toc100035"/>
      <w:r>
        <w:rPr>
          <w:rFonts w:ascii="Arial" w:cs="Arial" w:hAnsi="Arial"/>
          <w:b/>
          <w:bCs/>
          <w:i w:val="false"/>
          <w:iCs w:val="false"/>
          <w:color w:val="1A1A1A"/>
          <w:sz w:val="30"/>
          <w:szCs w:val="30"/>
          <w:rtl/>
        </w:rPr>
        <w:t xml:space="preserve">ما يعاد استخدامه من Micro كما هو</w:t>
      </w:r>
      <w:bookmarkEnd w:id="100035"/>
    </w:p>
    <w:p>
      <w:pPr>
        <w:bidi/>
        <w:spacing w:after="120" w:line="312"/>
        <w:ind w:firstLine="480"/>
        <w:jc w:val="both"/>
      </w:pPr>
      <w:r>
        <w:rPr>
          <w:rFonts w:ascii="Arial" w:cs="Arial" w:hAnsi="Arial"/>
          <w:b w:val="false"/>
          <w:bCs w:val="false"/>
          <w:i w:val="false"/>
          <w:iCs w:val="false"/>
          <w:color w:val="262626"/>
          <w:sz w:val="24"/>
          <w:szCs w:val="24"/>
          <w:rtl/>
        </w:rPr>
        <w:t xml:space="preserve">يبقى مسار الكتابة الواحد من الصفحة إلى خدمة التطبيق إلى المجال إلى المخزن المحلي ومعاملاته الذرية دون أي تعديل؛ فكل بند مقبول يقرأ عبره أو يضيف حقل حمولة عبره ولا أحد يفتح مسار كتابة ثانيًا. وتبقى منظومة التصحيحات (السجلات العكسية والاستبدالية والأسباب والمعاينات وتاريخ الأحد عشر نوعًا) مرجع أي تصحيح مستقبلي للوسوم. ويبقى عقد التنقل والعودة الآمن بالمعلمة from حاكمًا لكل سطح جديد مع تسجيل التراجعات القانونية. وتبقى قراءة الكشف مصدر التصدير وامتداد التجميع. وتبقى ورقة الأفعال الخمسة دون مساس (لا وسم في الفعل العابر). ويبقى حد الربح المحدود أقوى بعد النقل: الغياب قيمة تفحص، والأسطر الصادقة تصدر حرفيًا، ولا رقم نهائي أبدًا.</w:t>
      </w:r>
    </w:p>
    <w:p>
      <w:pPr>
        <w:pStyle w:val="Heading2"/>
        <w:bidi/>
        <w:spacing w:after="120" w:before="240" w:line="345" w:lineRule="atLeast"/>
        <w:jc w:val="start"/>
      </w:pPr>
      <w:bookmarkStart w:id="100036" w:name="_Toc100036"/>
      <w:r>
        <w:rPr>
          <w:rFonts w:ascii="Arial" w:cs="Arial" w:hAnsi="Arial"/>
          <w:b/>
          <w:bCs/>
          <w:i w:val="false"/>
          <w:iCs w:val="false"/>
          <w:color w:val="1A1A1A"/>
          <w:sz w:val="30"/>
          <w:szCs w:val="30"/>
          <w:rtl/>
        </w:rPr>
        <w:t xml:space="preserve">رسم الاعتماد وترتيب البناء</w:t>
      </w:r>
      <w:bookmarkEnd w:id="100036"/>
    </w:p>
    <w:p>
      <w:pPr>
        <w:bidi/>
        <w:spacing w:after="120" w:line="312"/>
        <w:ind w:firstLine="480"/>
        <w:jc w:val="both"/>
      </w:pPr>
      <w:r>
        <w:rPr>
          <w:rFonts w:ascii="Arial" w:cs="Arial" w:hAnsi="Arial"/>
          <w:b w:val="false"/>
          <w:bCs w:val="false"/>
          <w:i w:val="false"/>
          <w:iCs w:val="false"/>
          <w:color w:val="262626"/>
          <w:sz w:val="24"/>
          <w:szCs w:val="24"/>
          <w:rtl/>
        </w:rPr>
        <w:t xml:space="preserve">العمود الفقري: الدالة القانونية أولًا (TR-01) لأن فحص التطابق MIC-1 يستهلكها، ثم فحص السلامة (TR-02)، ثم التصدير (TR-03) لأنه يعكس القراءة القانونية ويقفل اصطلاحات الصيغة (BOM وأسطر الحقيقة وحالات المعرفة) التي ستركبها كتلة التجميع. وبالتوازي: الوسوم بمخططها 31 (TR-04) مع قرار تجميع مخزن الملاحظات إن وافق المالك، والقوانين المكتوبة (TR-08) قبل مساعداتها (TR-09)، وطبقة النشاط بطبقتها الأولى حرة ثم الثانية بموافقة، وصفوف الهدر تركب نموذج قراءتها، وحواف المخزون مستقلة بإضافة مفردة واحدة، والمسودات مستقلة. بهذا يبنى كل شيء بلا تعارض وبأقل رفعة مخطط ممكنة: واحدة فقط في المجموعة كلها.</w:t>
      </w:r>
    </w:p>
    <w:p>
      <w:pPr>
        <w:pStyle w:val="Heading2"/>
        <w:bidi/>
        <w:spacing w:after="120" w:before="240" w:line="345" w:lineRule="atLeast"/>
        <w:jc w:val="start"/>
      </w:pPr>
      <w:bookmarkStart w:id="100037" w:name="_Toc100037"/>
      <w:r>
        <w:rPr>
          <w:rFonts w:ascii="Arial" w:cs="Arial" w:hAnsi="Arial"/>
          <w:b/>
          <w:bCs/>
          <w:i w:val="false"/>
          <w:iCs w:val="false"/>
          <w:color w:val="1A1A1A"/>
          <w:sz w:val="30"/>
          <w:szCs w:val="30"/>
          <w:rtl/>
        </w:rPr>
        <w:t xml:space="preserve">بيان الهجرة والتوافق</w:t>
      </w:r>
      <w:bookmarkEnd w:id="100037"/>
    </w:p>
    <w:p>
      <w:pPr>
        <w:bidi/>
        <w:spacing w:after="120" w:line="312"/>
        <w:ind w:firstLine="480"/>
        <w:jc w:val="both"/>
      </w:pPr>
      <w:r>
        <w:rPr>
          <w:rFonts w:ascii="Arial" w:cs="Arial" w:hAnsi="Arial"/>
          <w:b w:val="false"/>
          <w:bCs w:val="false"/>
          <w:i w:val="false"/>
          <w:iCs w:val="false"/>
          <w:color w:val="262626"/>
          <w:sz w:val="24"/>
          <w:szCs w:val="24"/>
          <w:rtl/>
        </w:rPr>
        <w:t xml:space="preserve">يمس المخزن بند واحد فقط: الوسوم بالمخطط من 30 إلى 31 والتصدير من 22 إلى 23 مع هجرة استيراد تضبط القيمة إلى null للملفات الأقدم على سابقة amanahDelta، وبلا تعبئة رجعية (التراث غير مصنف يظهر بأمانة كسطر التراث غير المصنف القائم). وتتزامن التحديثات: تطبيع سياق المصروف وتمديد التحقق واختبار السطح العام واختبارات المحرر والكشف. أما البقية فبلا مخطط: الفحص والتصدير والنشاط والمساعدات والمسودات كلها قراءة أو تخزين محلي للمفاتيح، وتضيف مساران صف تراجع ومعامل واحد مفردات الروابط، وهي تغييرات عقود لا هجرات. والمستقبليان المسوران (الأصول والقرض) كل منهما رفعة كبرى بعقده عند موافقة المالك.</w:t>
      </w:r>
    </w:p>
    <w:p>
      <w:pPr>
        <w:pStyle w:val="Heading2"/>
        <w:bidi/>
        <w:spacing w:after="120" w:before="240" w:line="345" w:lineRule="atLeast"/>
        <w:jc w:val="start"/>
      </w:pPr>
      <w:bookmarkStart w:id="100038" w:name="_Toc100038"/>
      <w:r>
        <w:rPr>
          <w:rFonts w:ascii="Arial" w:cs="Arial" w:hAnsi="Arial"/>
          <w:b/>
          <w:bCs/>
          <w:i w:val="false"/>
          <w:iCs w:val="false"/>
          <w:color w:val="1A1A1A"/>
          <w:sz w:val="30"/>
          <w:szCs w:val="30"/>
          <w:rtl/>
        </w:rPr>
        <w:t xml:space="preserve">كيف تحفظ المعمارية هوية Micro</w:t>
      </w:r>
      <w:bookmarkEnd w:id="100038"/>
    </w:p>
    <w:p>
      <w:pPr>
        <w:bidi/>
        <w:spacing w:after="120" w:line="312"/>
        <w:ind w:firstLine="480"/>
        <w:jc w:val="both"/>
      </w:pPr>
      <w:r>
        <w:rPr>
          <w:rFonts w:ascii="Arial" w:cs="Arial" w:hAnsi="Arial"/>
          <w:b w:val="false"/>
          <w:bCs w:val="false"/>
          <w:i w:val="false"/>
          <w:iCs w:val="false"/>
          <w:color w:val="262626"/>
          <w:sz w:val="24"/>
          <w:szCs w:val="24"/>
          <w:rtl/>
        </w:rPr>
        <w:t xml:space="preserve">الرئيسية قرار أولًا: تثرى الكتلة المحدودة بالوزن البصري نفسه والسقف نفسه وينتقل الكامل إلى قارئ منفصل، ولا لوحات ولا تحليلات في الرئيسية. والربح المحدود: غير المتاح يصبح حالة مواطنة مفحوصة والتصدير يحمل الأمانة بدل استبدالها ولا شيء يطبع صافيًا نهائيًا. والمقاعد الخمسة: لا مقعد سادس؛ الفحص في أدواتي بهوية أداة التفكير وقارئ النشاط في عائلة المالية، والاكتشاف عبر قائمة حالات الوحدات وأفعال المالية النصية بالأدوار التي تملكها هذه الأسطح أصلًا. والعمل دون اتصال أولًا: كل بند مقبول قراءة وكتابة محلية خالصة، فالتصدير ملف محلي والفحوص تقرأ المخازن والمسودات مفاتيح محلية، بلا شبكة ولا سحابة ولا مصادقة.</w:t>
      </w:r>
    </w:p>
    <w:p>
      <w:pPr>
        <w:pStyle w:val="Heading1"/>
        <w:bidi/>
        <w:spacing w:after="160" w:before="360" w:line="368" w:lineRule="atLeast"/>
        <w:jc w:val="start"/>
      </w:pPr>
      <w:bookmarkStart w:id="100039" w:name="_Toc100039"/>
      <w:r>
        <w:rPr>
          <w:rFonts w:ascii="Arial" w:cs="Arial" w:hAnsi="Arial"/>
          <w:b/>
          <w:bCs/>
          <w:i w:val="false"/>
          <w:iCs w:val="false"/>
          <w:color w:val="1A1A1A"/>
          <w:sz w:val="32"/>
          <w:szCs w:val="32"/>
          <w:rtl/>
        </w:rPr>
        <w:t xml:space="preserve">المخرج ح — جاهزية التنفيذ لاحقًا</w:t>
      </w:r>
      <w:bookmarkEnd w:id="100039"/>
    </w:p>
    <w:p>
      <w:pPr>
        <w:bidi/>
        <w:spacing w:after="120" w:line="312"/>
        <w:ind w:firstLine="480"/>
        <w:jc w:val="both"/>
      </w:pPr>
      <w:r>
        <w:rPr>
          <w:rFonts w:ascii="Arial" w:cs="Arial" w:hAnsi="Arial"/>
          <w:b w:val="false"/>
          <w:bCs w:val="false"/>
          <w:i w:val="false"/>
          <w:iCs w:val="false"/>
          <w:color w:val="262626"/>
          <w:sz w:val="24"/>
          <w:szCs w:val="24"/>
          <w:rtl/>
        </w:rPr>
        <w:t xml:space="preserve">هذا تسليم تصميمي فقط ولم ينفذ أي كود في هذه المهمة. يعرض الجدول تسلسل التنفيذ بترتيب الاعتماد مع معنى الاكتمال ومعايير القبول وسيناريوهات الاختبار على مستوى التصميم لكل بند، لتكون المرجع التنفيذي للفريق لاحقًا.</w:t>
      </w:r>
    </w:p>
    <w:p>
      <w:pPr>
        <w:keepNext/>
        <w:bidi/>
        <w:spacing w:after="100" w:before="200" w:line="312"/>
        <w:jc w:val="start"/>
      </w:pPr>
      <w:r>
        <w:rPr>
          <w:rFonts w:ascii="Arial" w:cs="Arial" w:hAnsi="Arial"/>
          <w:b/>
          <w:bCs/>
          <w:i w:val="false"/>
          <w:iCs w:val="false"/>
          <w:color w:val="1A1A1A"/>
          <w:sz w:val="21"/>
          <w:szCs w:val="21"/>
          <w:rtl/>
        </w:rPr>
        <w:t xml:space="preserve">جدول 9: تسلسل التنفيذ ومعايير القبول</w:t>
      </w:r>
    </w:p>
    <w:tbl>
      <w:tblPr>
        <w:bidiVisual/>
        <w:tblW w:type="pct" w:w="100%"/>
        <w:tblBorders>
          <w:top w:val="single" w:color="C9A84C" w:sz="4"/>
          <w:left w:val="none" w:color="FFFFFF" w:sz="0"/>
          <w:bottom w:val="single" w:color="C9A84C" w:sz="4"/>
          <w:right w:val="none" w:color="FFFFFF" w:sz="0"/>
          <w:insideH w:val="single" w:color="DDD5C0" w:sz="1"/>
          <w:insideV w:val="single" w:color="DDD5C0" w:sz="1"/>
        </w:tblBorders>
        <w:tblLayout w:type="fixed"/>
      </w:tblPr>
      <w:tblGrid>
        <w:gridCol w:w="100"/>
        <w:gridCol w:w="100"/>
        <w:gridCol w:w="100"/>
      </w:tblGrid>
      <w:tr>
        <w:trPr>
          <w:cantSplit/>
          <w:tblHeader/>
        </w:trPr>
        <w:tc>
          <w:tcPr>
            <w:tcW w:type="pct" w:w="10%"/>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البند</w:t>
            </w:r>
          </w:p>
        </w:tc>
        <w:tc>
          <w:tcPr>
            <w:tcW w:type="pct" w:w="42%"/>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معنى الاكتمال</w:t>
            </w:r>
          </w:p>
        </w:tc>
        <w:tc>
          <w:tcPr>
            <w:tcW w:type="pct" w:w="48%"/>
            <w:shd w:fill="C9A84C" w:val="clear"/>
            <w:tcMar>
              <w:top w:type="dxa" w:w="60"/>
              <w:left w:type="dxa" w:w="120"/>
              <w:bottom w:type="dxa" w:w="60"/>
              <w:right w:type="dxa" w:w="120"/>
            </w:tcMar>
          </w:tcPr>
          <w:p>
            <w:pPr>
              <w:bidi/>
              <w:spacing w:line="276"/>
              <w:jc w:val="start"/>
            </w:pPr>
            <w:r>
              <w:rPr>
                <w:rFonts w:ascii="Arial" w:cs="Arial" w:hAnsi="Arial"/>
                <w:b/>
                <w:bCs/>
                <w:i w:val="false"/>
                <w:iCs w:val="false"/>
                <w:color w:val="1A1A1A"/>
                <w:sz w:val="21"/>
                <w:szCs w:val="21"/>
                <w:rtl/>
              </w:rPr>
              <w:t xml:space="preserve">معايير القبول والسيناريوهات</w:t>
            </w:r>
          </w:p>
        </w:tc>
      </w:tr>
      <w:tr>
        <w:trPr>
          <w:cantSplit/>
        </w:trPr>
        <w:tc>
          <w:tcPr>
            <w:tcW w:type="pct" w:w="1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TR-01</w:t>
            </w:r>
          </w:p>
        </w:tc>
        <w:tc>
          <w:tcPr>
            <w:tcW w:type="pct" w:w="4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الدالة القانونية وحيدة الإنتاج لنتائج الفترة بلا حساب مضمن في أي صفحة واختبار سطح يقفل الواجهة</w:t>
            </w:r>
          </w:p>
        </w:tc>
        <w:tc>
          <w:tcPr>
            <w:tcW w:type="pct" w:w="48%"/>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بيانات واحدة تظهر سطر النتيجة نفسه في المالية والكشف والرئيسية؛ مبيعة بتكلفة مجهولة تعرض الأسطح الثلاثة غير متاح بالأسباب نفسها ولا يظهر صفر؛ أعلام الحالة المحدودة دون تغيير</w:t>
            </w:r>
          </w:p>
        </w:tc>
      </w:tr>
      <w:tr>
        <w:trPr>
          <w:cantSplit/>
        </w:trPr>
        <w:tc>
          <w:tcPr>
            <w:tcW w:type="pct" w:w="1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TR-02</w:t>
            </w:r>
          </w:p>
        </w:tc>
        <w:tc>
          <w:tcPr>
            <w:tcW w:type="pct" w:w="4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خدمة قراءة تنتج الفحوص العشرة وسطح بالبطاقات وروابط السجلات ومعالجات نصية واقتراح تلقائي بعد الاستيراد بلا مخازن</w:t>
            </w:r>
          </w:p>
        </w:tc>
        <w:tc>
          <w:tcPr>
            <w:tcW w:type="pct" w:w="48%"/>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بيانات نظيفة كلها سليم؛ فساد مزروع (مرجع يتيم وعكس غير متوازن وأمانة سالبة وانحراف كشف) يظهر بالحالة الصحيحة وربط السجل الصحيح؛ المعلقة تحذير لا خطأ؛ المحتجز معلومة بمجاميع؛ الفحص بعد الاستيراد يقترح تلقائيًا؛ بصمة المخزن ثابتة قبل الفحص وبعده</w:t>
            </w:r>
          </w:p>
        </w:tc>
      </w:tr>
      <w:tr>
        <w:trPr>
          <w:cantSplit/>
        </w:trPr>
        <w:tc>
          <w:tcPr>
            <w:tcW w:type="pct" w:w="1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TR-03</w:t>
            </w:r>
          </w:p>
        </w:tc>
        <w:tc>
          <w:tcPr>
            <w:tcW w:type="pct" w:w="4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مجموعة الأفعال تنزل الملف بالاسم النطاقي مع BOM بكل الكتل والمصادر وملخص التصحيحات وأسطر الحقيقة حرفيًا ويعمل دون اتصال</w:t>
            </w:r>
          </w:p>
        </w:tc>
        <w:tc>
          <w:tcPr>
            <w:tcW w:type="pct" w:w="48%"/>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تصدير بيانات معلومة يطابق القراءة على الشاشة سطرًا سطرًا؛ النتيجة المجهولة غير متاح بسبب بيانات ناقصة لا صفر؛ لا معادلة ميزانية ولا صياغة ربح نهائي (بوابة مراجعة الصياغة)؛ BOM حاضرة والأرقام إنجليزية والمدى DD/MM/YYYY</w:t>
            </w:r>
          </w:p>
        </w:tc>
      </w:tr>
      <w:tr>
        <w:trPr>
          <w:cantSplit/>
        </w:trPr>
        <w:tc>
          <w:tcPr>
            <w:tcW w:type="pct" w:w="1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TR-04</w:t>
            </w:r>
          </w:p>
        </w:tc>
        <w:tc>
          <w:tcPr>
            <w:tcW w:type="pct" w:w="4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حقل الوسم باقتراحات مشتقة على صف الحدث وكتلة تجميع مطوية ومرشح اختياري وهجرة null</w:t>
            </w:r>
          </w:p>
        </w:tc>
        <w:tc>
          <w:tcPr>
            <w:tcW w:type="pct" w:w="48%"/>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مصروف موسم بوسم يدوم بدلتات مطابقة لتوأمه بلا وسم؛ مسافتان زائدتان حول البنزين تدمجان بمفردة واحدة؛ استيراد نسخة 22 يضبط null ويجمع التراث غير مصنف؛ دورة 23 تحفظ الوسوم؛ المصروف المشترك بوسم لا يغير حساب الحصة</w:t>
            </w:r>
          </w:p>
        </w:tc>
      </w:tr>
      <w:tr>
        <w:trPr>
          <w:cantSplit/>
        </w:trPr>
        <w:tc>
          <w:tcPr>
            <w:tcW w:type="pct" w:w="1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TR-08</w:t>
            </w:r>
          </w:p>
        </w:tc>
        <w:tc>
          <w:tcPr>
            <w:tcW w:type="pct" w:w="4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القوانين الأربعة مكتوبة في عقود المنتج وقائمة تدقيق في المراجعة</w:t>
            </w:r>
          </w:p>
        </w:tc>
        <w:tc>
          <w:tcPr>
            <w:tcW w:type="pct" w:w="48%"/>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كل زر مالي في سطح جديد يصحب بسطر أثر قبلي (بند تدقيق)</w:t>
            </w:r>
          </w:p>
        </w:tc>
      </w:tr>
      <w:tr>
        <w:trPr>
          <w:cantSplit/>
        </w:trPr>
        <w:tc>
          <w:tcPr>
            <w:tcW w:type="pct" w:w="1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TR-05</w:t>
            </w:r>
          </w:p>
        </w:tc>
        <w:tc>
          <w:tcPr>
            <w:tcW w:type="pct" w:w="4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الطبقة الأولى تظهر المبيعات والتصحيحات وقيود المحافظ وتربط الأحداث بالتركيز بسقف 5 إلى 7؛ والثانية قارئ بنموذج قراءة واحد وتراجع قانوني</w:t>
            </w:r>
          </w:p>
        </w:tc>
        <w:tc>
          <w:tcPr>
            <w:tcW w:type="pct" w:w="48%"/>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بيانات بنوع من كل سجل تعرض الصف والرابط الصحيحين؛ صف التصحيح يظهر صافي الأثر دون إيحاء نقدي؛ القائمة نفسها في الرئيسية والقارئ داخل السقف بخدمة واحدة مختبرة بالبيانات</w:t>
            </w:r>
          </w:p>
        </w:tc>
      </w:tr>
      <w:tr>
        <w:trPr>
          <w:cantSplit/>
        </w:trPr>
        <w:tc>
          <w:tcPr>
            <w:tcW w:type="pct" w:w="1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TR-06</w:t>
            </w:r>
          </w:p>
        </w:tc>
        <w:tc>
          <w:tcPr>
            <w:tcW w:type="pct" w:w="4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حركات الهدر تظهر صفوفًا بعنوانها ومبلغ ورابط</w:t>
            </w:r>
          </w:p>
        </w:tc>
        <w:tc>
          <w:tcPr>
            <w:tcW w:type="pct" w:w="48%"/>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بيانات هدر تعرض الصف ولا تدخل مجاميع الداخل والخارج؛ عكس الهدر يحدث الصف بقاعدة الحركة النشطة</w:t>
            </w:r>
          </w:p>
        </w:tc>
      </w:tr>
      <w:tr>
        <w:trPr>
          <w:cantSplit/>
        </w:trPr>
        <w:tc>
          <w:tcPr>
            <w:tcW w:type="pct" w:w="1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TR-07</w:t>
            </w:r>
          </w:p>
        </w:tc>
        <w:tc>
          <w:tcPr>
            <w:tcW w:type="pct" w:w="4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فعل الاستلام يفتح المحرر مملوءًا مسبقًا والشريط الهادئ والمعامل في المفردات</w:t>
            </w:r>
          </w:p>
        </w:tc>
        <w:tc>
          <w:tcPr>
            <w:tcW w:type="pct" w:w="48%"/>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الجسر يخفى أو يعلق بنص صادق عند عدم تفعيل المخزون؛ المحرر المملوء يبقى بلا كتابة حتى حفظ صريح؛ الشريط يسرد المواد الصفرية فقط بهدوء</w:t>
            </w:r>
          </w:p>
        </w:tc>
      </w:tr>
      <w:tr>
        <w:trPr>
          <w:cantSplit/>
        </w:trPr>
        <w:tc>
          <w:tcPr>
            <w:tcW w:type="pct" w:w="1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TR-09</w:t>
            </w:r>
          </w:p>
        </w:tc>
        <w:tc>
          <w:tcPr>
            <w:tcW w:type="pct" w:w="4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التراجع الخمسي لحذف التقديرات (والملاحظات إن بنيت) باستعادة حقيقية ونزع رموز العملة عند اللصق</w:t>
            </w:r>
          </w:p>
        </w:tc>
        <w:tc>
          <w:tcPr>
            <w:tcW w:type="pct" w:w="48%"/>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حذف ثم تراجع خلال خمس ثوان يستعيد السجل مطابقًا بايت ببايت؛ لصق 12.50 د.أ يعطي 12.50؛ الأرقام الشرقية تطبع إلى إنجليزية</w:t>
            </w:r>
          </w:p>
        </w:tc>
      </w:tr>
      <w:tr>
        <w:trPr>
          <w:cantSplit/>
        </w:trPr>
        <w:tc>
          <w:tcPr>
            <w:tcW w:type="pct" w:w="10%"/>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TR-10</w:t>
            </w:r>
          </w:p>
        </w:tc>
        <w:tc>
          <w:tcPr>
            <w:tcW w:type="pct" w:w="42%"/>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وحدة الملاحظات بقائمة ونسخ وإنشاء وتحرير وحذف وتراجع، وتعبئة نصية للمواصفات فقط</w:t>
            </w:r>
          </w:p>
        </w:tc>
        <w:tc>
          <w:tcPr>
            <w:tcW w:type="pct" w:w="48%"/>
            <w:shd w:fill="F5F2E8" w:val="clear"/>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النسخ يضع المتن في الحافظة؛ التعبئة تملأ الحقول النصية فقط ولا تلمس السعر أو التكلفة أبدًا؛ فهارس فريدة ومفاتيح عملية على المخزن الجديد</w:t>
            </w:r>
          </w:p>
        </w:tc>
      </w:tr>
      <w:tr>
        <w:trPr>
          <w:cantSplit/>
        </w:trPr>
        <w:tc>
          <w:tcPr>
            <w:tcW w:type="pct" w:w="10%"/>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TR-11</w:t>
            </w:r>
          </w:p>
        </w:tc>
        <w:tc>
          <w:tcPr>
            <w:tcW w:type="pct" w:w="42%"/>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المحررات المشاركة تحفظ مسودة عند التغييع وتعرضها للاستعادة في وضع الإنشاء فقط مع مسح عند الحفظ أو التجاهل</w:t>
            </w:r>
          </w:p>
        </w:tc>
        <w:tc>
          <w:tcPr>
            <w:tcW w:type="pct" w:w="48%"/>
            <w:tcMar>
              <w:top w:type="dxa" w:w="60"/>
              <w:left w:type="dxa" w:w="120"/>
              <w:bottom w:type="dxa" w:w="60"/>
              <w:right w:type="dxa" w:w="120"/>
            </w:tcMar>
          </w:tcPr>
          <w:p>
            <w:pPr>
              <w:bidi/>
              <w:spacing w:line="276"/>
              <w:jc w:val="start"/>
            </w:pPr>
            <w:r>
              <w:rPr>
                <w:rFonts w:ascii="Arial" w:cs="Arial" w:hAnsi="Arial"/>
                <w:b w:val="false"/>
                <w:bCs w:val="false"/>
                <w:i w:val="false"/>
                <w:iCs w:val="false"/>
                <w:color w:val="262626"/>
                <w:sz w:val="21"/>
                <w:szCs w:val="21"/>
                <w:rtl/>
              </w:rPr>
              <w:t xml:space="preserve">تعبئة ثم تحديث يعرض شريط الاستعادة والقيم المستعادة مطابقة؛ الحفظ يمسح المفتاح؛ وضع التحرير لا يعرض مسودة؛ لا تفاعل مع حراسة التغييرات</w:t>
            </w:r>
          </w:p>
        </w:tc>
      </w:tr>
    </w:tbl>
    <w:p>
      <w:pPr>
        <w:spacing w:after="120"/>
      </w:pPr>
    </w:p>
    <w:p>
      <w:pPr>
        <w:pStyle w:val="Heading2"/>
        <w:bidi/>
        <w:spacing w:after="120" w:before="240" w:line="345" w:lineRule="atLeast"/>
        <w:jc w:val="start"/>
      </w:pPr>
      <w:bookmarkStart w:id="100040" w:name="_Toc100040"/>
      <w:r>
        <w:rPr>
          <w:rFonts w:ascii="Arial" w:cs="Arial" w:hAnsi="Arial"/>
          <w:b/>
          <w:bCs/>
          <w:i w:val="false"/>
          <w:iCs w:val="false"/>
          <w:color w:val="1A1A1A"/>
          <w:sz w:val="30"/>
          <w:szCs w:val="30"/>
          <w:rtl/>
        </w:rPr>
        <w:t xml:space="preserve">سجل المخاطر مع التخفيفات</w:t>
      </w:r>
      <w:bookmarkEnd w:id="100040"/>
    </w:p>
    <w:p>
      <w:pPr>
        <w:bidi/>
        <w:spacing w:after="120" w:line="312"/>
        <w:ind w:firstLine="480"/>
        <w:jc w:val="both"/>
      </w:pPr>
      <w:r>
        <w:rPr>
          <w:rFonts w:ascii="Arial" w:cs="Arial" w:hAnsi="Arial"/>
          <w:b w:val="false"/>
          <w:bCs w:val="false"/>
          <w:i w:val="false"/>
          <w:iCs w:val="false"/>
          <w:color w:val="262626"/>
          <w:sz w:val="24"/>
          <w:szCs w:val="24"/>
          <w:rtl/>
        </w:rPr>
        <w:t xml:space="preserve">إيجابيات كاذبة في الفحص تأكل الثقة؛ التخفيف: اشتقاق كل فحص من قاعدة مجال مختبَرة لا من حدس، والحالات المقصودة تحذير ومعلومة (افتتاحيات مجهولة وعرون تحتاج مراجعة ومحتجزة). انزياح صياغة التصدير مستقبلًا يخترق حد الربح؛ التخفيف: قواعد المحتوى ملزمة وبوابة مراجعة وترويسة تصرح بأنها قراءة. انفصام الوسوم يشطر المجاميع؛ مقبول وموثق والدمج مؤجل تصحيحًا موثقًا. ازدحام الرئيسية ضد القرار أولًا؛ سقف ووزن بصري ثابت وقارئ منفصل وموافقة المالك قبل الطبقة الثانية. انحراف نموذج القراءة عبر ستة مخازن وأكثر؛ خدمة مشتقة واحدة مختبرة ببيانات ثابتة. ضغط الجسر نحو استخدام مبكر للمخزون؛ فعل نصي بنص صادق لا زر أساسي. تطبيق التراجع الخمسي على سجلات مالية؛ محظور بقانون TR-08 وبوابة المراجعة. بناء الملاحظات بلا تحقق شخصية؛ مشروط بموافقة المالك. تضاعف حالة المسودة مع الحراسة؛ قاعدة الفصل: المسودة إدخال والحراسة تنقل.</w:t>
      </w:r>
    </w:p>
    <w:p>
      <w:pPr>
        <w:pStyle w:val="Heading1"/>
        <w:bidi/>
        <w:spacing w:after="160" w:before="360" w:line="368" w:lineRule="atLeast"/>
        <w:jc w:val="start"/>
      </w:pPr>
      <w:bookmarkStart w:id="100041" w:name="_Toc100041"/>
      <w:r>
        <w:rPr>
          <w:rFonts w:ascii="Arial" w:cs="Arial" w:hAnsi="Arial"/>
          <w:b/>
          <w:bCs/>
          <w:i w:val="false"/>
          <w:iCs w:val="false"/>
          <w:color w:val="1A1A1A"/>
          <w:sz w:val="32"/>
          <w:szCs w:val="32"/>
          <w:rtl/>
        </w:rPr>
        <w:t xml:space="preserve">الأسئلة المفتوحة للمالك وقاعدة الأدلة</w:t>
      </w:r>
      <w:bookmarkEnd w:id="100041"/>
    </w:p>
    <w:p>
      <w:pPr>
        <w:pStyle w:val="Heading2"/>
        <w:bidi/>
        <w:spacing w:after="120" w:before="240" w:line="345" w:lineRule="atLeast"/>
        <w:jc w:val="start"/>
      </w:pPr>
      <w:bookmarkStart w:id="100042" w:name="_Toc100042"/>
      <w:r>
        <w:rPr>
          <w:rFonts w:ascii="Arial" w:cs="Arial" w:hAnsi="Arial"/>
          <w:b/>
          <w:bCs/>
          <w:i w:val="false"/>
          <w:iCs w:val="false"/>
          <w:color w:val="1A1A1A"/>
          <w:sz w:val="30"/>
          <w:szCs w:val="30"/>
          <w:rtl/>
        </w:rPr>
        <w:t xml:space="preserve">سجل القرارات المطروح على المالك</w:t>
      </w:r>
      <w:bookmarkEnd w:id="100042"/>
    </w:p>
    <w:p>
      <w:pPr>
        <w:bidi/>
        <w:spacing w:after="120" w:line="312"/>
        <w:ind w:firstLine="480"/>
        <w:jc w:val="both"/>
      </w:pPr>
      <w:r>
        <w:rPr>
          <w:rFonts w:ascii="Arial" w:cs="Arial" w:hAnsi="Arial"/>
          <w:b w:val="false"/>
          <w:bCs w:val="false"/>
          <w:i w:val="false"/>
          <w:iCs w:val="false"/>
          <w:color w:val="262626"/>
          <w:sz w:val="24"/>
          <w:szCs w:val="24"/>
          <w:rtl/>
        </w:rPr>
        <w:t xml:space="preserve">أولًا: العربون المحتجز بأسئلته الثلاثة المصرحة؛ لا يتغير شيء قبل الجواب ويبقى ظاهرًا معلومة في الفحص. ثانيًا: كفاية المفردات المشتقة للتصنيف أم الحاجة إلى أدوات تعديل ودمج لاحقة (تصحيحات موثقة فقط). ثالثًا: هل تعيد كتابة المواصفات المتكررة بما يكفي لتطلب ملاحظاتي المتكررة؟ رابعًا: هل تقرض نقود المشروع لأشخاص؟ (دليل تجريبي وعقد مستقل عند الحاجة). خامسًا: الموافقة على قارئ سجل كل ما صار أو الاكتفاء بإثراء الرئيسية. سادسًا: عادة إغلاق الطلب بلمسة واحدة من تدريب Zman تراقب في الاختبار ولا تبني استباقيًا. سابعًا: هل يقرأ محاسبك ملف Markdown فعلًا؟ (إن لا فمسار PDF تابع عبر مسار مستندي لا تغيير صيغة). ثامنًا: معايرة شدة الفحوص على بيانات حقيقية بعد ضمان الجودة على الأجهزة. تاسعًا كملاحظة فقط: هل يكفي ملاحظة قراءة للمشتريات الكبيرة لمرة واحدة حتى قرار عقد الأصول؟</w:t>
      </w:r>
    </w:p>
    <w:p>
      <w:pPr>
        <w:pStyle w:val="Heading2"/>
        <w:bidi/>
        <w:spacing w:after="120" w:before="240" w:line="345" w:lineRule="atLeast"/>
        <w:jc w:val="start"/>
      </w:pPr>
      <w:bookmarkStart w:id="100043" w:name="_Toc100043"/>
      <w:r>
        <w:rPr>
          <w:rFonts w:ascii="Arial" w:cs="Arial" w:hAnsi="Arial"/>
          <w:b/>
          <w:bCs/>
          <w:i w:val="false"/>
          <w:iCs w:val="false"/>
          <w:color w:val="1A1A1A"/>
          <w:sz w:val="30"/>
          <w:szCs w:val="30"/>
          <w:rtl/>
        </w:rPr>
        <w:t xml:space="preserve">تقارير الوكلاء وقاعدة الأدلة</w:t>
      </w:r>
      <w:bookmarkEnd w:id="100043"/>
    </w:p>
    <w:p>
      <w:pPr>
        <w:bidi/>
        <w:spacing w:after="120" w:line="312"/>
        <w:ind w:firstLine="480"/>
        <w:jc w:val="both"/>
      </w:pPr>
      <w:r>
        <w:rPr>
          <w:rFonts w:ascii="Arial" w:cs="Arial" w:hAnsi="Arial"/>
          <w:b w:val="false"/>
          <w:bCs w:val="false"/>
          <w:i w:val="false"/>
          <w:iCs w:val="false"/>
          <w:color w:val="262626"/>
          <w:sz w:val="24"/>
          <w:szCs w:val="24"/>
          <w:rtl/>
        </w:rPr>
        <w:t xml:space="preserve">يلخص هذا التقرير خمس تقارير متخصصة تسلم معه في المجلد نفسه تحت subagents: تقرير خريطة قدرات Zman بالفهرس الكامل ZC من واحد إلى أربعة وعشرين وفهرس الأدلة الكامل؛ وتقرير خط أساس Micro والفجوات MG من واحد إلى واحد وعشرين مع التحذيرات العشرة؛ وتقرير رحلات الاستخدام UX من واحد إلى تسعة بجدول الرفوض على مستوى تجربة الاستخدام؛ وتقرير السلامة المالية والبيانات FI من واحد إلى عشرة مع خرائطة فحوص IC الستة عشر وسجل الهجرات؛ وتقرير المراجعة النقدية والمعمارية TR من واحد إلى سبعة عشر بحل التناقضات الست والأدلة العشرين المضافة. المصدران الأساسيان للقراءة فقط: مستودع zman-app عند bdd63ab ومستودع Micro عند 4db6a5f. لم يعدل أي من المستودعين في هذه المهمة، ولم يستخدم أي مصدر خارجي في أي قرار ملزم ولذلك لا قائمة مراجع خارجية.</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888888"/>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5C0" w:sz="2" w:space="4"/>
      </w:pBdr>
      <w:bidi/>
      <w:jc w:val="center"/>
    </w:pPr>
    <w:r>
      <w:rPr>
        <w:rFonts w:ascii="Arial" w:cs="Arial" w:hAnsi="Arial"/>
        <w:b w:val="false"/>
        <w:bCs w:val="false"/>
        <w:i w:val="false"/>
        <w:iCs w:val="false"/>
        <w:color w:val="888888"/>
        <w:sz w:val="18"/>
        <w:szCs w:val="18"/>
        <w:rtl/>
      </w:rPr>
      <w:t xml:space="preserve">تحليل فجوات القدرات من Zman إلى Micro وتصميم النقل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color w:val="262626"/>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68"/>
      <w:outlineLvl w:val="0"/>
    </w:pPr>
    <w:rPr>
      <w:rFonts w:ascii="Arial" w:cs="Arial" w:hAnsi="Arial"/>
      <w:b/>
      <w:bCs/>
      <w:color w:val="1A1A1A"/>
      <w:sz w:val="32"/>
      <w:szCs w:val="32"/>
    </w:rPr>
  </w:style>
  <w:style w:type="paragraph" w:styleId="Heading2">
    <w:name w:val="Heading 2"/>
    <w:basedOn w:val="Normal"/>
    <w:next w:val="Normal"/>
    <w:qFormat/>
    <w:pPr>
      <w:spacing w:after="120" w:before="240" w:line="345"/>
      <w:outlineLvl w:val="1"/>
    </w:pPr>
    <w:rPr>
      <w:rFonts w:ascii="Arial" w:cs="Arial" w:hAnsi="Arial"/>
      <w:b/>
      <w:bCs/>
      <w:color w:val="1A1A1A"/>
      <w:sz w:val="30"/>
      <w:szCs w:val="30"/>
    </w:rPr>
  </w:style>
  <w:style w:type="paragraph" w:styleId="Heading3">
    <w:name w:val="Heading 3"/>
    <w:basedOn w:val="Normal"/>
    <w:next w:val="Normal"/>
    <w:qFormat/>
    <w:pPr>
      <w:spacing w:after="100" w:before="200" w:line="324"/>
      <w:outlineLvl w:val="2"/>
    </w:pPr>
    <w:rPr>
      <w:rFonts w:ascii="Arial" w:cs="Arial" w:hAnsi="Arial"/>
      <w:b/>
      <w:bCs/>
      <w:color w:val="1A1A1A"/>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تحليل فجوات القدرات من Zman إلى Micro وتصميم النقل</dc:title>
  <dc:creator>Micro Analysis Agent</dc:creator>
  <cp:lastModifiedBy>Un-named</cp:lastModifiedBy>
  <cp:revision>1</cp:revision>
  <dcterms:created xsi:type="dcterms:W3CDTF">2026-09-02T21:45:01.378Z</dcterms:created>
  <dcterms:modified xsi:type="dcterms:W3CDTF">2026-09-02T21:45:01.378Z</dcterms:modified>
</cp:coreProperties>
</file>

<file path=docProps/custom.xml><?xml version="1.0" encoding="utf-8"?>
<Properties xmlns="http://schemas.openxmlformats.org/officeDocument/2006/custom-properties" xmlns:vt="http://schemas.openxmlformats.org/officeDocument/2006/docPropsVTypes"/>
</file>