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175"/>
            </w:pPr>
          </w:p>
          <w:p>
            <w:pPr>
              <w:pBdr>
                <w:bottom w:val="single" w:color="C9A84C" w:sz="6" w:space="8"/>
              </w:pBdr>
              <w:bidi/>
              <w:spacing w:after="500"/>
              <w:ind w:left="800" w:right="1200"/>
              <w:jc w:val="start"/>
            </w:pPr>
            <w:r>
              <w:rPr>
                <w:rFonts w:ascii="Arial" w:cs="Arial" w:eastAsia="Arial" w:hAnsi="Arial"/>
                <w:color w:val="C9A84C"/>
                <w:spacing w:val="30"/>
                <w:sz w:val="18"/>
                <w:szCs w:val="18"/>
              </w:rPr>
              <w:t xml:space="preserve">G R O U P   4   R E C O V E R Y   A N D   I M P L E M E N T A T I O N   R E P O R T</w:t>
            </w:r>
          </w:p>
          <w:p>
            <w:pPr>
              <w:bidi/>
              <w:spacing w:after="100" w:line="828" w:lineRule="atLeast"/>
              <w:ind w:right="1200"/>
              <w:jc w:val="start"/>
            </w:pPr>
            <w:r>
              <w:rPr>
                <w:rFonts w:ascii="Arial" w:cs="Arial" w:eastAsia="Arial" w:hAnsi="Arial"/>
                <w:b/>
                <w:bCs/>
                <w:i w:val="false"/>
                <w:iCs w:val="false"/>
                <w:color w:val="FFFFFF"/>
                <w:sz w:val="72"/>
                <w:szCs w:val="72"/>
                <w:rtl/>
              </w:rPr>
              <w:t xml:space="preserve">تقرير استرداد وتنفيذ</w:t>
            </w:r>
          </w:p>
          <w:p>
            <w:pPr>
              <w:bidi/>
              <w:spacing w:after="300" w:line="828" w:lineRule="atLeast"/>
              <w:ind w:right="1200"/>
              <w:jc w:val="start"/>
            </w:pPr>
            <w:r>
              <w:rPr>
                <w:rFonts w:ascii="Arial" w:cs="Arial" w:eastAsia="Arial" w:hAnsi="Arial"/>
                <w:b/>
                <w:bCs/>
                <w:i w:val="false"/>
                <w:iCs w:val="false"/>
                <w:color w:val="FFFFFF"/>
                <w:sz w:val="72"/>
                <w:szCs w:val="72"/>
                <w:rtl/>
              </w:rPr>
              <w:t xml:space="preserve">المجموعة الرابعة</w:t>
            </w:r>
          </w:p>
          <w:p>
            <w:pPr>
              <w:bidi/>
              <w:spacing w:after="800" w:line="340" w:lineRule="atLeast"/>
              <w:ind w:right="1200"/>
              <w:jc w:val="start"/>
            </w:pPr>
            <w:r>
              <w:rPr>
                <w:rFonts w:ascii="Arial" w:cs="Arial" w:eastAsia="Arial" w:hAnsi="Arial"/>
                <w:b w:val="false"/>
                <w:bCs w:val="false"/>
                <w:i w:val="false"/>
                <w:iCs w:val="false"/>
                <w:color w:val="B0B8C0"/>
                <w:sz w:val="24"/>
                <w:szCs w:val="24"/>
                <w:rtl/>
              </w:rPr>
              <w:t xml:space="preserve">التوسّع المالي العميق: الأصول والإهلاك والقروض والعربون المحتفظ به وأتمتة المخزون — برنامج النقل من Zman إلى Micro</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المنتج: Micro — نظام مالية وتشغيل عربي RTL محلي أولًا</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المستودع: Qays7753/Micro · طلب الدمج #152</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رأس main النهائي: 05669a9 (الاسترداد من f20f513 · الأساس 67d4e41)</w:t>
            </w:r>
          </w:p>
          <w:p>
            <w:pPr>
              <w:pBdr>
                <w:right w:val="single" w:color="C9A84C" w:sz="8" w:space="12"/>
              </w:pBdr>
              <w:bidi/>
              <w:spacing w:after="80" w:line="300"/>
              <w:ind w:left="600" w:right="1400"/>
              <w:jc w:val="start"/>
            </w:pPr>
            <w:r>
              <w:rPr>
                <w:rFonts w:ascii="Arial" w:cs="Arial" w:eastAsia="Arial" w:hAnsi="Arial"/>
                <w:b w:val="false"/>
                <w:bCs w:val="false"/>
                <w:i w:val="false"/>
                <w:iCs w:val="false"/>
                <w:color w:val="90989F"/>
                <w:sz w:val="24"/>
                <w:szCs w:val="24"/>
                <w:rtl/>
              </w:rPr>
              <w:t xml:space="preserve">التاريخ: 04/09/2026</w:t>
            </w:r>
          </w:p>
          <w:p>
            <w:pPr>
              <w:spacing w:before="4175"/>
            </w:pPr>
          </w:p>
          <w:p>
            <w:pPr>
              <w:pBdr>
                <w:top w:val="single" w:color="C9A84C" w:sz="2" w:space="8"/>
              </w:pBdr>
              <w:bidi/>
              <w:spacing w:before="200"/>
              <w:ind w:left="800" w:right="1200"/>
              <w:jc w:val="start"/>
            </w:pPr>
            <w:r>
              <w:rPr>
                <w:rFonts w:ascii="Arial" w:cs="Arial" w:eastAsia="Arial" w:hAnsi="Arial"/>
                <w:b w:val="false"/>
                <w:bCs w:val="false"/>
                <w:i w:val="false"/>
                <w:iCs w:val="false"/>
                <w:color w:val="687078"/>
                <w:sz w:val="16"/>
                <w:szCs w:val="16"/>
                <w:rtl/>
              </w:rPr>
              <w:t xml:space="preserve">Micro — شريك مشروعك</w:t>
            </w:r>
            <w:r>
              <w:t xml:space="preserve">                                   </w:t>
            </w:r>
            <w:r>
              <w:rPr>
                <w:rFonts w:ascii="Arial" w:cs="Arial" w:eastAsia="Arial" w:hAnsi="Arial"/>
                <w:color w:val="687078"/>
                <w:sz w:val="16"/>
                <w:szCs w:val="16"/>
              </w:rPr>
              <w:t xml:space="preserve">micro-group-4-deep-finance-recovery-001</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i w:val="false"/>
          <w:iCs w:val="false"/>
          <w:color w:val="000000"/>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بوابة الاسترداد — نقطة التوقف الحقيقية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الإصلاحات المطبقة على العمل المحفوظ</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عقد الأصول والإهلاك</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عقد القروض والعربون المحتفظ به</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أتمتة الخصم عند التسليم والهدر</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التحقق والبوابات</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تكامل الاستمرار — التشخيص والحل</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الخلاصة والحدود الصادقة</w:t>
            </w:r>
            <w:r>
              <w:tab/>
            </w:r>
            <w:r>
              <w:fldChar w:fldCharType="begin"/>
            </w:r>
            <w:r>
              <w:instrText xml:space="preserve"> PAGEREF _Toc100008 \h </w:instrText>
            </w:r>
            <w:r>
              <w:fldChar w:fldCharType="separate"/>
            </w:r>
            <w:r>
              <w:t>4</w:t>
            </w:r>
            <w:r>
              <w:fldChar w:fldCharType="end"/>
            </w:r>
          </w:hyperlink>
        </w:p>
        <w:p>
          <w:r>
            <w:fldChar w:fldCharType="end"/>
          </w:r>
        </w:p>
      </w:sdtContent>
    </w:sdt>
    <w:p>
      <w:pPr>
        <w:bidi/>
        <w:spacing w:before="200"/>
      </w:pPr>
      <w:r>
        <w:rPr>
          <w:rFonts w:ascii="Arial" w:cs="Arial" w:eastAsia="Arial" w:hAnsi="Arial"/>
          <w:b w:val="false"/>
          <w:bCs w:val="false"/>
          <w:i/>
          <w:iCs/>
          <w:color w:val="888888"/>
          <w:sz w:val="18"/>
          <w:szCs w:val="18"/>
          <w:rtl/>
        </w:rPr>
        <w:t xml:space="preserve">ملاحظة: هذا الفهرس مولّد برموز الحقول؛ لضمان دقة أرقام الصفحات بعد أي تعديل انقر بزر الفأرة الأيمن على الفهرس واختر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80" w:lineRule="atLeast"/>
        <w:jc w:val="start"/>
      </w:pPr>
      <w:bookmarkStart w:id="100000" w:name="_Toc100000"/>
      <w:r>
        <w:rPr>
          <w:rFonts w:ascii="Arial" w:cs="Arial" w:eastAsia="Arial" w:hAnsi="Arial"/>
          <w:b/>
          <w:bCs/>
          <w:i w:val="false"/>
          <w:iCs w:val="false"/>
          <w:color w:val="1A1A1A"/>
          <w:sz w:val="30"/>
          <w:szCs w:val="30"/>
          <w:rtl/>
        </w:rPr>
        <w:t xml:space="preserve">الملخص التنفيذي</w:t>
      </w:r>
      <w:bookmarkEnd w:id="100000"/>
    </w:p>
    <w:p>
      <w:pPr>
        <w:bidi/>
        <w:spacing w:after="120" w:line="312"/>
        <w:jc w:val="start"/>
      </w:pPr>
      <w:r>
        <w:rPr>
          <w:rFonts w:ascii="Arial" w:cs="Arial" w:eastAsia="Arial" w:hAnsi="Arial"/>
          <w:b w:val="false"/>
          <w:bCs w:val="false"/>
          <w:i w:val="false"/>
          <w:iCs w:val="false"/>
          <w:color w:val="000000"/>
          <w:sz w:val="24"/>
          <w:szCs w:val="24"/>
          <w:rtl/>
        </w:rPr>
        <w:t xml:space="preserve">يسلّم هذا التقرير استكمال المجموعة الرابعة من برنامج نقل قدرات Zman إلى Micro — التوسّع المالي العميق: الأصول والإهلاك، والقروض الصادرة، والعربون المحتفظ به، وأتمتة خصم المخزون عند التسليم، والهدر والشطب، والمطابقات عبر النطاقات. بدأت هذه الجلسة كجلسة استرداد: توقّف الوكيل السابق بعد دفع تنفيذٍ واحد مرفوع (f20f513 عبر طلب الدمج 152) وقبل التحقق والدمج والتسليم، فافتُتحت ببوابة استرداد كاملة اكتشفت نقطة التوقف الحقيقية وحفظت كل عمل سابق — لم يُهدر شيء ولم يُعد بناء شيء. ثم طُبّقت إصلاحات المراجعة الخصومية الست المطلوبة كلها مع اختباراتها، وأُصلح جذر فشل التكامل المستمر (خرق تنسيق واحد)، وصُنّف انقطاع سجل npm أنفة التدقيق كعطل بنية تحتية بالدليل الكامل وأُعيد تشغيله بالآلية المسموحة، فاخضرّ التكامل ودامج الطلب ليرأس main عند 05669a9، ثم سلّمت حزمة التقارير هذه.</w:t>
      </w:r>
    </w:p>
    <w:p>
      <w:pPr>
        <w:bidi/>
        <w:spacing w:after="120" w:line="312"/>
        <w:jc w:val="start"/>
      </w:pPr>
      <w:r>
        <w:rPr>
          <w:rFonts w:ascii="Arial" w:cs="Arial" w:eastAsia="Arial" w:hAnsi="Arial"/>
          <w:b w:val="false"/>
          <w:bCs w:val="false"/>
          <w:i w:val="false"/>
          <w:iCs w:val="false"/>
          <w:color w:val="000000"/>
          <w:sz w:val="24"/>
          <w:szCs w:val="24"/>
          <w:rtl/>
        </w:rPr>
        <w:t xml:space="preserve">جوبر المجموعة رحلة مالية صادقة: «هل هذا الشراء مصروف أم مخزون أم أصل لاستخدام طويل؟» فيُقرر المالك مرة واحدة بأثر معلن — الأصل لا يخصم من ربح شهر شرائه بل يُهلك شهريًا بعد بدء استخدامه بلا أي حركة كاش، والتخلص والشطب مصححان موثقان بمقابل معلن؛ «هل أعطيت هذا المبلغ كقرضًا؟» فينزل الكاش ويرتفع رصيد القرض — ليس مصروفًا ولا سحبًا — والسداد يعيده ولا يكون إيرانًا؛ «شو بدك تعمل بالعربون المحتفظ به؟» فيبقى معلقًا (الخيار الآمن الافتراضي) حتى قرار صريح: مال مالك أو إيراد مشروع — مرة واحدة وبعكس موثق قابل للتصحيح؛ و«هل تريد خصم المواد الآن؟» فيظهر الأثر كاملًا قبل التأكيد ويقع الخصم في معاملة ذرّية واحدة حتمية المفاتيح لا عند فتح الصفحة ولا عند حفظ المسودة. المجهول يبقى مجهولًا، والأصل لا يتكرر مصروفًا تشغيليًا، والتاريخ لا يُعاد كتابته بل يُصحح بعكسٍ وبديل.</w:t>
      </w:r>
    </w:p>
    <w:p>
      <w:pPr>
        <w:pStyle w:val="Heading1"/>
        <w:bidi/>
        <w:spacing w:after="160" w:before="360" w:line="380" w:lineRule="atLeast"/>
        <w:jc w:val="start"/>
      </w:pPr>
      <w:bookmarkStart w:id="100001" w:name="_Toc100001"/>
      <w:r>
        <w:rPr>
          <w:rFonts w:ascii="Arial" w:cs="Arial" w:eastAsia="Arial" w:hAnsi="Arial"/>
          <w:b/>
          <w:bCs/>
          <w:i w:val="false"/>
          <w:iCs w:val="false"/>
          <w:color w:val="1A1A1A"/>
          <w:sz w:val="30"/>
          <w:szCs w:val="30"/>
          <w:rtl/>
        </w:rPr>
        <w:t xml:space="preserve">بوابة الاسترداد — نقطة التوقف الحقيقية</w:t>
      </w:r>
      <w:bookmarkEnd w:id="100001"/>
    </w:p>
    <w:p>
      <w:pPr>
        <w:bidi/>
        <w:spacing w:after="120" w:line="312"/>
        <w:jc w:val="start"/>
      </w:pPr>
      <w:r>
        <w:rPr>
          <w:rFonts w:ascii="Arial" w:cs="Arial" w:eastAsia="Arial" w:hAnsi="Arial"/>
          <w:b w:val="false"/>
          <w:bCs w:val="false"/>
          <w:i w:val="false"/>
          <w:iCs w:val="false"/>
          <w:color w:val="000000"/>
          <w:sz w:val="24"/>
          <w:szCs w:val="24"/>
          <w:rtl/>
        </w:rPr>
        <w:t xml:space="preserve">قبل أي تعديل فُحص المستودع الفعلي: رأس main البعيد عند 67d4e41 (دمج المجموعة الثالثة عبر الطلب 151)، والرأس المحلي على فرع agent/group4-deep-finance عند f20f513 بشجرة نظيفة مرفوعة فعلًا، والطلب 152 مفتوح عند الرأس نفسه. تنفيذ المجموعة كان قائمًا كاملًا في دفعة واحدة (74 ملفًا، +7,753 سطرًا): تسعة أنواع أحداث مالية جديدة بثلاثة أعمدة دلتا اختيارية وسياقات مرتبطة إلزامية، ونطاقا دومين للأصول والقروض، وست معاملات ذرّية في IndexedDB والذاكرة، وثلاث خدمات، والقارئ الكنوني ببنوده المستقلة، وفحوص MIC-10..13، والمخطط 34 والتصدير 26، وستة أسطح عربية جديدة مع ورقة سداد سفلية وطبقتي «مالي». وبقيت أبحاث الوكلاء المتخصصين الثلاثة محفوظة في سجل العمل: خريطة Zman، وخريطة نقاط الاندماج، ومراجعة خصومية حكمها «لا حواجز» بستة إصلاحات مطلوبة وتسعة موصى بها. أما التكامل المستمر فكان فاشلًا في تشغيلة واحدة (33861709388) عند خطوة «تحقق الدومين والنموذج» — وقد أُعيد إنتاج الخرق محليًا: خرق prettier واحد في ملف اختبار الطلبات. وفروع قديمة من برنامج سابق (agent/group4-final-acceptance وأخواتها) تبيّن أنها من سلالة ما قبل هذا البرنامج فتُركت دون مساس.</w:t>
      </w:r>
    </w:p>
    <w:p>
      <w:pPr>
        <w:pStyle w:val="Heading1"/>
        <w:bidi/>
        <w:spacing w:after="160" w:before="360" w:line="380" w:lineRule="atLeast"/>
        <w:jc w:val="start"/>
      </w:pPr>
      <w:bookmarkStart w:id="100002" w:name="_Toc100002"/>
      <w:r>
        <w:rPr>
          <w:rFonts w:ascii="Arial" w:cs="Arial" w:eastAsia="Arial" w:hAnsi="Arial"/>
          <w:b/>
          <w:bCs/>
          <w:i w:val="false"/>
          <w:iCs w:val="false"/>
          <w:color w:val="1A1A1A"/>
          <w:sz w:val="30"/>
          <w:szCs w:val="30"/>
          <w:rtl/>
        </w:rPr>
        <w:t xml:space="preserve">الإصلاحات المطبقة على العمل المحفوظ</w:t>
      </w:r>
      <w:bookmarkEnd w:id="100002"/>
    </w:p>
    <w:p>
      <w:pPr>
        <w:keepNext/>
        <w:bidi/>
        <w:spacing w:after="80" w:before="160"/>
        <w:jc w:val="start"/>
      </w:pPr>
      <w:r>
        <w:rPr>
          <w:rFonts w:ascii="Arial" w:cs="Arial" w:eastAsia="Arial" w:hAnsi="Arial"/>
          <w:b/>
          <w:bCs/>
          <w:i w:val="false"/>
          <w:iCs w:val="false"/>
          <w:color w:val="606060"/>
          <w:sz w:val="21"/>
          <w:szCs w:val="21"/>
          <w:rtl/>
        </w:rPr>
        <w:t xml:space="preserve">الجدول 1: إصلاحات المراجعة الخصومية (4-c) الستة وما رافقها</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30%"/>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الإصلاح</w:t>
            </w:r>
          </w:p>
        </w:tc>
        <w:tc>
          <w:tcPr>
            <w:tcW w:type="pct" w:w="70%"/>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ما تغيّر</w:t>
            </w:r>
          </w:p>
        </w:tc>
      </w:tr>
      <w:tr>
        <w:trPr>
          <w:cantSplit/>
        </w:trPr>
        <w:tc>
          <w:tcPr>
            <w:tcW w:type="pct" w:w="NaNاش"/>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كشف الكاش</w:t>
            </w:r>
          </w:p>
        </w:tc>
      </w:tr>
      <w:tr>
        <w:trPr>
          <w:cantSplit/>
        </w:trPr>
        <w:tc>
          <w:tcPr>
            <w:tcW w:type="pct" w:w="NaNلب"/>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مدقق الاستيراد</w:t>
            </w:r>
          </w:p>
        </w:tc>
      </w:tr>
      <w:tr>
        <w:trPr>
          <w:cantSplit/>
        </w:trPr>
        <w:tc>
          <w:tcPr>
            <w:tcW w:type="pct" w:w="NaNm)"/>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مسارات الرجوع</w:t>
            </w:r>
          </w:p>
        </w:tc>
      </w:tr>
      <w:tr>
        <w:trPr>
          <w:cantSplit/>
        </w:trPr>
        <w:tc>
          <w:tcPr>
            <w:tcW w:type="pct" w:w="NaNير"/>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سطح تصحيح الاقتناء</w:t>
            </w:r>
          </w:p>
        </w:tc>
      </w:tr>
      <w:tr>
        <w:trPr>
          <w:cantSplit/>
        </w:trPr>
        <w:tc>
          <w:tcPr>
            <w:tcW w:type="pct" w:w="NaNلف"/>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MIC-13</w:t>
            </w:r>
          </w:p>
        </w:tc>
      </w:tr>
      <w:tr>
        <w:trPr>
          <w:cantSplit/>
        </w:trPr>
        <w:tc>
          <w:tcPr>
            <w:tcW w:type="pct" w:w="NaNوم"/>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تاريخ الإهلاك</w:t>
            </w:r>
          </w:p>
        </w:tc>
      </w:tr>
      <w:tr>
        <w:trPr>
          <w:cantSplit/>
        </w:trPr>
        <w:tc>
          <w:tcPr>
            <w:tcW w:type="pct" w:w="NaNاء"/>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موصى بها طُبقت</w:t>
            </w:r>
          </w:p>
        </w:tc>
      </w:tr>
    </w:tbl>
    <w:p>
      <w:pPr>
        <w:bidi/>
        <w:spacing w:after="120" w:line="312"/>
        <w:jc w:val="start"/>
      </w:pPr>
      <w:r>
        <w:rPr>
          <w:rFonts w:ascii="Arial" w:cs="Arial" w:eastAsia="Arial" w:hAnsi="Arial"/>
          <w:b w:val="false"/>
          <w:bCs w:val="false"/>
          <w:i w:val="false"/>
          <w:iCs w:val="false"/>
          <w:color w:val="000000"/>
          <w:sz w:val="24"/>
          <w:szCs w:val="24"/>
          <w:rtl/>
        </w:rPr>
        <w:t xml:space="preserve">ثم أكملت مراجعة 4-d (أتمتة المخزون + تجربة RTL) التدقيق فوجدت بوليصين جراحيين: نافذة متصفح متبقية في تراجع دفعة القرض، وأرقام عربية هندية في سطرين ظاهرين — فأصلحا مع توحيد الأرقام الظاهرة إنجليزية (بين 1 و600، والمثال 500 لا 450) ووصف المسار الحقيقي للمجهول (ترك الحقل فارغًا). وتلاها فحص 4-e الخصومي النهائي الذي أعاد تنفيذ كل البوابات بنفسه فحكم «جاهز للتكامل والدمج» بلا أي إصلاح مطلوب.</w:t>
      </w:r>
    </w:p>
    <w:p>
      <w:pPr>
        <w:pStyle w:val="Heading1"/>
        <w:bidi/>
        <w:spacing w:after="160" w:before="360" w:line="380" w:lineRule="atLeast"/>
        <w:jc w:val="start"/>
      </w:pPr>
      <w:bookmarkStart w:id="100003" w:name="_Toc100003"/>
      <w:r>
        <w:rPr>
          <w:rFonts w:ascii="Arial" w:cs="Arial" w:eastAsia="Arial" w:hAnsi="Arial"/>
          <w:b/>
          <w:bCs/>
          <w:i w:val="false"/>
          <w:iCs w:val="false"/>
          <w:color w:val="1A1A1A"/>
          <w:sz w:val="30"/>
          <w:szCs w:val="30"/>
          <w:rtl/>
        </w:rPr>
        <w:t xml:space="preserve">عقد الأصول والإهلاك</w:t>
      </w:r>
      <w:bookmarkEnd w:id="100003"/>
    </w:p>
    <w:p>
      <w:pPr>
        <w:bidi/>
        <w:spacing w:after="120" w:line="312"/>
        <w:jc w:val="start"/>
      </w:pPr>
      <w:r>
        <w:rPr>
          <w:rFonts w:ascii="Arial" w:cs="Arial" w:eastAsia="Arial" w:hAnsi="Arial"/>
          <w:b w:val="false"/>
          <w:bCs w:val="false"/>
          <w:i w:val="false"/>
          <w:iCs w:val="false"/>
          <w:color w:val="000000"/>
          <w:sz w:val="24"/>
          <w:szCs w:val="24"/>
          <w:rtl/>
        </w:rPr>
        <w:t xml:space="preserve">الاقتناء حدث مالي واحد بأثر معلن: نقدي فينزل الكاش ويرتفع الدفتري، أو بالذمم فيرتفع التزام والأصل معًا — وليس مصروفًا تشغيليًا في الحالين (دلتا المصروف صفرية بنيويًا). الإهلاك قسط خط مستقيم بأرضية القسمة واجتساب الشهر الأخير فيطابق مجموع الأقساط قيمة الاقتناء تمامًا؛ غير نقدي (لا يمس الكاش) ودخوله للنتيجة بند فترة مستقل لا مصروفًا؛ والبداية المتأخرة تؤجل القسط الأول بصدق. العمر أو البداية المجهولة تبقيان مجهولتين حتى مراجعة موثقة، والتعديل لا يمس المسجّل سابقًا. التخلص بمقابل نقدي يحمل مبلغين معلنين (المقابل والدفتري المجمّد في السياق) فيظهر الفرق ربحًا أو خسارة، والشطب خسارة دفترية غير نقدية. والتصحيح عكس وبديل ذرّي يحفظ الأصل في التاريخ ويُعيد توجيه السجل للبديل — ودفتري اليوم قراءة مشتقة لا حقلًا مخزنًا.</w:t>
      </w:r>
    </w:p>
    <w:p>
      <w:pPr>
        <w:bidi/>
        <w:spacing w:after="120" w:line="312"/>
        <w:jc w:val="start"/>
      </w:pPr>
      <w:r>
        <w:rPr>
          <w:rFonts w:ascii="Arial" w:cs="Arial" w:eastAsia="Arial" w:hAnsi="Arial"/>
          <w:b w:val="false"/>
          <w:bCs w:val="false"/>
          <w:i w:val="false"/>
          <w:iCs w:val="false"/>
          <w:color w:val="000000"/>
          <w:sz w:val="24"/>
          <w:szCs w:val="24"/>
          <w:rtl/>
        </w:rPr>
        <w:t xml:space="preserve">رحلة السطح العربي: «هذا الشيء للاستخدام لفترة طويلة؟» — نعم فيُسأل عمره المتوقع (فارغ = مجهول صادق) وبداية استخدامه، ولا فيُحجب الحفظ ويُرشد لمسار «تسجيل مصروف» حيث ينتمي. قبل الحفظ تظهر المعاينة: «يخرج X د.أ من الكاش» و«لا يُسجَّل مصروفًا هذا الشهر». وفي التفاصيل: الدفتري اليوم والإهلاك المسجّل، والمستحق حتى تاريخ يختاره المالك، وتعديل العقد، والتخلص والشطب باقتصاد معلن، وتاريخ الأحداث كاملًا بوسم المعكوس لاحقًا وتراجعٍ بسببٍ داخل الصف.</w:t>
      </w:r>
    </w:p>
    <w:p>
      <w:pPr>
        <w:pStyle w:val="Heading1"/>
        <w:bidi/>
        <w:spacing w:after="160" w:before="360" w:line="380" w:lineRule="atLeast"/>
        <w:jc w:val="start"/>
      </w:pPr>
      <w:bookmarkStart w:id="100004" w:name="_Toc100004"/>
      <w:r>
        <w:rPr>
          <w:rFonts w:ascii="Arial" w:cs="Arial" w:eastAsia="Arial" w:hAnsi="Arial"/>
          <w:b/>
          <w:bCs/>
          <w:i w:val="false"/>
          <w:iCs w:val="false"/>
          <w:color w:val="1A1A1A"/>
          <w:sz w:val="30"/>
          <w:szCs w:val="30"/>
          <w:rtl/>
        </w:rPr>
        <w:t xml:space="preserve">عقد القروض والعربون المحتفظ به</w:t>
      </w:r>
      <w:bookmarkEnd w:id="100004"/>
    </w:p>
    <w:p>
      <w:pPr>
        <w:bidi/>
        <w:spacing w:after="120" w:line="312"/>
        <w:jc w:val="start"/>
      </w:pPr>
      <w:r>
        <w:rPr>
          <w:rFonts w:ascii="Arial" w:cs="Arial" w:eastAsia="Arial" w:hAnsi="Arial"/>
          <w:b w:val="false"/>
          <w:bCs w:val="false"/>
          <w:i w:val="false"/>
          <w:iCs w:val="false"/>
          <w:color w:val="000000"/>
          <w:sz w:val="24"/>
          <w:szCs w:val="24"/>
          <w:rtl/>
        </w:rPr>
        <w:t xml:space="preserve">القرض الصادر ليس مصروفًا ولا سحب مالك: أصل القرض ينزل من الكاش ويرتفع رصيد القرض (عمود قروض مستقل)، والسداد يعيد الكاش ويخفض الرصيد — وليس إيرانًا قط. المتبقي والمدفوع والحالة مشتقة عند القراءة لا مخزنة، والسداد لا يتجاوز المتبقي (رسالة الرفض بالعربية الدقيقة)، والتكرار آمن بمفاتيح حتمية، والقرض المسدَّد يبقى مرئيًا في التاريخ. التصحيح عكس وبديل لأصل القرض بأثر لا يمس الربح ولا السداد، ويرفض ما دون المسدد وما بلا تغيير فعلي. السطح: محرر كامل «هل أعطيت هذا المبلغ كقرض؟» مع معاينة «لا يُخصم من ربحك — مالك ما زال لك، لكن عند غيره»، وتفاصيل بثلاثة أرقام وتاريخ دفعات بتراجع موثق، وورقة سداد سفلية (الورقة الوحيدة الجديدة) بحارس التجاوز وزر سداد كامل المتبقي، وطبقة «القروض» في مالي.</w:t>
      </w:r>
    </w:p>
    <w:p>
      <w:pPr>
        <w:bidi/>
        <w:spacing w:after="120" w:line="312"/>
        <w:jc w:val="start"/>
      </w:pPr>
      <w:r>
        <w:rPr>
          <w:rFonts w:ascii="Arial" w:cs="Arial" w:eastAsia="Arial" w:hAnsi="Arial"/>
          <w:b w:val="false"/>
          <w:bCs w:val="false"/>
          <w:i w:val="false"/>
          <w:iCs w:val="false"/>
          <w:color w:val="000000"/>
          <w:sz w:val="24"/>
          <w:szCs w:val="24"/>
          <w:rtl/>
        </w:rPr>
        <w:t xml:space="preserve">العربون المحتفظ به ثلاث نتائج صريحة لا رابع لها: معلق (الافتراضي الآمن — الإلغاء وحده لا يفسر معناه أبدًا) ومال مالك وإيران مشروع. القرار حدث مالي بسياق الطلب المصدر إلزاميًا وسبب مكتوب؛ والإيران يعترف مرة واحدة ولا يحرك الكاش مجددًا (دخل سابقًا — لا ازدواج)، ومال المالك يعلن ملكه دون سحب. المعلق مرئي وقابل للفعل في الطلب («شو بدك تعمل بالعربون المحتفظ به؟» + «أو اتركه معلقًا») وفي طبقة مالي، وطبقة مركز مستقلة. وإعادة التصنيف عكس وبديل يحفظ الحدث الأول والقرار معًا، والمدقق المستورد يرفض عربونًا بلا طلب موجود في الملف.</w:t>
      </w:r>
    </w:p>
    <w:p>
      <w:pPr>
        <w:pStyle w:val="Heading1"/>
        <w:bidi/>
        <w:spacing w:after="160" w:before="360" w:line="380" w:lineRule="atLeast"/>
        <w:jc w:val="start"/>
      </w:pPr>
      <w:bookmarkStart w:id="100005" w:name="_Toc100005"/>
      <w:r>
        <w:rPr>
          <w:rFonts w:ascii="Arial" w:cs="Arial" w:eastAsia="Arial" w:hAnsi="Arial"/>
          <w:b/>
          <w:bCs/>
          <w:i w:val="false"/>
          <w:iCs w:val="false"/>
          <w:color w:val="1A1A1A"/>
          <w:sz w:val="30"/>
          <w:szCs w:val="30"/>
          <w:rtl/>
        </w:rPr>
        <w:t xml:space="preserve">أتمتة الخصم عند التسليم والهدر</w:t>
      </w:r>
      <w:bookmarkEnd w:id="100005"/>
    </w:p>
    <w:p>
      <w:pPr>
        <w:bidi/>
        <w:spacing w:after="120" w:line="312"/>
        <w:jc w:val="start"/>
      </w:pPr>
      <w:r>
        <w:rPr>
          <w:rFonts w:ascii="Arial" w:cs="Arial" w:eastAsia="Arial" w:hAnsi="Arial"/>
          <w:b w:val="false"/>
          <w:bCs w:val="false"/>
          <w:i w:val="false"/>
          <w:iCs w:val="false"/>
          <w:color w:val="000000"/>
          <w:sz w:val="24"/>
          <w:szCs w:val="24"/>
          <w:rtl/>
        </w:rPr>
        <w:t xml:space="preserve">القاعدة الحتمية: فتح صفحة المراجعة لا يكتب شيئًا، وحفظ المسودة والتقدير لا يخصمان شيئًا، والخصم الوحيد يقع داخل تأكيد التسليم الواحد — معاملة IndexedDB واحدة على خمسة مخازن (الطلب وحركات الاستهلاك وسجلات النقص وتخصيص الكاش) كلها أو لا شيء. علم القالب «خصم تلقائي عند التسليم» إعلان صريح يظهر لافتته («الاقتراحات جاهزة ضمن تأكيد التسليم الواحد — بلا أثر عند فتح الصفحة») لا محرك خفي: المواد المتتبَّعة تعرض صفًا لكل مادة بكمية وقرار قابلين للتعديل قبل التأكيد. المفاتيح الحتمية ثلاثية الطبقات (حارس الخدمة، ومفتاح يحمل معرف حدث التسليم الحتمي، وازدواج مفتاح داخل المخزن) تجعل إعادة المحاولة والنقر المزدوج وإعادة التحميل بعد انقطاع إما إعادة استخدام صادقة أو إكمالًا لما نقص — لا تكرارًا أبدًا. النقص صريح بسجل معلن ورصيد لا يصير سالبًا، وغير المتتبَّعة «مرجع تكلفة فقط، لا حركة كمية» ويرفض أي فعل غير التجاوز، وعكس التسليم مرآة موثقة لكل حركة بعكس النقص نفسه. وأعيدت كتابة فحص MIC-13 ليحقق الربط فعلًا — الاستخراج القديم لم يكن يمسك شيئًا قط — واختبر سلبيًا. والهدر يبقى على عقد المجموعة الثانية (غير نقدي، مشتق، قابل للعكس) بينما شطب الأصل خسارة دفترية مستقلة، وجميع الأنواع التسعة الجديدة دلتا مصروفها صفر — لا مصروف تشغيلي مزدوج في أي مسار.</w:t>
      </w:r>
    </w:p>
    <w:p>
      <w:pPr>
        <w:pStyle w:val="Heading1"/>
        <w:bidi/>
        <w:spacing w:after="160" w:before="360" w:line="380" w:lineRule="atLeast"/>
        <w:jc w:val="start"/>
      </w:pPr>
      <w:bookmarkStart w:id="100006" w:name="_Toc100006"/>
      <w:r>
        <w:rPr>
          <w:rFonts w:ascii="Arial" w:cs="Arial" w:eastAsia="Arial" w:hAnsi="Arial"/>
          <w:b/>
          <w:bCs/>
          <w:i w:val="false"/>
          <w:iCs w:val="false"/>
          <w:color w:val="1A1A1A"/>
          <w:sz w:val="30"/>
          <w:szCs w:val="30"/>
          <w:rtl/>
        </w:rPr>
        <w:t xml:space="preserve">التحقق والبوابات</w:t>
      </w:r>
      <w:bookmarkEnd w:id="100006"/>
    </w:p>
    <w:p>
      <w:pPr>
        <w:keepNext/>
        <w:bidi/>
        <w:spacing w:after="80" w:before="160"/>
        <w:jc w:val="start"/>
      </w:pPr>
      <w:r>
        <w:rPr>
          <w:rFonts w:ascii="Arial" w:cs="Arial" w:eastAsia="Arial" w:hAnsi="Arial"/>
          <w:b/>
          <w:bCs/>
          <w:i w:val="false"/>
          <w:iCs w:val="false"/>
          <w:color w:val="606060"/>
          <w:sz w:val="21"/>
          <w:szCs w:val="21"/>
          <w:rtl/>
        </w:rPr>
        <w:t xml:space="preserve">الجدول 2: البوابات النهائية على رأس الدمج</w:t>
      </w:r>
    </w:p>
    <w:tbl>
      <w:tblPr>
        <w:bidiVisual/>
        <w:tblW w:type="pct" w:w="100%"/>
        <w:tblBorders>
          <w:top w:val="single" w:color="C9A84C" w:sz="2"/>
          <w:left w:val="none" w:color="FFFFFF" w:sz="0"/>
          <w:bottom w:val="single" w:color="C9A84C" w:sz="2"/>
          <w:right w:val="none" w:color="FFFFFF" w:sz="0"/>
          <w:insideH w:val="single" w:color="DDD5C0" w:sz="1"/>
          <w:insideV w:val="none" w:color="FFFFFF" w:sz="0"/>
        </w:tblBorders>
      </w:tblPr>
      <w:tblGrid>
        <w:gridCol w:w="100"/>
        <w:gridCol w:w="100"/>
      </w:tblGrid>
      <w:tr>
        <w:trPr>
          <w:cantSplit/>
          <w:tblHeader/>
        </w:trPr>
        <w:tc>
          <w:tcPr>
            <w:tcW w:type="pct" w:w="44%"/>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البوابة</w:t>
            </w:r>
          </w:p>
        </w:tc>
        <w:tc>
          <w:tcPr>
            <w:tcW w:type="pct" w:w="56%"/>
            <w:shd w:fill="C9A84C" w:val="clear"/>
            <w:tcMar>
              <w:top w:type="dxa" w:w="80"/>
              <w:left w:type="dxa" w:w="120"/>
              <w:bottom w:type="dxa" w:w="80"/>
              <w:right w:type="dxa" w:w="120"/>
            </w:tcMar>
          </w:tcPr>
          <w:p>
            <w:pPr>
              <w:bidi/>
              <w:spacing w:line="300"/>
              <w:jc w:val="start"/>
            </w:pPr>
            <w:r>
              <w:rPr>
                <w:rFonts w:ascii="Arial" w:cs="Arial" w:eastAsia="Arial" w:hAnsi="Arial"/>
                <w:b/>
                <w:bCs/>
                <w:i w:val="false"/>
                <w:iCs w:val="false"/>
                <w:color w:val="1A1A1A"/>
                <w:sz w:val="21"/>
                <w:szCs w:val="21"/>
                <w:rtl/>
              </w:rPr>
              <w:t xml:space="preserve">النتيجة</w:t>
            </w:r>
          </w:p>
        </w:tc>
      </w:tr>
      <w:tr>
        <w:trPr>
          <w:cantSplit/>
        </w:trPr>
        <w:tc>
          <w:tcPr>
            <w:tcW w:type="pct" w:w="NaNوج"/>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فحص الأنواع (الجذر + النموذج الأولي)</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lint</w:t>
            </w:r>
          </w:p>
        </w:tc>
      </w:tr>
      <w:tr>
        <w:trPr>
          <w:cantSplit/>
        </w:trPr>
        <w:tc>
          <w:tcPr>
            <w:tcW w:type="pct" w:w="NaNلح"/>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التنسيق (prettier)</w:t>
            </w:r>
          </w:p>
        </w:tc>
      </w:tr>
      <w:tr>
        <w:trPr>
          <w:cantSplit/>
        </w:trPr>
        <w:tc>
          <w:tcPr>
            <w:tcW w:type="pct" w:w="NaN1)"/>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الكثافة النصية</w:t>
            </w:r>
          </w:p>
        </w:tc>
      </w:tr>
      <w:tr>
        <w:trPr>
          <w:cantSplit/>
        </w:trPr>
        <w:tc>
          <w:tcPr>
            <w:tcW w:type="pct" w:w="NaNان"/>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حرّاس التصميم + stylelint</w:t>
            </w:r>
          </w:p>
        </w:tc>
      </w:tr>
      <w:tr>
        <w:trPr>
          <w:cantSplit/>
        </w:trPr>
        <w:tc>
          <w:tcPr>
            <w:tcW w:type="pct" w:w="NaNًا"/>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المجال</w:t>
            </w:r>
          </w:p>
        </w:tc>
      </w:tr>
      <w:tr>
        <w:trPr>
          <w:cantSplit/>
        </w:trPr>
        <w:tc>
          <w:tcPr>
            <w:tcW w:type="pct" w:w="NaNات"/>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اختبارات النموذج الأولي</w:t>
            </w:r>
          </w:p>
        </w:tc>
      </w:tr>
      <w:tr>
        <w:trPr>
          <w:cantSplit/>
        </w:trPr>
        <w:tc>
          <w:tcPr>
            <w:tcW w:type="pct" w:w="NaNن)"/>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البناء الإنتاجي</w:t>
            </w:r>
          </w:p>
        </w:tc>
      </w:tr>
      <w:tr>
        <w:trPr>
          <w:cantSplit/>
        </w:trPr>
        <w:tc>
          <w:tcPr>
            <w:tcW w:type="pct" w:w="NaNاء"/>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التدقيق الأمني للتبعيات</w:t>
            </w:r>
          </w:p>
        </w:tc>
      </w:tr>
      <w:tr>
        <w:trPr>
          <w:cantSplit/>
        </w:trPr>
        <w:tc>
          <w:tcPr>
            <w:tcW w:type="pct" w:w="NaNكة"/>
            <w:shd w:fill="F5F2E8"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فحوص الأمان في الفرق</w:t>
            </w:r>
          </w:p>
        </w:tc>
      </w:tr>
      <w:tr>
        <w:trPr>
          <w:cantSplit/>
        </w:trPr>
        <w:tc>
          <w:tcPr>
            <w:tcW w:type="pct" w:w="NaNقط"/>
            <w:shd w:fill="FFFFFF" w:val="clear"/>
            <w:tcMar>
              <w:top w:type="dxa" w:w="80"/>
              <w:left w:type="dxa" w:w="120"/>
              <w:bottom w:type="dxa" w:w="80"/>
              <w:right w:type="dxa" w:w="120"/>
            </w:tcMar>
          </w:tcPr>
          <w:p>
            <w:pPr>
              <w:bidi/>
              <w:spacing w:line="300"/>
              <w:jc w:val="start"/>
            </w:pPr>
            <w:r>
              <w:rPr>
                <w:rFonts w:ascii="Arial" w:cs="Arial" w:eastAsia="Arial" w:hAnsi="Arial"/>
                <w:b w:val="false"/>
                <w:bCs w:val="false"/>
                <w:i w:val="false"/>
                <w:iCs w:val="false"/>
                <w:color w:val="000000"/>
                <w:sz w:val="21"/>
                <w:szCs w:val="21"/>
                <w:rtl/>
              </w:rPr>
              <w:t xml:space="preserve">العودة للخلف (مجموعات 1–3)</w:t>
            </w:r>
          </w:p>
        </w:tc>
      </w:tr>
    </w:tbl>
    <w:p>
      <w:pPr>
        <w:pStyle w:val="Heading1"/>
        <w:bidi/>
        <w:spacing w:after="160" w:before="360" w:line="380" w:lineRule="atLeast"/>
        <w:jc w:val="start"/>
      </w:pPr>
      <w:bookmarkStart w:id="100007" w:name="_Toc100007"/>
      <w:r>
        <w:rPr>
          <w:rFonts w:ascii="Arial" w:cs="Arial" w:eastAsia="Arial" w:hAnsi="Arial"/>
          <w:b/>
          <w:bCs/>
          <w:i w:val="false"/>
          <w:iCs w:val="false"/>
          <w:color w:val="1A1A1A"/>
          <w:sz w:val="30"/>
          <w:szCs w:val="30"/>
          <w:rtl/>
        </w:rPr>
        <w:t xml:space="preserve">تكامل الاستمرار — التشخيص والحل</w:t>
      </w:r>
      <w:bookmarkEnd w:id="100007"/>
    </w:p>
    <w:p>
      <w:pPr>
        <w:bidi/>
        <w:spacing w:after="120" w:line="312"/>
        <w:jc w:val="start"/>
      </w:pPr>
      <w:r>
        <w:rPr>
          <w:rFonts w:ascii="Arial" w:cs="Arial" w:eastAsia="Arial" w:hAnsi="Arial"/>
          <w:b w:val="false"/>
          <w:bCs w:val="false"/>
          <w:i w:val="false"/>
          <w:iCs w:val="false"/>
          <w:color w:val="000000"/>
          <w:sz w:val="24"/>
          <w:szCs w:val="24"/>
          <w:rtl/>
        </w:rPr>
        <w:t xml:space="preserve">فشلت التشغيلة الأولى (33861709388) بخطوة «تحقق الدومين والنموذج»: خرق تنسيق prettier واحد في ملف اختبار واحد — عيب مصدر حقيقي أُعيد إنتاجه محليًا وأُصلح بدفعة الإصلاحات. ثم فشلت التشغيلة الثانية (33866384883) بخطوة «تدقيق التبعيات» انقطاع مقبس ثلاث مرات متتالية أمام نقطة نهاية التدقيق الأمني في سجل npm (ERR_SOCKET_TIMEOUT ×3) — عطل بنية تحتية مُوثق بالسجل الكامل (239 سطرًا): لا ثغرة وُجدت (التدقيق المحلي بنفس pnpm والقفل نظيف)، ومحاولة إعادة التشغيل بواجهة GitHub رُفضت بصلاحية الرمز (403)، فاستُخدمت الآلية المسموحة الوحيدة: دفعة إعادة تشغيل شفافة فارغة (455bb11) بلا أي تغيير في كود المنتج — سابقة المستودع نفسها من الطلبين 150 و151. فاخضرّت التشغيلة الثالثة (33867065062) بخطواتها كلها مع فحص Cloudflare Pages، ودامج الطلب 152 برأس main النهائي 05669a9 والمحلي والبعيد متطابقان والشجرة نظيفة. لم يُستعمل --admin ولا تجاوز حماية ولا دفع قسري ولا حذف اختبارات ولا كبت فحوص، ولم يقع دمج فوق فشل أحمر.</w:t>
      </w:r>
    </w:p>
    <w:p>
      <w:pPr>
        <w:pStyle w:val="Heading1"/>
        <w:bidi/>
        <w:spacing w:after="160" w:before="360" w:line="380" w:lineRule="atLeast"/>
        <w:jc w:val="start"/>
      </w:pPr>
      <w:bookmarkStart w:id="100008" w:name="_Toc100008"/>
      <w:r>
        <w:rPr>
          <w:rFonts w:ascii="Arial" w:cs="Arial" w:eastAsia="Arial" w:hAnsi="Arial"/>
          <w:b/>
          <w:bCs/>
          <w:i w:val="false"/>
          <w:iCs w:val="false"/>
          <w:color w:val="1A1A1A"/>
          <w:sz w:val="30"/>
          <w:szCs w:val="30"/>
          <w:rtl/>
        </w:rPr>
        <w:t xml:space="preserve">الخلاصة والحدود الصادقة</w:t>
      </w:r>
      <w:bookmarkEnd w:id="100008"/>
    </w:p>
    <w:p>
      <w:pPr>
        <w:bidi/>
        <w:spacing w:after="120" w:line="312"/>
        <w:jc w:val="start"/>
      </w:pPr>
      <w:r>
        <w:rPr>
          <w:rFonts w:ascii="Arial" w:cs="Arial" w:eastAsia="Arial" w:hAnsi="Arial"/>
          <w:b w:val="false"/>
          <w:bCs w:val="false"/>
          <w:i w:val="false"/>
          <w:iCs w:val="false"/>
          <w:color w:val="000000"/>
          <w:sz w:val="24"/>
          <w:szCs w:val="24"/>
          <w:rtl/>
        </w:rPr>
        <w:t xml:space="preserve">اكتملت المجموعة الرابعة استردادًا لا إعادة بناء: حُفظ التنفيذ كاملًا، وطُبقت إصلاحات المراجعات الخصومية الستة واثنان جراحيان بعدها، واخضرّت البوابات كلها محليًا وعلى التكامل، ودامج الطلب 152 إلى main عند 05669a9، وسُلمت هذه الحزمة إلى مستودع Documents. وتبقى حدود صادقة معلنة: علم الخصم التلقائي إعلان لا يميز افتراضات الصفوف (قرار موثق — الحركات داخل التأكيد الواحد)، ولوحة تصنيف العربون تصف الأثر كيفيًا دون سطر رقمي «سيؤثر على الرصيد كالتالي»، وجمعيات عربية ظرفية في بعض القوائم لا تتبع صيغة الجمع الموحدة، وسبب تصحيح واحد مشترك بين نماذج الأصل الثلاثة، وإسناد عربون الاتفاق لمحفظة لا يزال مؤجلًا (حد المجموعة الثالثة كما هو).</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888888"/>
        <w:sz w:val="18"/>
        <w:szCs w:val="18"/>
        <w:rtl/>
      </w:rPr>
      <w:t xml:space="preserve">تقرير استرداد وتنفيذ المجموعة الرابعة — برنامج النقل من Zman إلى Micro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1A1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استرداد وتنفيذ المجموعة الرابعة — التوسّع المالي العميق</dc:title>
  <dc:creator>Micro Group 4 Recovery Agent</dc:creator>
  <cp:lastModifiedBy>Un-named</cp:lastModifiedBy>
  <cp:revision>1</cp:revision>
  <dcterms:created xsi:type="dcterms:W3CDTF">2026-09-04T11:25:33.301Z</dcterms:created>
  <dcterms:modified xsi:type="dcterms:W3CDTF">2026-09-04T11:25:33.301Z</dcterms:modified>
</cp:coreProperties>
</file>

<file path=docProps/custom.xml><?xml version="1.0" encoding="utf-8"?>
<Properties xmlns="http://schemas.openxmlformats.org/officeDocument/2006/custom-properties" xmlns:vt="http://schemas.openxmlformats.org/officeDocument/2006/docPropsVTypes"/>
</file>