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175"/>
            </w:pPr>
          </w:p>
          <w:p>
            <w:pPr>
              <w:pBdr>
                <w:bottom w:val="single" w:color="C9A84C" w:sz="6" w:space="8"/>
              </w:pBdr>
              <w:bidi/>
              <w:spacing w:after="500"/>
              <w:ind w:left="800" w:right="1200"/>
              <w:jc w:val="start"/>
            </w:pPr>
            <w:r>
              <w:rPr>
                <w:rFonts w:ascii="Arial" w:cs="Arial" w:eastAsia="Arial" w:hAnsi="Arial"/>
                <w:color w:val="C9A84C"/>
                <w:spacing w:val="30"/>
                <w:sz w:val="18"/>
                <w:szCs w:val="18"/>
              </w:rPr>
              <w:t xml:space="preserve">G R O U P   3   I M P L E M E N T A T I O N   R E P O R T</w:t>
            </w:r>
          </w:p>
          <w:p>
            <w:pPr>
              <w:bidi/>
              <w:spacing w:after="100" w:line="828" w:lineRule="atLeast"/>
              <w:ind w:right="1200"/>
              <w:jc w:val="start"/>
            </w:pPr>
            <w:r>
              <w:rPr>
                <w:rFonts w:ascii="Arial" w:cs="Arial" w:eastAsia="Arial" w:hAnsi="Arial"/>
                <w:b/>
                <w:bCs/>
                <w:i w:val="false"/>
                <w:iCs w:val="false"/>
                <w:color w:val="FFFFFF"/>
                <w:sz w:val="72"/>
                <w:szCs w:val="72"/>
                <w:rtl/>
              </w:rPr>
              <w:t xml:space="preserve">تقرير تنفيذ المجموعة</w:t>
            </w:r>
          </w:p>
          <w:p>
            <w:pPr>
              <w:bidi/>
              <w:spacing w:after="300" w:line="828" w:lineRule="atLeast"/>
              <w:ind w:right="1200"/>
              <w:jc w:val="start"/>
            </w:pPr>
            <w:r>
              <w:rPr>
                <w:rFonts w:ascii="Arial" w:cs="Arial" w:eastAsia="Arial" w:hAnsi="Arial"/>
                <w:b/>
                <w:bCs/>
                <w:i w:val="false"/>
                <w:iCs w:val="false"/>
                <w:color w:val="FFFFFF"/>
                <w:sz w:val="72"/>
                <w:szCs w:val="72"/>
                <w:rtl/>
              </w:rPr>
              <w:t xml:space="preserve">الثالثة</w:t>
            </w:r>
          </w:p>
          <w:p>
            <w:pPr>
              <w:bidi/>
              <w:spacing w:after="800" w:line="340" w:lineRule="atLeast"/>
              <w:ind w:right="1200"/>
              <w:jc w:val="start"/>
            </w:pPr>
            <w:r>
              <w:rPr>
                <w:rFonts w:ascii="Arial" w:cs="Arial" w:eastAsia="Arial" w:hAnsi="Arial"/>
                <w:b w:val="false"/>
                <w:bCs w:val="false"/>
                <w:i w:val="false"/>
                <w:iCs w:val="false"/>
                <w:color w:val="B0B8C0"/>
                <w:sz w:val="24"/>
                <w:szCs w:val="24"/>
                <w:rtl/>
              </w:rPr>
              <w:t xml:space="preserve">التكلفة والمنتجات والطلبات والتسليم والبيع المباشر والتسوية — برنامج النقل من Zman إلى Micro</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المنتج: Micro — نظام مالية وتشغيل عربي RTL محلي أولًا</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المستودع: Qays7753/Micro · طلب الدمج #151</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رأس main النهائي: 67d4e41 (التنفيذ b6a100f · الأساس 1207a5a)</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التاريخ: 04/09/2026</w:t>
            </w:r>
          </w:p>
          <w:p>
            <w:pPr>
              <w:spacing w:before="4175"/>
            </w:pPr>
          </w:p>
          <w:p>
            <w:pPr>
              <w:pBdr>
                <w:top w:val="single" w:color="C9A84C" w:sz="2" w:space="8"/>
              </w:pBdr>
              <w:bidi/>
              <w:spacing w:before="200"/>
              <w:ind w:left="800" w:right="1200"/>
              <w:jc w:val="start"/>
            </w:pPr>
            <w:r>
              <w:rPr>
                <w:rFonts w:ascii="Arial" w:cs="Arial" w:eastAsia="Arial" w:hAnsi="Arial"/>
                <w:b w:val="false"/>
                <w:bCs w:val="false"/>
                <w:i w:val="false"/>
                <w:iCs w:val="false"/>
                <w:color w:val="687078"/>
                <w:sz w:val="16"/>
                <w:szCs w:val="16"/>
                <w:rtl/>
              </w:rPr>
              <w:t xml:space="preserve">Micro — شريك مشروعك</w:t>
            </w:r>
            <w:r>
              <w:t xml:space="preserve">                                   </w:t>
            </w:r>
            <w:r>
              <w:rPr>
                <w:rFonts w:ascii="Arial" w:cs="Arial" w:eastAsia="Arial" w:hAnsi="Arial"/>
                <w:color w:val="687078"/>
                <w:sz w:val="16"/>
                <w:szCs w:val="16"/>
              </w:rPr>
              <w:t xml:space="preserve">micro-group-3-cost-product-order-001</w:t>
            </w:r>
          </w:p>
        </w:tc>
      </w:tr>
    </w:tbl>
    <w:p>
      <w:pPr>
        <w:sectPr>
          <w:pgSz w:w="11906" w:h="16838" w:orient="portrait"/>
          <w:pgMar w:top="0" w:right="0" w:bottom="0" w:left="0" w:header="708" w:footer="708" w:gutter="0"/>
          <w:pgNumType/>
          <w:docGrid w:linePitch="360"/>
        </w:sectPr>
      </w:pPr>
    </w:p>
    <w:p>
      <w:pPr>
        <w:bidi/>
        <w:spacing w:after="360" w:before="480"/>
        <w:jc w:val="center"/>
      </w:pPr>
      <w:r>
        <w:rPr>
          <w:rFonts w:ascii="Arial" w:cs="Arial" w:eastAsia="Arial" w:hAnsi="Arial"/>
          <w:b/>
          <w:bCs/>
          <w:i w:val="false"/>
          <w:iCs w:val="false"/>
          <w:color w:val="000000"/>
          <w:sz w:val="32"/>
          <w:szCs w:val="32"/>
          <w:rtl/>
        </w:rPr>
        <w:t xml:space="preserve">المحتويات</w:t>
      </w:r>
    </w:p>
    <w:sdt>
      <w:sdtPr>
        <w:alias w:val="Table of Contents"/>
      </w:sdtPr>
      <w:sdtContent>
        <w:p>
          <w:r>
            <w:fldChar w:fldCharType="begin" w:dirty="true"/>
            <w:instrText xml:space="preserve">TOC \h \o "1-2"</w:instrText>
            <w:fldChar w:fldCharType="separate"/>
          </w:r>
        </w:p>
        <w:p>
          <w:r>
            <w:fldChar w:fldCharType="end"/>
          </w:r>
        </w:p>
      </w:sdtContent>
    </w:sdt>
    <w:p>
      <w:pPr>
        <w:bidi/>
        <w:spacing w:before="200"/>
      </w:pPr>
      <w:r>
        <w:rPr>
          <w:rFonts w:ascii="Arial" w:cs="Arial" w:eastAsia="Arial" w:hAnsi="Arial"/>
          <w:b w:val="false"/>
          <w:bCs w:val="false"/>
          <w:i/>
          <w:iCs/>
          <w:color w:val="888888"/>
          <w:sz w:val="18"/>
          <w:szCs w:val="18"/>
          <w:rtl/>
        </w:rPr>
        <w:t xml:space="preserve">ملاحظة: هذا الفهرس مولّد برموز الحقول؛ لضمان دقة أرقام الصفحات بعد أي تعديل انقر بزر الفأرة الأيمن على الفهرس واختر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80" w:lineRule="atLeast"/>
        <w:jc w:val="start"/>
      </w:pPr>
      <w:r>
        <w:rPr>
          <w:rFonts w:ascii="Arial" w:cs="Arial" w:eastAsia="Arial" w:hAnsi="Arial"/>
          <w:b/>
          <w:bCs/>
          <w:i w:val="false"/>
          <w:iCs w:val="false"/>
          <w:color w:val="1A1A1A"/>
          <w:sz w:val="30"/>
          <w:szCs w:val="30"/>
          <w:rtl/>
        </w:rPr>
        <w:t xml:space="preserve">الملخص التنفيذي</w:t>
      </w:r>
    </w:p>
    <w:p>
      <w:pPr>
        <w:bidi/>
        <w:spacing w:after="120" w:line="312"/>
        <w:jc w:val="start"/>
      </w:pPr>
      <w:r>
        <w:rPr>
          <w:rFonts w:ascii="Arial" w:cs="Arial" w:eastAsia="Arial" w:hAnsi="Arial"/>
          <w:b w:val="false"/>
          <w:bCs w:val="false"/>
          <w:i w:val="false"/>
          <w:iCs w:val="false"/>
          <w:color w:val="000000"/>
          <w:sz w:val="24"/>
          <w:szCs w:val="24"/>
          <w:rtl/>
        </w:rPr>
        <w:t xml:space="preserve">يسلّم هذا التقرير تنفيذ المجموعة الثالثة من برنامج نقل قدرات Zman إلى Micro: التكلفة والمنتجات والطلبات والتسليم والبيع المباشر والتسوية. جوهر المجموعة رحلة واحدة متصلة: يفهم المالك ما يبيعه، فيحسب تكلفته أو يقدّرها، فيعرّف منتج مدخلاته من الكتالوج والمواد، فينشئ الطلب ويسيّره من المسودة إلى الجاهزية، ثم يراجع قبل الالتزام — عند التسليم — السعر النهائي والمقبوض والعربون والمتبقي وأثر المخزون المقترح، فيؤكد مرة واحدة في معاملة ذرّية تُعرف فيها الإيراد مرة واحدة وتُخصم فيها المواد المتتبَّعة بقرار صريح لا خفيًا، ثم يُسوّى المتبقي بلا بيع ثانٍ، ويُصحَّح أي خطأ بعكس موثق يحفظ الأصل ويحيّد الأثر. التقدير ليس بيعًا، وتعريف المنتج ليس حركة مخزون، ووجود الطلب ليس إيرادًا، والعربون ليس ربحًا تلقائيًا، والتسوية لا تُنشئ بيعًا ثانيًا — وهذه كلها عقود مختبرة لا شعارات.</w:t>
      </w:r>
    </w:p>
    <w:p>
      <w:pPr>
        <w:bidi/>
        <w:spacing w:after="120" w:line="312"/>
        <w:jc w:val="start"/>
      </w:pPr>
      <w:r>
        <w:rPr>
          <w:rFonts w:ascii="Arial" w:cs="Arial" w:eastAsia="Arial" w:hAnsi="Arial"/>
          <w:b w:val="false"/>
          <w:bCs w:val="false"/>
          <w:i w:val="false"/>
          <w:iCs w:val="false"/>
          <w:color w:val="000000"/>
          <w:sz w:val="24"/>
          <w:szCs w:val="24"/>
          <w:rtl/>
        </w:rPr>
        <w:t xml:space="preserve">انطلق التنفيذ من حالة مستودع محققة: كانت المجموعة الأولى مدمجة عبر طلب الدمج 149 والمجموعة الثانية عبر طلب الدمج 150 عند رأس main ‏1207a5a ببوابات خضراء (239 اختبار مجال و643 اختبار نموذج أولي)، فبُني عقد التصميم D1–D7 على عشر فجوات حقيقية حصرها فريق الاستطلاع، لا على إعادة بناء ما قائم. ثم نُفذ: مراجعة التسليم سطحًا كاملًا قبل أي كتابة، والمعاملة الذرّية commitOrderDelivery في IndexedDB نفسها (الطلب وحركات الاستهلاك وسجلات النقص وتخصيص الكاش معًا أو لا شيء)، وعكس التسليم تصحيحًا موثقًا يحيّد الإيراد ويعكس الحركات مرآةً ولا يمس الكاش المقبوض، وهوية المادة في بنود التكلفة (قيم مجمّدة وهوية حية للربط)، وربط مكونات قالب المنتج بالمواد مع بنود اختيارية (عمل وتغليف وتوصيل وهدر وهامش)، وربط استهلاك البيع المباشر بمعرّف البيع عبر وصلة عميقة صريحة، ومقترحات المواد في الحاسبة بدليل مشترك واحد مع محرر التكلفة، وتحويل كل تحصيل من صفحة الطلب إلى ورقة التحصيل بوجهة محفظة معلنة.</w:t>
      </w:r>
    </w:p>
    <w:p>
      <w:pPr>
        <w:bidi/>
        <w:spacing w:after="120" w:line="312"/>
        <w:jc w:val="start"/>
      </w:pPr>
      <w:r>
        <w:rPr>
          <w:rFonts w:ascii="Arial" w:cs="Arial" w:eastAsia="Arial" w:hAnsi="Arial"/>
          <w:b w:val="false"/>
          <w:bCs w:val="false"/>
          <w:i w:val="false"/>
          <w:iCs w:val="false"/>
          <w:color w:val="000000"/>
          <w:sz w:val="24"/>
          <w:szCs w:val="24"/>
          <w:rtl/>
        </w:rPr>
        <w:t xml:space="preserve">البوابات خضراء بالكامل: فحص الأنواع مرتين، وlint بصفر أخطاء وعند سقف التحذيرات الأساس (37 تحذيرًا حرفيًا)، والكثافة النصية بكل الأسطح عند سقوفها المقاسة، وحرّاس التصميم، و246 اختبار مجال في 21 ملفًا و660 اختبار نموذج أولي في 102 ملفًا، وبناء إنتاجي مع PWA، ومراجعة خصومية SA-5 بحكم «لا حواجز» مع إصلاح كل ملاحظاتها المطلوبة والموصى بها قبل الدمج، ثم الدمج عبر طلب 151 بعد نجاح تكامل GitHub Actions فبلغ رأس main النهائي 67d4e41 والمحلي والبعيد متطابقان والشجرة نظيفة.</w:t>
      </w:r>
    </w:p>
    <w:p>
      <w:pPr>
        <w:pStyle w:val="Heading1"/>
        <w:bidi/>
        <w:spacing w:after="160" w:before="360" w:line="380" w:lineRule="atLeast"/>
        <w:jc w:val="start"/>
      </w:pPr>
      <w:r>
        <w:rPr>
          <w:rFonts w:ascii="Arial" w:cs="Arial" w:eastAsia="Arial" w:hAnsi="Arial"/>
          <w:b/>
          <w:bCs/>
          <w:i w:val="false"/>
          <w:iCs w:val="false"/>
          <w:color w:val="1A1A1A"/>
          <w:sz w:val="30"/>
          <w:szCs w:val="30"/>
          <w:rtl/>
        </w:rPr>
        <w:t xml:space="preserve">بوابة حالة الإنجاز</w:t>
      </w:r>
    </w:p>
    <w:p>
      <w:pPr>
        <w:bidi/>
        <w:spacing w:after="120" w:line="312"/>
        <w:jc w:val="start"/>
      </w:pPr>
      <w:r>
        <w:rPr>
          <w:rFonts w:ascii="Arial" w:cs="Arial" w:eastAsia="Arial" w:hAnsi="Arial"/>
          <w:b w:val="false"/>
          <w:bCs w:val="false"/>
          <w:i w:val="false"/>
          <w:iCs w:val="false"/>
          <w:color w:val="000000"/>
          <w:sz w:val="24"/>
          <w:szCs w:val="24"/>
          <w:rtl/>
        </w:rPr>
        <w:t xml:space="preserve">قبل أي تعديل فُحص المستودع الفعلي لا رسائل التقدم: رأس main البعيد والمحلي عند 1207a5a متطابقين، ولا فروع استرداد للمجموعة الثالثة (فرع agent/group3-tools-products-orders البعيد يعود للبرنامج السابق المدمج سلفًا عبر الطلبات 142–148)، ولا تغييرات غير ملتزمة ولا ملفات غير متتبعة ولا مخازن مؤقتة ولا أشجار عمل موازية، وفرق G3.dom.test القائم من البرنامج السابق. فالمجموعة الثالثة لهذا البرنامج كانت «غير منفذة» تمامًا، وأُكملت من الصفر على أساس الموجود القائم — بلا ازدواج أي مخزن أو خدمة أو نموذج، وهو بند دُقق خصوميًا في المراجعة الخصومية.</w:t>
      </w:r>
    </w:p>
    <w:p>
      <w:pPr>
        <w:pStyle w:val="Heading1"/>
        <w:bidi/>
        <w:spacing w:after="160" w:before="360" w:line="380" w:lineRule="atLeast"/>
        <w:jc w:val="start"/>
      </w:pPr>
      <w:r>
        <w:rPr>
          <w:rFonts w:ascii="Arial" w:cs="Arial" w:eastAsia="Arial" w:hAnsi="Arial"/>
          <w:b/>
          <w:bCs/>
          <w:i w:val="false"/>
          <w:iCs w:val="false"/>
          <w:color w:val="1A1A1A"/>
          <w:sz w:val="30"/>
          <w:szCs w:val="30"/>
          <w:rtl/>
        </w:rPr>
        <w:t xml:space="preserve">نطاق التنفيذ</w:t>
      </w:r>
    </w:p>
    <w:p>
      <w:pPr>
        <w:keepNext/>
        <w:bidi/>
        <w:spacing w:after="80" w:before="160"/>
        <w:jc w:val="start"/>
      </w:pPr>
      <w:r>
        <w:rPr>
          <w:rFonts w:ascii="Arial" w:cs="Arial" w:eastAsia="Arial" w:hAnsi="Arial"/>
          <w:b/>
          <w:bCs/>
          <w:i w:val="false"/>
          <w:iCs w:val="false"/>
          <w:color w:val="606060"/>
          <w:sz w:val="21"/>
          <w:szCs w:val="21"/>
          <w:rtl/>
        </w:rPr>
        <w:t xml:space="preserve">الجدول 1: بنود نطاق المجموعة الثالثة ومسار تنفيذها</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34%"/>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البند</w:t>
            </w:r>
          </w:p>
        </w:tc>
        <w:tc>
          <w:tcPr>
            <w:tcW w:type="pct" w:w="66%"/>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ما نُفّذ</w:t>
            </w:r>
          </w:p>
        </w:tc>
      </w:tr>
      <w:tr>
        <w:trPr>
          <w:cantSplit/>
        </w:trPr>
        <w:tc>
          <w:tcPr>
            <w:tcW w:type="pct" w:w="NaNير"/>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الحاسبة وترتيب تكلفة الطلب (§5.1)</w:t>
            </w:r>
          </w:p>
        </w:tc>
      </w:tr>
      <w:tr>
        <w:trPr>
          <w:cantSplit/>
        </w:trPr>
        <w:tc>
          <w:tcPr>
            <w:tcW w:type="pct" w:w="NaNعر"/>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تعريف المنتج أو الخدمة (§5.2)</w:t>
            </w:r>
          </w:p>
        </w:tc>
      </w:tr>
      <w:tr>
        <w:trPr>
          <w:cantSplit/>
        </w:trPr>
        <w:tc>
          <w:tcPr>
            <w:tcW w:type="pct" w:w="NaNعة"/>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ثبات نسخة التكلفة (§5.3)</w:t>
            </w:r>
          </w:p>
        </w:tc>
      </w:tr>
      <w:tr>
        <w:trPr>
          <w:cantSplit/>
        </w:trPr>
        <w:tc>
          <w:tcPr>
            <w:tcW w:type="pct" w:w="NaNيل"/>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دورة حياة الطلب (§5.4–5.5)</w:t>
            </w:r>
          </w:p>
        </w:tc>
      </w:tr>
      <w:tr>
        <w:trPr>
          <w:cantSplit/>
        </w:trPr>
        <w:tc>
          <w:tcPr>
            <w:tcW w:type="pct" w:w="NaNب)"/>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البيع المباشر (§5.6)</w:t>
            </w:r>
          </w:p>
        </w:tc>
      </w:tr>
      <w:tr>
        <w:trPr>
          <w:cantSplit/>
        </w:trPr>
        <w:tc>
          <w:tcPr>
            <w:tcW w:type="pct" w:w="NaNاع"/>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مراجعة التسليم وإتمامه (§5.7–5.8)</w:t>
            </w:r>
          </w:p>
        </w:tc>
      </w:tr>
      <w:tr>
        <w:trPr>
          <w:cantSplit/>
        </w:trPr>
        <w:tc>
          <w:tcPr>
            <w:tcW w:type="pct" w:w="NaNقة"/>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العربون والتسوية (§5.9–5.10)</w:t>
            </w:r>
          </w:p>
        </w:tc>
      </w:tr>
      <w:tr>
        <w:trPr>
          <w:cantSplit/>
        </w:trPr>
        <w:tc>
          <w:tcPr>
            <w:tcW w:type="pct" w:w="NaNًا"/>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تكامل المخزون (§5.11)</w:t>
            </w:r>
          </w:p>
        </w:tc>
      </w:tr>
      <w:tr>
        <w:trPr>
          <w:cantSplit/>
        </w:trPr>
        <w:tc>
          <w:tcPr>
            <w:tcW w:type="pct" w:w="NaNته"/>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الإلغاء والتصحيح والعكس (§5.12)</w:t>
            </w:r>
          </w:p>
        </w:tc>
      </w:tr>
      <w:tr>
        <w:trPr>
          <w:cantSplit/>
        </w:trPr>
        <w:tc>
          <w:tcPr>
            <w:tcW w:type="pct" w:w="NaNًا"/>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البيانات والترحيل (§7)</w:t>
            </w:r>
          </w:p>
        </w:tc>
      </w:tr>
    </w:tbl>
    <w:p>
      <w:pPr>
        <w:pStyle w:val="Heading1"/>
        <w:bidi/>
        <w:spacing w:after="160" w:before="360" w:line="380" w:lineRule="atLeast"/>
        <w:jc w:val="start"/>
      </w:pPr>
      <w:r>
        <w:rPr>
          <w:rFonts w:ascii="Arial" w:cs="Arial" w:eastAsia="Arial" w:hAnsi="Arial"/>
          <w:b/>
          <w:bCs/>
          <w:i w:val="false"/>
          <w:iCs w:val="false"/>
          <w:color w:val="1A1A1A"/>
          <w:sz w:val="30"/>
          <w:szCs w:val="30"/>
          <w:rtl/>
        </w:rPr>
        <w:t xml:space="preserve">معاملة التسليم الذرّية وعكسها</w:t>
      </w:r>
    </w:p>
    <w:p>
      <w:pPr>
        <w:bidi/>
        <w:spacing w:after="120" w:line="312"/>
        <w:jc w:val="start"/>
      </w:pPr>
      <w:r>
        <w:rPr>
          <w:rFonts w:ascii="Arial" w:cs="Arial" w:eastAsia="Arial" w:hAnsi="Arial"/>
          <w:b w:val="false"/>
          <w:bCs w:val="false"/>
          <w:i w:val="false"/>
          <w:iCs w:val="false"/>
          <w:color w:val="000000"/>
          <w:sz w:val="24"/>
          <w:szCs w:val="24"/>
          <w:rtl/>
        </w:rPr>
        <w:t xml:space="preserve">قلب المجموعة قرار واحد: لا تسليم بنقرة. صفحة الطلب الجاهز تعرض زر «راجع التسليم وسجّله» يفتح سطح المراجعة الكامل، فلا يُخصم مخزون ولا يُعرف إيراد ولا يُقبض كاش لمجرد فتح الشاشة. عند التأكيد تبني الخدمة الطلب بنقل المجال الموثق (مع تصحيح سعر اختياري موثق إن تغير)، ثم تبني حركات الاستهلاك بقيم مشتقة من مواضع المواد (متوسط قائم، وتكلفة مجهولة موسومة لا صفرًا)، وسجلات النقص إن نقص المطلوب عن المتاح، وقبضة على الطلب نفسه إن اختير القبض، وقيود تخصيص المحفظة — ثم تكتبها كلها في معاملة IndexedDB واحدة على خمسة مخازن، بفحوص هوية داخل المعاملة ومفاتيح عملية حتمية تجعل إعادة المحاولة والنقر المزدوج وإعادة التحميل بعد انقطاع إما إعادة استخدام صادقة أو إكمالًا لما نقص — لا تكرارًا أبدًا. وقد كشفت الاختبارات الجديدة خلال التنفيذ خللين حقيقيين وأصلحتهما: تصادم مفتاح الجاهزية والتسليم كان يجعل إعادة التنفيذ بعد العكس إعادة تشغيل صامتة بلا أثر، ومقارنة إعادة الاستخدام في المخزن كانت تطابق أي حدث تسليم تاريخي فتُهمل كتابة التسليم الثاني — وكلاهما الآن بمفاتيح لكل محاولة ومقارنة على آخر حدث تسليم.</w:t>
      </w:r>
    </w:p>
    <w:p>
      <w:pPr>
        <w:bidi/>
        <w:spacing w:after="120" w:line="312"/>
        <w:jc w:val="start"/>
      </w:pPr>
      <w:r>
        <w:rPr>
          <w:rFonts w:ascii="Arial" w:cs="Arial" w:eastAsia="Arial" w:hAnsi="Arial"/>
          <w:b w:val="false"/>
          <w:bCs w:val="false"/>
          <w:i w:val="false"/>
          <w:iCs w:val="false"/>
          <w:color w:val="000000"/>
          <w:sz w:val="24"/>
          <w:szCs w:val="24"/>
          <w:rtl/>
        </w:rPr>
        <w:t xml:space="preserve">أما عكس التسليم فتصحيح موثق لا حذف: يبقى حدث التسليم وأثره في السجل، ويُحيَّد الإيراد المعروف والتكلفة المعروفة إلى غياب المعرفة (النتيجة «تحتاج مراجعة» لا صفر واثق)، وتُعكس كل حركات استهلاك هذا التسليم مرآةً فيرجع رصيد المخزون، ويبقى الكاش المقبوض كما هو (لعكس القبضة مساره الخاص)، وينتقل الطلب إلى «يحتاج مراجعة» يفتح قفلَها العكسُ الموثق وحده — فيستأنف المالك التنفيذ بقرار صريح أو يلغي موثقًا، وإعادة التسليم بعدها تسليم جديد بمفتاح جديد وإيراده معترف مرة أخرى (صافي الأثر: إيراد تسليم واحد قائم). وقراءة الفترة صادقة: الطلب المعكوس يخرج من النهائيات فلا يُحتسب إيراده ولا تكلفته، والحركات معكوسة فلا يفقد المخزون شيئًا.</w:t>
      </w:r>
    </w:p>
    <w:p>
      <w:pPr>
        <w:pStyle w:val="Heading1"/>
        <w:bidi/>
        <w:spacing w:after="160" w:before="360" w:line="380" w:lineRule="atLeast"/>
        <w:jc w:val="start"/>
      </w:pPr>
      <w:r>
        <w:rPr>
          <w:rFonts w:ascii="Arial" w:cs="Arial" w:eastAsia="Arial" w:hAnsi="Arial"/>
          <w:b/>
          <w:bCs/>
          <w:i w:val="false"/>
          <w:iCs w:val="false"/>
          <w:color w:val="1A1A1A"/>
          <w:sz w:val="30"/>
          <w:szCs w:val="30"/>
          <w:rtl/>
        </w:rPr>
        <w:t xml:space="preserve">التحقق والاختبارات</w:t>
      </w:r>
    </w:p>
    <w:p>
      <w:pPr>
        <w:keepNext/>
        <w:bidi/>
        <w:spacing w:after="80" w:before="160"/>
        <w:jc w:val="start"/>
      </w:pPr>
      <w:r>
        <w:rPr>
          <w:rFonts w:ascii="Arial" w:cs="Arial" w:eastAsia="Arial" w:hAnsi="Arial"/>
          <w:b/>
          <w:bCs/>
          <w:i w:val="false"/>
          <w:iCs w:val="false"/>
          <w:color w:val="606060"/>
          <w:sz w:val="21"/>
          <w:szCs w:val="21"/>
          <w:rtl/>
        </w:rPr>
        <w:t xml:space="preserve">الجدول 2: بوابات التحقق النهائية على رأس main المدمج</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44%"/>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البوابة</w:t>
            </w:r>
          </w:p>
        </w:tc>
        <w:tc>
          <w:tcPr>
            <w:tcW w:type="pct" w:w="56%"/>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النتيجة</w:t>
            </w:r>
          </w:p>
        </w:tc>
      </w:tr>
      <w:tr>
        <w:trPr>
          <w:cantSplit/>
        </w:trPr>
        <w:tc>
          <w:tcPr>
            <w:tcW w:type="pct" w:w="NaNاح"/>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فحص الأنواع (الجذر + النموذج الأولي)</w:t>
            </w:r>
          </w:p>
        </w:tc>
      </w:tr>
      <w:tr>
        <w:trPr>
          <w:cantSplit/>
        </w:trPr>
        <w:tc>
          <w:tcPr>
            <w:tcW w:type="pct" w:w="NaNف)"/>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lint</w:t>
            </w:r>
          </w:p>
        </w:tc>
      </w:tr>
      <w:tr>
        <w:trPr>
          <w:cantSplit/>
        </w:trPr>
        <w:tc>
          <w:tcPr>
            <w:tcW w:type="pct" w:w="NaN8)"/>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الكثافة النصية</w:t>
            </w:r>
          </w:p>
        </w:tc>
      </w:tr>
      <w:tr>
        <w:trPr>
          <w:cantSplit/>
        </w:trPr>
        <w:tc>
          <w:tcPr>
            <w:tcW w:type="pct" w:w="NaNب)"/>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المجال</w:t>
            </w:r>
          </w:p>
        </w:tc>
      </w:tr>
      <w:tr>
        <w:trPr>
          <w:cantSplit/>
        </w:trPr>
        <w:tc>
          <w:tcPr>
            <w:tcW w:type="pct" w:w="NaN1)"/>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النموذج الأولي</w:t>
            </w:r>
          </w:p>
        </w:tc>
      </w:tr>
      <w:tr>
        <w:trPr>
          <w:cantSplit/>
        </w:trPr>
        <w:tc>
          <w:tcPr>
            <w:tcW w:type="pct" w:w="NaNن)"/>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البناء الإنتاجي</w:t>
            </w:r>
          </w:p>
        </w:tc>
      </w:tr>
      <w:tr>
        <w:trPr>
          <w:cantSplit/>
        </w:trPr>
        <w:tc>
          <w:tcPr>
            <w:tcW w:type="pct" w:w="NaNمج"/>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المراجعة الخصومية SA-5</w:t>
            </w:r>
          </w:p>
        </w:tc>
      </w:tr>
      <w:tr>
        <w:trPr>
          <w:cantSplit/>
        </w:trPr>
        <w:tc>
          <w:tcPr>
            <w:tcW w:type="pct" w:w="NaNة)"/>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تكامل GitHub Actions</w:t>
            </w:r>
          </w:p>
        </w:tc>
      </w:tr>
      <w:tr>
        <w:trPr>
          <w:cantSplit/>
        </w:trPr>
        <w:tc>
          <w:tcPr>
            <w:tcW w:type="pct" w:w="NaNمج"/>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الدمج</w:t>
            </w:r>
          </w:p>
        </w:tc>
      </w:tr>
    </w:tbl>
    <w:p>
      <w:pPr>
        <w:bidi/>
        <w:spacing w:after="120" w:line="312"/>
        <w:jc w:val="start"/>
      </w:pPr>
      <w:r>
        <w:rPr>
          <w:rFonts w:ascii="Arial" w:cs="Arial" w:eastAsia="Arial" w:hAnsi="Arial"/>
          <w:b w:val="false"/>
          <w:bCs w:val="false"/>
          <w:i w:val="false"/>
          <w:iCs w:val="false"/>
          <w:color w:val="000000"/>
          <w:sz w:val="24"/>
          <w:szCs w:val="24"/>
          <w:rtl/>
        </w:rPr>
        <w:t xml:space="preserve">السيناريوهات الواحد والعشرون كلها مغطاة: الحاسبة الحرة بلا أثر، والمنتج من مكونات متتبَّعة وغير متتبَّعة بوحداتها وحالات تكلفتها، وثبات نسخة الطلب أمام تغيير الكتالوج، والمسودة بلا إيراد ولا مخزون، وسير الحالات بأفعال واضحة، والعربون لا يُحسب ربحًا مرتين (الشاهد: 6000 لا 7000 مع عربون وقبض)، والبيع المباشر بيع واحد وقبض واحد، ومراجعة التسليم بمعاينة الدين والكاش والذمم والمخزون، والتأكيد ثم إعادة المحاولة وإعادة التحميل بلا تكرار، والخصم بالمسار الصريح وحده، وغير المتتبَّع بلا حركة، والتجاوز يعرض النقص، وتغيير السعر النهائي بفرق معلن وثبات تاريخي، والإلغاء قبل العربون وبعده وبعد التسليم بحالات مميزة آمنة، والعربون المحتفظ به يبقى قرارًا معلقًا، وتسوية المتبقي بلا بيع ثانٍ، والتصحيحات تحفظ الأصل وتعرض الصافي، والتصدير القديم والجديد يعبران، والتكرار والانقطاع لا يلتزمان شيئًا تلقائيًا، والأسطح على هاتف 390 من اليمين إلى اليسار، واختبارات المجموعتين الأولى والثانية خضراء في كل تشغيل.</w:t>
      </w:r>
    </w:p>
    <w:p>
      <w:pPr>
        <w:pStyle w:val="Heading1"/>
        <w:bidi/>
        <w:spacing w:after="160" w:before="360" w:line="380" w:lineRule="atLeast"/>
        <w:jc w:val="start"/>
      </w:pPr>
      <w:r>
        <w:rPr>
          <w:rFonts w:ascii="Arial" w:cs="Arial" w:eastAsia="Arial" w:hAnsi="Arial"/>
          <w:b/>
          <w:bCs/>
          <w:i w:val="false"/>
          <w:iCs w:val="false"/>
          <w:color w:val="1A1A1A"/>
          <w:sz w:val="30"/>
          <w:szCs w:val="30"/>
          <w:rtl/>
        </w:rPr>
        <w:t xml:space="preserve">القرارات والحدود والحالة النهائية</w:t>
      </w:r>
    </w:p>
    <w:p>
      <w:pPr>
        <w:bidi/>
        <w:spacing w:after="120" w:line="312"/>
        <w:jc w:val="start"/>
      </w:pPr>
      <w:r>
        <w:rPr>
          <w:rFonts w:ascii="Arial" w:cs="Arial" w:eastAsia="Arial" w:hAnsi="Arial"/>
          <w:b w:val="false"/>
          <w:bCs w:val="false"/>
          <w:i w:val="false"/>
          <w:iCs w:val="false"/>
          <w:color w:val="000000"/>
          <w:sz w:val="24"/>
          <w:szCs w:val="24"/>
          <w:rtl/>
        </w:rPr>
        <w:t xml:space="preserve">حدود مؤجلة بوعي وموثقة لا صامتة: عربون الاتفاق يدخل الكاش غير الموزع بلا توزيع محفظة لحظة القبض (حالة صادقة قابلة للتوزيع لاحقًا من صفحة توزيع الكاش)، واستهلاك البيع المباشر يحدّث مواضع المخزون بصدق لكنه لا يدخل تكلفة بضاعة الفترة في هذه المجموعة (تكلفة الطلبات الموصولة كما هي)، ومسار deliver() القديم في خدمة التنفيذ أبقي للتوافق واختباراته بينما مسار المنتج هو المراجعة. وأخلاقيات النقل من Zman محفوظة: أُخذت الأنماط الرحلية (المعاينة قبل الالتزام، وفعل واحد لكل حالة، وسؤال العربون بعد السعر، ولقطة التكلفة عند الاختيار، والوعي بالنقص بلا حجب، وفروع قرار الإلغاء)، ولم تُؤخذ نموذجه المالي الأرخن: لا ترحيل المتبقي كاشًا تلقائيًا عند التسليم (نسأل المقبوض وندين الباقي)، ولا اشتقاق الإيراد من حركات الكاش، ولا تحويل حركة العربون إلى حركة بيع، ولا احتجاز العربون بيعًا مزيّفًا، ولا محاسبة نصوص الوصف — فحقيقة Micro أقوى: الكاش والإيراد والذمم وأمانات المالك مفصولة، والمجهول لا يصير صفرًا، والتصحيح يحفظ التاريخ.</w:t>
      </w:r>
    </w:p>
    <w:p>
      <w:pPr>
        <w:bidi/>
        <w:spacing w:after="120" w:line="312"/>
        <w:jc w:val="start"/>
      </w:pPr>
      <w:r>
        <w:rPr>
          <w:rFonts w:ascii="Arial" w:cs="Arial" w:eastAsia="Arial" w:hAnsi="Arial"/>
          <w:b w:val="false"/>
          <w:bCs w:val="false"/>
          <w:i w:val="false"/>
          <w:iCs w:val="false"/>
          <w:color w:val="000000"/>
          <w:sz w:val="24"/>
          <w:szCs w:val="24"/>
          <w:rtl/>
        </w:rPr>
        <w:t xml:space="preserve">الحالة النهائية: المجموعة الثالثة مدمجة في main عند 67d4e41f98bd63c283053cc2bcfeacd0c6b9a767 عبر طلب الدمج 151، والمحلي والبعيد متطابقان وشجرة العمل نظيفة، والالتزامات موثقة (التنفيذ b6a100f وتنسيق CI ‏6016c8b وإعادتا تشغيل التدقيق 57db81d وa1c5691)، وصافي التغيير 31 ملفًا بـ+1293/−115 سطرًا مع 8 ملفات جديدة، وهذه الحزمة مسلّمة في مستودع التقارير تحت reports/2026/2026-09-04/micro-group-3-cost-product-order-001، ولا وجود لأي سر أو رمز دخول في أي فرق أو ملف أو تقرير.</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88888"/>
        <w:sz w:val="18"/>
        <w:szCs w:val="18"/>
        <w:rtl/>
      </w:rPr>
      <w:t xml:space="preserve">تقرير تنفيذ المجموعة الثالثة — برنامج النقل من Zman إلى Micro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A1A1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2026-09-04T07:24:54.887Z</dcterms:created>
  <dcterms:modified xsi:type="dcterms:W3CDTF">2026-09-04T07:24:54.887Z</dcterms:modified>
</cp:coreProperties>
</file>

<file path=docProps/custom.xml><?xml version="1.0" encoding="utf-8"?>
<Properties xmlns="http://schemas.openxmlformats.org/officeDocument/2006/custom-properties" xmlns:vt="http://schemas.openxmlformats.org/officeDocument/2006/docPropsVTypes"/>
</file>