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tcPr>
          <w:p>
            <w:pPr>
              <w:spacing w:before="4175"/>
            </w:pPr>
          </w:p>
          <w:p>
            <w:pPr>
              <w:pBdr>
                <w:bottom w:val="single" w:color="C9A84C" w:sz="6" w:space="8"/>
              </w:pBdr>
              <w:bidi/>
              <w:spacing w:after="500"/>
              <w:ind w:left="800" w:right="1200"/>
              <w:jc w:val="start"/>
            </w:pPr>
            <w:r>
              <w:rPr>
                <w:rFonts w:ascii="Arial" w:cs="Arial" w:eastAsia="Arial" w:hAnsi="Arial"/>
                <w:color w:val="C9A84C"/>
                <w:spacing w:val="30"/>
                <w:sz w:val="18"/>
                <w:szCs w:val="18"/>
              </w:rPr>
              <w:t xml:space="preserve">G R O U P   1   I M P L E M E N T A T I O N   R E P O R T</w:t>
            </w:r>
          </w:p>
          <w:p>
            <w:pPr>
              <w:bidi/>
              <w:spacing w:after="100" w:line="828" w:lineRule="atLeast"/>
              <w:ind w:right="1200"/>
              <w:jc w:val="start"/>
            </w:pPr>
            <w:r>
              <w:rPr>
                <w:rFonts w:ascii="Arial" w:cs="Arial" w:eastAsia="Arial" w:hAnsi="Arial"/>
                <w:b/>
                <w:bCs/>
                <w:i w:val="false"/>
                <w:iCs w:val="false"/>
                <w:color w:val="FFFFFF"/>
                <w:sz w:val="72"/>
                <w:szCs w:val="72"/>
                <w:rtl/>
              </w:rPr>
              <w:t xml:space="preserve">تقرير تنفيذ المجموعة</w:t>
            </w:r>
          </w:p>
          <w:p>
            <w:pPr>
              <w:bidi/>
              <w:spacing w:after="300" w:line="828" w:lineRule="atLeast"/>
              <w:ind w:right="1200"/>
              <w:jc w:val="start"/>
            </w:pPr>
            <w:r>
              <w:rPr>
                <w:rFonts w:ascii="Arial" w:cs="Arial" w:eastAsia="Arial" w:hAnsi="Arial"/>
                <w:b/>
                <w:bCs/>
                <w:i w:val="false"/>
                <w:iCs w:val="false"/>
                <w:color w:val="FFFFFF"/>
                <w:sz w:val="72"/>
                <w:szCs w:val="72"/>
                <w:rtl/>
              </w:rPr>
              <w:t xml:space="preserve">الأولى</w:t>
            </w:r>
          </w:p>
          <w:p>
            <w:pPr>
              <w:bidi/>
              <w:spacing w:after="800" w:line="340" w:lineRule="atLeast"/>
              <w:ind w:right="1200"/>
              <w:jc w:val="start"/>
            </w:pPr>
            <w:r>
              <w:rPr>
                <w:rFonts w:ascii="Arial" w:cs="Arial" w:eastAsia="Arial" w:hAnsi="Arial"/>
                <w:b w:val="false"/>
                <w:bCs w:val="false"/>
                <w:i w:val="false"/>
                <w:iCs w:val="false"/>
                <w:color w:val="B0B8C0"/>
                <w:sz w:val="24"/>
                <w:szCs w:val="24"/>
                <w:rtl/>
              </w:rPr>
              <w:t xml:space="preserve">الإدخال المالي الموجّه وتصنيف المصاريف وأساس فحص سلامة المال — برنامج النقل من Zman إلى Micro</w:t>
            </w:r>
          </w:p>
          <w:p>
            <w:pPr>
              <w:pBdr>
                <w:right w:val="single" w:color="C9A84C" w:sz="8" w:space="12"/>
              </w:pBdr>
              <w:bidi/>
              <w:spacing w:after="80" w:line="300"/>
              <w:ind w:left="600" w:right="1400"/>
              <w:jc w:val="start"/>
            </w:pPr>
            <w:r>
              <w:rPr>
                <w:rFonts w:ascii="Arial" w:cs="Arial" w:eastAsia="Arial" w:hAnsi="Arial"/>
                <w:b w:val="false"/>
                <w:bCs w:val="false"/>
                <w:i w:val="false"/>
                <w:iCs w:val="false"/>
                <w:color w:val="90989F"/>
                <w:sz w:val="24"/>
                <w:szCs w:val="24"/>
                <w:rtl/>
              </w:rPr>
              <w:t xml:space="preserve">المنتج: Micro — نظام مالية وتشغيل عربي RTL محلي أولًا</w:t>
            </w:r>
          </w:p>
          <w:p>
            <w:pPr>
              <w:pBdr>
                <w:right w:val="single" w:color="C9A84C" w:sz="8" w:space="12"/>
              </w:pBdr>
              <w:bidi/>
              <w:spacing w:after="80" w:line="300"/>
              <w:ind w:left="600" w:right="1400"/>
              <w:jc w:val="start"/>
            </w:pPr>
            <w:r>
              <w:rPr>
                <w:rFonts w:ascii="Arial" w:cs="Arial" w:eastAsia="Arial" w:hAnsi="Arial"/>
                <w:b w:val="false"/>
                <w:bCs w:val="false"/>
                <w:i w:val="false"/>
                <w:iCs w:val="false"/>
                <w:color w:val="90989F"/>
                <w:sz w:val="24"/>
                <w:szCs w:val="24"/>
                <w:rtl/>
              </w:rPr>
              <w:t xml:space="preserve">المستودع: Qays7753/Micro · طلب الدمج #149</w:t>
            </w:r>
          </w:p>
          <w:p>
            <w:pPr>
              <w:pBdr>
                <w:right w:val="single" w:color="C9A84C" w:sz="8" w:space="12"/>
              </w:pBdr>
              <w:bidi/>
              <w:spacing w:after="80" w:line="300"/>
              <w:ind w:left="600" w:right="1400"/>
              <w:jc w:val="start"/>
            </w:pPr>
            <w:r>
              <w:rPr>
                <w:rFonts w:ascii="Arial" w:cs="Arial" w:eastAsia="Arial" w:hAnsi="Arial"/>
                <w:b w:val="false"/>
                <w:bCs w:val="false"/>
                <w:i w:val="false"/>
                <w:iCs w:val="false"/>
                <w:color w:val="90989F"/>
                <w:sz w:val="24"/>
                <w:szCs w:val="24"/>
                <w:rtl/>
              </w:rPr>
              <w:t xml:space="preserve">رأس main النهائي: 761638b (الالتزام bc2e4c5 · الأساس 4db6a5f)</w:t>
            </w:r>
          </w:p>
          <w:p>
            <w:pPr>
              <w:pBdr>
                <w:right w:val="single" w:color="C9A84C" w:sz="8" w:space="12"/>
              </w:pBdr>
              <w:bidi/>
              <w:spacing w:after="80" w:line="300"/>
              <w:ind w:left="600" w:right="1400"/>
              <w:jc w:val="start"/>
            </w:pPr>
            <w:r>
              <w:rPr>
                <w:rFonts w:ascii="Arial" w:cs="Arial" w:eastAsia="Arial" w:hAnsi="Arial"/>
                <w:b w:val="false"/>
                <w:bCs w:val="false"/>
                <w:i w:val="false"/>
                <w:iCs w:val="false"/>
                <w:color w:val="90989F"/>
                <w:sz w:val="24"/>
                <w:szCs w:val="24"/>
                <w:rtl/>
              </w:rPr>
              <w:t xml:space="preserve">التاريخ: 03/09/2026</w:t>
            </w:r>
          </w:p>
          <w:p>
            <w:pPr>
              <w:spacing w:before="4175"/>
            </w:pPr>
          </w:p>
          <w:p>
            <w:pPr>
              <w:pBdr>
                <w:top w:val="single" w:color="C9A84C" w:sz="2" w:space="8"/>
              </w:pBdr>
              <w:bidi/>
              <w:spacing w:before="200"/>
              <w:ind w:left="800" w:right="1200"/>
              <w:jc w:val="start"/>
            </w:pPr>
            <w:r>
              <w:rPr>
                <w:rFonts w:ascii="Arial" w:cs="Arial" w:eastAsia="Arial" w:hAnsi="Arial"/>
                <w:b w:val="false"/>
                <w:bCs w:val="false"/>
                <w:i w:val="false"/>
                <w:iCs w:val="false"/>
                <w:color w:val="687078"/>
                <w:sz w:val="16"/>
                <w:szCs w:val="16"/>
                <w:rtl/>
              </w:rPr>
              <w:t xml:space="preserve">Micro — شريك مشروعك</w:t>
            </w:r>
            <w:r>
              <w:t xml:space="preserve">                                   </w:t>
            </w:r>
            <w:r>
              <w:rPr>
                <w:rFonts w:ascii="Arial" w:cs="Arial" w:eastAsia="Arial" w:hAnsi="Arial"/>
                <w:color w:val="687078"/>
                <w:sz w:val="16"/>
                <w:szCs w:val="16"/>
              </w:rPr>
              <w:t xml:space="preserve">micro-group-1-guided-financial-entry-001</w:t>
            </w:r>
          </w:p>
        </w:tc>
      </w:tr>
    </w:tbl>
    <w:p>
      <w:pPr>
        <w:sectPr>
          <w:pgSz w:w="11906" w:h="16838" w:orient="portrait"/>
          <w:pgMar w:top="0" w:right="0" w:bottom="0" w:left="0" w:header="708" w:footer="708" w:gutter="0"/>
          <w:docGrid w:linePitch="360"/>
        </w:sectPr>
      </w:pPr>
    </w:p>
    <w:p>
      <w:pPr>
        <w:bidi/>
        <w:spacing w:after="360" w:before="480"/>
        <w:jc w:val="center"/>
      </w:pPr>
      <w:r>
        <w:rPr>
          <w:rFonts w:ascii="Arial" w:cs="Arial" w:eastAsia="Arial" w:hAnsi="Arial"/>
          <w:b/>
          <w:bCs/>
          <w:i w:val="false"/>
          <w:iCs w:val="false"/>
          <w:color w:val="000000"/>
          <w:sz w:val="32"/>
          <w:szCs w:val="32"/>
          <w:rtl/>
        </w:rPr>
        <w:t xml:space="preserve">المحتويات</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الملخص التنفيذي</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بوابة حالة الإنجاز والخط الأساس</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نطاق التنفيذ</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العقد المالي للتصنيف</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الإدخال الموجّه: المسار السريع والمسار المفصّل</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كانون نتيجة الفترة وفحص سلامة المالي</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الترحيل والتوافق وإصلاحا العيوب السابقة</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التحقق والاختبارات</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الفحص الحي على بناء الإنتاج</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القرارات والحدود المؤجلة والحالة النهائية</w:t>
            </w:r>
            <w:r>
              <w:tab/>
            </w:r>
            <w:r>
              <w:fldChar w:fldCharType="begin"/>
            </w:r>
            <w:r>
              <w:instrText xml:space="preserve"> PAGEREF _Toc100009 \h </w:instrText>
            </w:r>
            <w:r>
              <w:fldChar w:fldCharType="separate"/>
            </w:r>
            <w:r>
              <w:t>4</w:t>
            </w:r>
            <w:r>
              <w:fldChar w:fldCharType="end"/>
            </w:r>
          </w:hyperlink>
        </w:p>
        <w:p>
          <w:r>
            <w:fldChar w:fldCharType="end"/>
          </w:r>
        </w:p>
      </w:sdtContent>
    </w:sdt>
    <w:p>
      <w:pPr>
        <w:bidi/>
        <w:spacing w:before="200"/>
      </w:pPr>
      <w:r>
        <w:rPr>
          <w:rFonts w:ascii="Arial" w:cs="Arial" w:eastAsia="Arial" w:hAnsi="Arial"/>
          <w:b w:val="false"/>
          <w:bCs w:val="false"/>
          <w:i/>
          <w:iCs/>
          <w:color w:val="888888"/>
          <w:sz w:val="18"/>
          <w:szCs w:val="18"/>
          <w:rtl/>
        </w:rPr>
        <w:t xml:space="preserve">ملاحظة: هذا الفهرس مولّد برموز الحقول؛ لضمان دقة أرقام الصفحات بعد أي تعديل انقر بزر الفأرة الأيمن على الفهرس واختر «تحديث الحقل».</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bidi/>
        <w:spacing w:after="160" w:before="360" w:line="380" w:lineRule="atLeast"/>
        <w:jc w:val="start"/>
      </w:pPr>
      <w:bookmarkStart w:id="100000" w:name="_Toc100000"/>
      <w:r>
        <w:rPr>
          <w:rFonts w:ascii="Arial" w:cs="Arial" w:eastAsia="Arial" w:hAnsi="Arial"/>
          <w:b/>
          <w:bCs/>
          <w:i w:val="false"/>
          <w:iCs w:val="false"/>
          <w:color w:val="1A1A1A"/>
          <w:sz w:val="30"/>
          <w:szCs w:val="30"/>
          <w:rtl/>
        </w:rPr>
        <w:t xml:space="preserve">الملخص التنفيذي</w:t>
      </w:r>
      <w:bookmarkEnd w:id="100000"/>
    </w:p>
    <w:p>
      <w:pPr>
        <w:bidi/>
        <w:spacing w:after="120" w:line="312"/>
        <w:jc w:val="both"/>
      </w:pPr>
      <w:r>
        <w:rPr>
          <w:rFonts w:ascii="Arial" w:cs="Arial" w:eastAsia="Arial" w:hAnsi="Arial"/>
          <w:b w:val="false"/>
          <w:bCs w:val="false"/>
          <w:i w:val="false"/>
          <w:iCs w:val="false"/>
          <w:color w:val="000000"/>
          <w:sz w:val="24"/>
          <w:szCs w:val="24"/>
          <w:rtl/>
        </w:rPr>
        <w:t xml:space="preserve">تنفّذ هذه المجموعة — المجموعة الأولى من برنامج نقل قدرات Zman إلى Micro المكوّن من ست مجموعات — أساس الإدخال المالي الموجّه فوق النواة المالية القائمة لمايكرو. يستطيع المالك الآن تسجيل حدث مالي حقيقي عبر تسلسل أسئلة يحاكي طريقة تفكيره: ماذا حدث؟ كم المبلغ؟ من أين خرج المال؟ على ماذا صُرف؟ ما طبيعته؟ ما علاقته بالمشروع؟ هل الحصة معروفة أو مؤجلة؟ وما الذي سيتغير بعد الحفظ؟ كما يستطيع أن يضع على مصروفه وسمًا بشريًا اختياريًا يجيب عن سؤال «شو صار على البنزين؟» دون أن يمسّ أي دلتا مالية، وأن يراجع توزيع المصروف المشترك قبل الحفظ، وأن يرى معاينة أثر مشتقّة من نية الالتزام نفسها لا من حساب موازٍ في الواجهة، وأن يجري فحص سلامة مالي قرائيًا بنقرة واحدة يثبت أن الأرقام متطابقة عبر كل الأسطح.</w:t>
      </w:r>
    </w:p>
    <w:p>
      <w:pPr>
        <w:bidi/>
        <w:spacing w:after="120" w:line="312"/>
        <w:jc w:val="both"/>
      </w:pPr>
      <w:r>
        <w:rPr>
          <w:rFonts w:ascii="Arial" w:cs="Arial" w:eastAsia="Arial" w:hAnsi="Arial"/>
          <w:b w:val="false"/>
          <w:bCs w:val="false"/>
          <w:i w:val="false"/>
          <w:iCs w:val="false"/>
          <w:color w:val="000000"/>
          <w:sz w:val="24"/>
          <w:szCs w:val="24"/>
          <w:rtl/>
        </w:rPr>
        <w:t xml:space="preserve">سلّمت المجموعة كفرع واحد (40 ملفًا، +3894/−153 سطرًا) عبر طلب الدمج رقم 149 بعد نجاح تكامل GitHub Actions ومراجعة خصومية مستقلة أُصلحت ملاحظاتها كلها قبل الدمج، بحماية 41 اختبارًا جديدًا وبوابة «pnpm check» كاملة: فحص الأنواع، وال lint بصفر أخطاء وعند سقف التحذيرات الأساس (37)، وكثافة نصية بثلاث شاشات مقاسة لأول مرة، وحرّاس رموز التصميم، و231 اختبار مجال و607 اختبارات نموذج أولي، وبناء إنتاجي مع PWA. وأُضيف إلى ذلك فحص حي على بناء الإنتاج بمتصفح حقيقي بدقة 390×844 من اليمين إلى اليسار بلا أي خطأ في الطرفية أو الصفحة.</w:t>
      </w:r>
    </w:p>
    <w:p>
      <w:pPr>
        <w:bidi/>
        <w:spacing w:after="120" w:line="312"/>
        <w:jc w:val="both"/>
      </w:pPr>
      <w:r>
        <w:rPr>
          <w:rFonts w:ascii="Arial" w:cs="Arial" w:eastAsia="Arial" w:hAnsi="Arial"/>
          <w:b w:val="false"/>
          <w:bCs w:val="false"/>
          <w:i w:val="false"/>
          <w:iCs w:val="false"/>
          <w:color w:val="000000"/>
          <w:sz w:val="24"/>
          <w:szCs w:val="24"/>
          <w:rtl/>
        </w:rPr>
        <w:t xml:space="preserve">اكتُشف خلال العمل عيبان سابقان وأُصلحا بقرارين موثقين: أولًا، كان مدقّق الاستيراد يرفض أي ملف نسخة احتياطية يحوي تحويلًا بين المحافظ أو تراجعًا عن تحويل، لأن مفتاح العملية وحدةُ إيداعٍ واحدة تكتب زوجًا مقترنًا (القرار D-025)؛ وثانيًا، كانت حارسة المدخلات غير المحفوظة في محرر الأحداث المالية معطّلة كاذبًا (لقطة الوسخ كانت تُعاد كل رندر). ولكلٍّ من الإصلاحين اختبار انحدار.</w:t>
      </w:r>
    </w:p>
    <w:p>
      <w:pPr>
        <w:pStyle w:val="Heading1"/>
        <w:bidi/>
        <w:spacing w:after="160" w:before="360" w:line="380" w:lineRule="atLeast"/>
        <w:jc w:val="start"/>
      </w:pPr>
      <w:bookmarkStart w:id="100001" w:name="_Toc100001"/>
      <w:r>
        <w:rPr>
          <w:rFonts w:ascii="Arial" w:cs="Arial" w:eastAsia="Arial" w:hAnsi="Arial"/>
          <w:b/>
          <w:bCs/>
          <w:i w:val="false"/>
          <w:iCs w:val="false"/>
          <w:color w:val="1A1A1A"/>
          <w:sz w:val="30"/>
          <w:szCs w:val="30"/>
          <w:rtl/>
        </w:rPr>
        <w:t xml:space="preserve">بوابة حالة الإنجاز والخط الأساس</w:t>
      </w:r>
      <w:bookmarkEnd w:id="100001"/>
    </w:p>
    <w:p>
      <w:pPr>
        <w:bidi/>
        <w:spacing w:after="120" w:line="312"/>
        <w:jc w:val="both"/>
      </w:pPr>
      <w:r>
        <w:rPr>
          <w:rFonts w:ascii="Arial" w:cs="Arial" w:eastAsia="Arial" w:hAnsi="Arial"/>
          <w:b w:val="false"/>
          <w:bCs w:val="false"/>
          <w:i w:val="false"/>
          <w:iCs w:val="false"/>
          <w:color w:val="000000"/>
          <w:sz w:val="24"/>
          <w:szCs w:val="24"/>
          <w:rtl/>
        </w:rPr>
        <w:t xml:space="preserve">قبل أي تغيير فُحصت الحالة الفعلية للمستودع: رأس main عند 4db6a5f يحتوي مجموعات البرنامج السابق الست (طلبات الدمج 142–148: أساس التجربة، والحقيقة المالية، والأدوات والمنتجات والطلبات، والقبول، والتدقيق، والإغلاق)، بينما برنامج النقل الجديد — موضوع هذه المهمة — لم يكن له أي التزام: تحليل الفجوات المرجعي (zaman-to-micro-gap-analysis-001) المُسلَّم بتاريخ اليوم في مستودع التقارير يشير إلى 4db6a5f أساسًا للقراءة فقط، ولا توجد بعد أي التزامات تالية. كانت شجرة العمل نظيفة بلا فروع استرداد ولا عمل جزئي للمجموعة الأولى، وأُثبت الخط الأساس بتشغيل بوابات المشروع كاملة فوقه قبل البدء: نجاح التثبيت المجمد، وفحص الأنواع، وال lint بصفر أخطاء، و226 اختبار مجال و571 اختبار نموذج أولي، وبناء PWA.</w:t>
      </w:r>
    </w:p>
    <w:p>
      <w:pPr>
        <w:pStyle w:val="Heading1"/>
        <w:bidi/>
        <w:spacing w:after="160" w:before="360" w:line="380" w:lineRule="atLeast"/>
        <w:jc w:val="start"/>
      </w:pPr>
      <w:bookmarkStart w:id="100002" w:name="_Toc100002"/>
      <w:r>
        <w:rPr>
          <w:rFonts w:ascii="Arial" w:cs="Arial" w:eastAsia="Arial" w:hAnsi="Arial"/>
          <w:b/>
          <w:bCs/>
          <w:i w:val="false"/>
          <w:iCs w:val="false"/>
          <w:color w:val="1A1A1A"/>
          <w:sz w:val="30"/>
          <w:szCs w:val="30"/>
          <w:rtl/>
        </w:rPr>
        <w:t xml:space="preserve">نطاق التنفيذ</w:t>
      </w:r>
      <w:bookmarkEnd w:id="100002"/>
    </w:p>
    <w:p>
      <w:pPr>
        <w:keepNext/>
        <w:bidi/>
        <w:spacing w:after="80" w:before="160"/>
        <w:jc w:val="start"/>
      </w:pPr>
      <w:r>
        <w:rPr>
          <w:rFonts w:ascii="Arial" w:cs="Arial" w:eastAsia="Arial" w:hAnsi="Arial"/>
          <w:b/>
          <w:bCs/>
          <w:i w:val="false"/>
          <w:iCs w:val="false"/>
          <w:color w:val="606060"/>
          <w:sz w:val="21"/>
          <w:szCs w:val="21"/>
          <w:rtl/>
        </w:rPr>
        <w:t xml:space="preserve">الجدول 1: بنود النطاق ومسار التنفيذ</w:t>
      </w:r>
    </w:p>
    <w:tbl>
      <w:tblPr>
        <w:bidiVisual/>
        <w:tblW w:type="pct" w:w="100%"/>
        <w:tblBorders>
          <w:top w:val="single" w:color="C9A84C" w:sz="2"/>
          <w:left w:val="none" w:color="FFFFFF" w:sz="0"/>
          <w:bottom w:val="single" w:color="C9A84C" w:sz="2"/>
          <w:right w:val="none" w:color="FFFFFF" w:sz="0"/>
          <w:insideH w:val="single" w:color="DDD5C0" w:sz="1"/>
          <w:insideV w:val="none" w:color="FFFFFF" w:sz="0"/>
        </w:tblBorders>
      </w:tblPr>
      <w:tblGrid>
        <w:gridCol w:w="100"/>
        <w:gridCol w:w="100"/>
      </w:tblGrid>
      <w:tr>
        <w:trPr>
          <w:cantSplit/>
          <w:tblHeader/>
        </w:trPr>
        <w:tc>
          <w:tcPr>
            <w:tcW w:type="pct" w:w="58%"/>
            <w:shd w:fill="C9A84C" w:val="clear"/>
            <w:tcMar>
              <w:top w:type="dxa" w:w="80"/>
              <w:left w:type="dxa" w:w="120"/>
              <w:bottom w:type="dxa" w:w="80"/>
              <w:right w:type="dxa" w:w="120"/>
            </w:tcMar>
          </w:tcPr>
          <w:p>
            <w:pPr>
              <w:bidi/>
              <w:spacing w:line="300"/>
              <w:jc w:val="start"/>
            </w:pPr>
            <w:r>
              <w:rPr>
                <w:rFonts w:ascii="Arial" w:cs="Arial" w:eastAsia="Arial" w:hAnsi="Arial"/>
                <w:b/>
                <w:bCs/>
                <w:i w:val="false"/>
                <w:iCs w:val="false"/>
                <w:color w:val="1A1A1A"/>
                <w:sz w:val="21"/>
                <w:szCs w:val="21"/>
                <w:rtl/>
              </w:rPr>
              <w:t xml:space="preserve">البند</w:t>
            </w:r>
          </w:p>
        </w:tc>
        <w:tc>
          <w:tcPr>
            <w:tcW w:type="pct" w:w="42%"/>
            <w:shd w:fill="C9A84C" w:val="clear"/>
            <w:tcMar>
              <w:top w:type="dxa" w:w="80"/>
              <w:left w:type="dxa" w:w="120"/>
              <w:bottom w:type="dxa" w:w="80"/>
              <w:right w:type="dxa" w:w="120"/>
            </w:tcMar>
          </w:tcPr>
          <w:p>
            <w:pPr>
              <w:bidi/>
              <w:spacing w:line="300"/>
              <w:jc w:val="start"/>
            </w:pPr>
            <w:r>
              <w:rPr>
                <w:rFonts w:ascii="Arial" w:cs="Arial" w:eastAsia="Arial" w:hAnsi="Arial"/>
                <w:b/>
                <w:bCs/>
                <w:i w:val="false"/>
                <w:iCs w:val="false"/>
                <w:color w:val="1A1A1A"/>
                <w:sz w:val="21"/>
                <w:szCs w:val="21"/>
                <w:rtl/>
              </w:rPr>
              <w:t xml:space="preserve">ما نُفّذ</w:t>
            </w:r>
          </w:p>
        </w:tc>
      </w:tr>
      <w:tr>
        <w:trPr>
          <w:cantSplit/>
        </w:trPr>
        <w:tc>
          <w:tcPr>
            <w:tcW w:type="pct" w:w="NaNيع"/>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الإدخال الموجّه (§5.1)</w:t>
            </w:r>
          </w:p>
        </w:tc>
      </w:tr>
      <w:tr>
        <w:trPr>
          <w:cantSplit/>
        </w:trPr>
        <w:tc>
          <w:tcPr>
            <w:tcW w:type="pct" w:w="NaNور"/>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التصنيف البشري (§5.2)</w:t>
            </w:r>
          </w:p>
        </w:tc>
      </w:tr>
      <w:tr>
        <w:trPr>
          <w:cantSplit/>
        </w:trPr>
        <w:tc>
          <w:tcPr>
            <w:tcW w:type="pct" w:w="NaNد)"/>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طبيعة التكلفة (§5.3)</w:t>
            </w:r>
          </w:p>
        </w:tc>
      </w:tr>
      <w:tr>
        <w:trPr>
          <w:cantSplit/>
        </w:trPr>
        <w:tc>
          <w:tcPr>
            <w:tcW w:type="pct" w:w="NaNوم"/>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العلاقة والتوزيع (§5.4)</w:t>
            </w:r>
          </w:p>
        </w:tc>
      </w:tr>
      <w:tr>
        <w:trPr>
          <w:cantSplit/>
        </w:trPr>
        <w:tc>
          <w:tcPr>
            <w:tcW w:type="pct" w:w="NaNرع"/>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تمييز المسارات (§5.5)</w:t>
            </w:r>
          </w:p>
        </w:tc>
      </w:tr>
      <w:tr>
        <w:trPr>
          <w:cantSplit/>
        </w:trPr>
        <w:tc>
          <w:tcPr>
            <w:tcW w:type="pct" w:w="NaNوج"/>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معاينة الأثر (§5.6)</w:t>
            </w:r>
          </w:p>
        </w:tc>
      </w:tr>
      <w:tr>
        <w:trPr>
          <w:cantSplit/>
        </w:trPr>
        <w:tc>
          <w:tcPr>
            <w:tcW w:type="pct" w:w="NaNة)"/>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الكانون (§5.7)</w:t>
            </w:r>
          </w:p>
        </w:tc>
      </w:tr>
      <w:tr>
        <w:trPr>
          <w:cantSplit/>
        </w:trPr>
        <w:tc>
          <w:tcPr>
            <w:tcW w:type="pct" w:w="NaNئي"/>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فحص السلامة (§5.8)</w:t>
            </w:r>
          </w:p>
        </w:tc>
      </w:tr>
      <w:tr>
        <w:trPr>
          <w:cantSplit/>
        </w:trPr>
        <w:tc>
          <w:tcPr>
            <w:tcW w:type="pct" w:w="NaNاه"/>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رحلة المحافظ والمالك (§5.9)</w:t>
            </w:r>
          </w:p>
        </w:tc>
      </w:tr>
    </w:tbl>
    <w:p>
      <w:pPr>
        <w:pStyle w:val="Heading1"/>
        <w:bidi/>
        <w:spacing w:after="160" w:before="360" w:line="380" w:lineRule="atLeast"/>
        <w:jc w:val="start"/>
      </w:pPr>
      <w:bookmarkStart w:id="100003" w:name="_Toc100003"/>
      <w:r>
        <w:rPr>
          <w:rFonts w:ascii="Arial" w:cs="Arial" w:eastAsia="Arial" w:hAnsi="Arial"/>
          <w:b/>
          <w:bCs/>
          <w:i w:val="false"/>
          <w:iCs w:val="false"/>
          <w:color w:val="1A1A1A"/>
          <w:sz w:val="30"/>
          <w:szCs w:val="30"/>
          <w:rtl/>
        </w:rPr>
        <w:t xml:space="preserve">العقد المالي للتصنيف</w:t>
      </w:r>
      <w:bookmarkEnd w:id="100003"/>
    </w:p>
    <w:p>
      <w:pPr>
        <w:bidi/>
        <w:spacing w:after="120" w:line="312"/>
        <w:jc w:val="both"/>
      </w:pPr>
      <w:r>
        <w:rPr>
          <w:rFonts w:ascii="Arial" w:cs="Arial" w:eastAsia="Arial" w:hAnsi="Arial"/>
          <w:b w:val="false"/>
          <w:bCs w:val="false"/>
          <w:i w:val="false"/>
          <w:iCs w:val="false"/>
          <w:color w:val="000000"/>
          <w:sz w:val="24"/>
          <w:szCs w:val="24"/>
          <w:rtl/>
        </w:rPr>
        <w:t xml:space="preserve">الوسم البشري عقد صارم: حقل اختياري داخل OperatingExpenseContext وحدها (لا على جذر الحدث ولا على غير المصاريف — مفروض بنيويًا)، يُطبَّع بقصّ الطرفين ودمج الفراغات الداخلية والفارغ يصبح null، وحدّه 80 حرفًا يقاس بعد التطبيع في المجال والاستيراد بالقاعدة نفسها، والرفض صريح برسالة عربية بلا قصّ صامت. الوسم مجمّد مع الحدث، وتنسخه التراجعات والتعديل الذرّي والاسترجاع حرفيًا، وتغييره وثيقةُ تراجعٍ + تسجيل جديد — لا أدوات إعادة تسمية تعيد كتابة التاريخ.</w:t>
      </w:r>
    </w:p>
    <w:p>
      <w:pPr>
        <w:bidi/>
        <w:spacing w:after="120" w:line="312"/>
        <w:jc w:val="both"/>
      </w:pPr>
      <w:r>
        <w:rPr>
          <w:rFonts w:ascii="Arial" w:cs="Arial" w:eastAsia="Arial" w:hAnsi="Arial"/>
          <w:b w:val="false"/>
          <w:bCs w:val="false"/>
          <w:i w:val="false"/>
          <w:iCs w:val="false"/>
          <w:color w:val="000000"/>
          <w:sz w:val="24"/>
          <w:szCs w:val="24"/>
          <w:rtl/>
        </w:rPr>
        <w:t xml:space="preserve">الترحيل: مخطط 30 إلى 31 وتصدير 22 إلى 23 في موضع الحرّاس الواحد، ويُقبل الزوج القديم 22/30 ويُهاجر بغياب الوسم (null) بلا تعبئة افتراضية ولا اختراع تصنيف للتاريخ؛ السجل الموروث يظهر «غير مصنّف» بصدق. عند الاستيراد يُطبَّع الوسم داخل السياق، والوسم غير النصي أو الأطول من الحد يُرفض الملف قبل أن تُمسّ بيانات الجهاز، والدورة الكاملة (تصدير متحقق ثم استيراد ثم تأكيد) تحفظ الوسم حرفيًا — وكل ذلك باختبارات.</w:t>
      </w:r>
    </w:p>
    <w:p>
      <w:pPr>
        <w:bidi/>
        <w:spacing w:after="120" w:line="312"/>
        <w:jc w:val="both"/>
      </w:pPr>
      <w:r>
        <w:rPr>
          <w:rFonts w:ascii="Arial" w:cs="Arial" w:eastAsia="Arial" w:hAnsi="Arial"/>
          <w:b w:val="false"/>
          <w:bCs w:val="false"/>
          <w:i w:val="false"/>
          <w:iCs w:val="false"/>
          <w:color w:val="000000"/>
          <w:sz w:val="24"/>
          <w:szCs w:val="24"/>
          <w:rtl/>
        </w:rPr>
        <w:t xml:space="preserve">الحياد المالي مُثبت بالتوائم على مستوى المجال والخدمة: حدثان متطابقان في كل شيء إلا الوسم ينتجان الدلتا الخماسية نفسها والحصة نفسها، في كل الأوضاع (مدفوع، مستحق، حصة معلنة بنسبة، تقدير، تأجيل بقاعدة الصفر). العرض الناتج: كتلة «مصاريفي حسب تصنيفي» في الكشف (مجموع لكل وسم مع صفوف مصدره) وسطر «تصنيفك: …» في صف السجل الموسّع.</w:t>
      </w:r>
    </w:p>
    <w:p>
      <w:pPr>
        <w:pStyle w:val="Heading1"/>
        <w:bidi/>
        <w:spacing w:after="160" w:before="360" w:line="380" w:lineRule="atLeast"/>
        <w:jc w:val="start"/>
      </w:pPr>
      <w:bookmarkStart w:id="100004" w:name="_Toc100004"/>
      <w:r>
        <w:rPr>
          <w:rFonts w:ascii="Arial" w:cs="Arial" w:eastAsia="Arial" w:hAnsi="Arial"/>
          <w:b/>
          <w:bCs/>
          <w:i w:val="false"/>
          <w:iCs w:val="false"/>
          <w:color w:val="1A1A1A"/>
          <w:sz w:val="30"/>
          <w:szCs w:val="30"/>
          <w:rtl/>
        </w:rPr>
        <w:t xml:space="preserve">الإدخال الموجّه: المسار السريع والمسار المفصّل</w:t>
      </w:r>
      <w:bookmarkEnd w:id="100004"/>
    </w:p>
    <w:p>
      <w:pPr>
        <w:bidi/>
        <w:spacing w:after="120" w:line="312"/>
        <w:jc w:val="both"/>
      </w:pPr>
      <w:r>
        <w:rPr>
          <w:rFonts w:ascii="Arial" w:cs="Arial" w:eastAsia="Arial" w:hAnsi="Arial"/>
          <w:b w:val="false"/>
          <w:bCs w:val="false"/>
          <w:i w:val="false"/>
          <w:iCs w:val="false"/>
          <w:color w:val="000000"/>
          <w:sz w:val="24"/>
          <w:szCs w:val="24"/>
          <w:rtl/>
        </w:rPr>
        <w:t xml:space="preserve">بقي المسار السريع سريعًا: حقل إلزامي واحد (المبلغ)، والبند والمحفظة والرقاقة الاختيارية نقرة واحدة بلا لوحة مفاتيح، وسطر الأثر يصرّح بغياب حركة الأمانة وسحب المالك: «سينقص الكاش 25.00 د.أ من «الدرج» — مصروف مسجل لا يُعدّ ربحًا ولا يُخصم من دين، وبلا حركة أمانة ولا سحب مالك.» أما المسار المفصّل فيتبع ترتيب الأسئلة: العنوان (شو صار) فالمبلغ (أو الإجمالي والنسبة للمشترك) فوجهة الصرف (من وين طلع المبلغ؟) بمفردات الورقة نفسها فالتاريخ فالجهة، ثم طبقة «أضف سياقًا للمصروف» المطوية يتصدرها التصنيف ثم الطبيعة ثم العلاقة فنمط الحصة مع بطاقة المراجعة فحالة الرقم، ثم الوصف فالحفظ اللاصق فوق لوحة المفاتيح.</w:t>
      </w:r>
    </w:p>
    <w:p>
      <w:pPr>
        <w:bidi/>
        <w:spacing w:after="120" w:line="312"/>
        <w:jc w:val="both"/>
      </w:pPr>
      <w:r>
        <w:rPr>
          <w:rFonts w:ascii="Arial" w:cs="Arial" w:eastAsia="Arial" w:hAnsi="Arial"/>
          <w:b w:val="false"/>
          <w:bCs w:val="false"/>
          <w:i w:val="false"/>
          <w:iCs w:val="false"/>
          <w:color w:val="000000"/>
          <w:sz w:val="24"/>
          <w:szCs w:val="24"/>
          <w:rtl/>
        </w:rPr>
        <w:t xml:space="preserve">معاينة الأثر بعد الحفظ: مشتقة من نية الالتزام الفعلية — توسيع الحفظ انتقل إلى وحدة نقية واحدة يستهلكها المسار والمعاينة معًا، ثم محاكاة جافة عبر دالة إنشاء الحدث في المجال نفسها، فتُعرض الدلتا الناتجة أسطرًا عربية: السطر الأولي باسم المحفظة، والسلبيات مجمعة «بلا حركة أمانة ولا سحب مالك»، وسطر الوسم «لا يغيّر الأثر المالي»؛ والناقص يعود للنص الثابت بلا رقم متوهَّم. وإذا فشلت نسبة المحفظة بعد الحفظ يبقى الحدث محفوظًا ويظهر النص الصادق ووصلة السجل قبل أي انتقال: «حُفظ الحدث محليًا، لكن نسبته للمحفظة لم تتم… — المال محفوظ ضمن الكاش غير الموزع». المسودة المحفوظة مدخلات فقط: تُكتب عند الوسخ، وتُستعرض للاسترجاع بفعل صريح، ويمسحها التجاهل والحفظ، ولا تُحوَّل سجلًا تلقائيًا أبدًا.</w:t>
      </w:r>
    </w:p>
    <w:p>
      <w:pPr>
        <w:pStyle w:val="Heading1"/>
        <w:bidi/>
        <w:spacing w:after="160" w:before="360" w:line="380" w:lineRule="atLeast"/>
        <w:jc w:val="start"/>
      </w:pPr>
      <w:bookmarkStart w:id="100005" w:name="_Toc100005"/>
      <w:r>
        <w:rPr>
          <w:rFonts w:ascii="Arial" w:cs="Arial" w:eastAsia="Arial" w:hAnsi="Arial"/>
          <w:b/>
          <w:bCs/>
          <w:i w:val="false"/>
          <w:iCs w:val="false"/>
          <w:color w:val="1A1A1A"/>
          <w:sz w:val="30"/>
          <w:szCs w:val="30"/>
          <w:rtl/>
        </w:rPr>
        <w:t xml:space="preserve">كانون نتيجة الفترة وفحص سلامة المالي</w:t>
      </w:r>
      <w:bookmarkEnd w:id="100005"/>
    </w:p>
    <w:p>
      <w:pPr>
        <w:bidi/>
        <w:spacing w:after="120" w:line="312"/>
        <w:jc w:val="both"/>
      </w:pPr>
      <w:r>
        <w:rPr>
          <w:rFonts w:ascii="Arial" w:cs="Arial" w:eastAsia="Arial" w:hAnsi="Arial"/>
          <w:b w:val="false"/>
          <w:bCs w:val="false"/>
          <w:i w:val="false"/>
          <w:iCs w:val="false"/>
          <w:color w:val="000000"/>
          <w:sz w:val="24"/>
          <w:szCs w:val="24"/>
          <w:rtl/>
        </w:rPr>
        <w:t xml:space="preserve">دالة readRecordedPeriodResult هي المنتج الكنسي الوحيد لرقم الفترة: الكشف والمؤشرات ومال المالك يستهلكونها، وانتقل جمع الإيراد الوحيد الذي كان في صفحة الكشف إلى الخدمة (recognizedRevenueTotalMinor). القفل اختبار يطابق الكائن الكامل عبر الأسطح، ويتجسّس الاستدعاء فأي تنفيذ ثانٍ منافس إما ينحرف فيفشل التطابق أو يتوقف عن استدعاء الكنون فيفشل التجسس. وnull قيمة معلنة: بيع بتكلفة مجهولة يظهر «غير متاح» بأسبابه نفسها على كل سطح.</w:t>
      </w:r>
    </w:p>
    <w:p>
      <w:pPr>
        <w:bidi/>
        <w:spacing w:after="120" w:line="312"/>
        <w:jc w:val="both"/>
      </w:pPr>
      <w:r>
        <w:rPr>
          <w:rFonts w:ascii="Arial" w:cs="Arial" w:eastAsia="Arial" w:hAnsi="Arial"/>
          <w:b w:val="false"/>
          <w:bCs w:val="false"/>
          <w:i w:val="false"/>
          <w:iCs w:val="false"/>
          <w:color w:val="000000"/>
          <w:sz w:val="24"/>
          <w:szCs w:val="24"/>
          <w:rtl/>
        </w:rPr>
        <w:t xml:space="preserve">فحص سلامة المالي سطح قرائي تحت «أدواتي» يبقي شريط التنقل (البديل القانوني /tools)، وعده «يقرأ أرقامك ولا يغيّر شيئًا» ملزم معماريًا: لا يستدعي إلا مسارات القراءة، ولقطة المخزن قبل الفحص وبعده متطابقة باختبار حتى مع وجود تلف، ولا إصلاح تلقائي — الفحص يشير والتصحيح مساره الموثق. الفحوص الخمسة: تطابق نتيجة الفترة عبر الأسطح (MIC-1)، وبنية الكاش والمحافظ بأزواج التحويل المتوازنة وقواعد المصدر (MIC-2)، وسلامة الأحداث بإعادة بناء كل حدث بدوال المجال ومقارنة أثره الخماسي وسياقه (MIC-4)، ورصيد الأمانات غير السالب كاشفًا لتجاوز الاستيراد (MIC-7)، وصدق درجة المعرفة حيث غياب الرقم يلاقي تكلفة غير معروفة معلنة والحالات المعلقة تحذير «قرار معلق، ليس خطأً» (MIC-9). الحالة كلمة وأيقونة ولونًا معًا لا لونًا وحده، والروابط العميقة تصل للسجل المركّز. المعرفات المتبقية (MIC-3/5/6/8/10) محجوزة للمجموعات اللاحقة بأشكال نتائج ثابتة.</w:t>
      </w:r>
    </w:p>
    <w:p>
      <w:pPr>
        <w:pStyle w:val="Heading1"/>
        <w:bidi/>
        <w:spacing w:after="160" w:before="360" w:line="380" w:lineRule="atLeast"/>
        <w:jc w:val="start"/>
      </w:pPr>
      <w:bookmarkStart w:id="100006" w:name="_Toc100006"/>
      <w:r>
        <w:rPr>
          <w:rFonts w:ascii="Arial" w:cs="Arial" w:eastAsia="Arial" w:hAnsi="Arial"/>
          <w:b/>
          <w:bCs/>
          <w:i w:val="false"/>
          <w:iCs w:val="false"/>
          <w:color w:val="1A1A1A"/>
          <w:sz w:val="30"/>
          <w:szCs w:val="30"/>
          <w:rtl/>
        </w:rPr>
        <w:t xml:space="preserve">الترحيل والتوافق وإصلاحا العيوب السابقة</w:t>
      </w:r>
      <w:bookmarkEnd w:id="100006"/>
    </w:p>
    <w:p>
      <w:pPr>
        <w:bidi/>
        <w:spacing w:after="120" w:line="312"/>
        <w:jc w:val="both"/>
      </w:pPr>
      <w:r>
        <w:rPr>
          <w:rFonts w:ascii="Arial" w:cs="Arial" w:eastAsia="Arial" w:hAnsi="Arial"/>
          <w:b w:val="false"/>
          <w:bCs w:val="false"/>
          <w:i w:val="false"/>
          <w:iCs w:val="false"/>
          <w:color w:val="000000"/>
          <w:sz w:val="24"/>
          <w:szCs w:val="24"/>
          <w:rtl/>
        </w:rPr>
        <w:t xml:space="preserve">إلى جانب ترحيل الوسم أعلاه، أصلحت المجموعة عيبًا سابقًا جوهريًا (القرار D-025): خدمة التحويل تكتب زوج الخروج/الدخول بمفتاح عملية واحد، والتراجع عن تحويل يكتب زوج تراجع بمفتاح واحد ومعرف تحويل خاص؛ وكان مدقّق الاستيراد يفرد المفتاح لكل سطر ويُدخل أزواج التراجع في مجموعات التحويل، فيرفض أي ملف فيه تحويل أو تراجع عن تحويل — أي أن التصدير المتحقق كان مستحيلًا لأي متجر يحوي تحويلًا. الحكم الجديد: المفتاح وحدة إيداع؛ تُقبل ازدواجيته للزوجين الموثقين فقط (تحويل بمعرف واحد أو عكس تحويل بمعرف واحد)، ويُرفض التراجع عن تراجع في الاستيراد والفحص كما في المسار الحي، ويُضاف للاستيراد فحص مجموع الأمانات غير السالب. وأُصلحت حارسة وسخ محرر الأحداث بتمرير رمز إلزام مستقر إلى useFormDirty (كانت اللقطة تُعاد كل رندر فيبقى الوسخ كاذبًا سلبيًا)، ويُصفَّر الوسخ بعد الحفظ الناجح فلا يعترض الحارس خروج صاحب سجل محفوظ.</w:t>
      </w:r>
    </w:p>
    <w:p>
      <w:pPr>
        <w:pStyle w:val="Heading1"/>
        <w:bidi/>
        <w:spacing w:after="160" w:before="360" w:line="380" w:lineRule="atLeast"/>
        <w:jc w:val="start"/>
      </w:pPr>
      <w:bookmarkStart w:id="100007" w:name="_Toc100007"/>
      <w:r>
        <w:rPr>
          <w:rFonts w:ascii="Arial" w:cs="Arial" w:eastAsia="Arial" w:hAnsi="Arial"/>
          <w:b/>
          <w:bCs/>
          <w:i w:val="false"/>
          <w:iCs w:val="false"/>
          <w:color w:val="1A1A1A"/>
          <w:sz w:val="30"/>
          <w:szCs w:val="30"/>
          <w:rtl/>
        </w:rPr>
        <w:t xml:space="preserve">التحقق والاختبارات</w:t>
      </w:r>
      <w:bookmarkEnd w:id="100007"/>
    </w:p>
    <w:p>
      <w:pPr>
        <w:keepNext/>
        <w:bidi/>
        <w:spacing w:after="80" w:before="160"/>
        <w:jc w:val="start"/>
      </w:pPr>
      <w:r>
        <w:rPr>
          <w:rFonts w:ascii="Arial" w:cs="Arial" w:eastAsia="Arial" w:hAnsi="Arial"/>
          <w:b/>
          <w:bCs/>
          <w:i w:val="false"/>
          <w:iCs w:val="false"/>
          <w:color w:val="606060"/>
          <w:sz w:val="21"/>
          <w:szCs w:val="21"/>
          <w:rtl/>
        </w:rPr>
        <w:t xml:space="preserve">الجدول 2: بوابات التحقق النهائية</w:t>
      </w:r>
    </w:p>
    <w:tbl>
      <w:tblPr>
        <w:bidiVisual/>
        <w:tblW w:type="pct" w:w="100%"/>
        <w:tblBorders>
          <w:top w:val="single" w:color="C9A84C" w:sz="2"/>
          <w:left w:val="none" w:color="FFFFFF" w:sz="0"/>
          <w:bottom w:val="single" w:color="C9A84C" w:sz="2"/>
          <w:right w:val="none" w:color="FFFFFF" w:sz="0"/>
          <w:insideH w:val="single" w:color="DDD5C0" w:sz="1"/>
          <w:insideV w:val="none" w:color="FFFFFF" w:sz="0"/>
        </w:tblBorders>
      </w:tblPr>
      <w:tblGrid>
        <w:gridCol w:w="100"/>
        <w:gridCol w:w="100"/>
      </w:tblGrid>
      <w:tr>
        <w:trPr>
          <w:cantSplit/>
          <w:tblHeader/>
        </w:trPr>
        <w:tc>
          <w:tcPr>
            <w:tcW w:type="pct" w:w="40%"/>
            <w:shd w:fill="C9A84C" w:val="clear"/>
            <w:tcMar>
              <w:top w:type="dxa" w:w="80"/>
              <w:left w:type="dxa" w:w="120"/>
              <w:bottom w:type="dxa" w:w="80"/>
              <w:right w:type="dxa" w:w="120"/>
            </w:tcMar>
          </w:tcPr>
          <w:p>
            <w:pPr>
              <w:bidi/>
              <w:spacing w:line="300"/>
              <w:jc w:val="start"/>
            </w:pPr>
            <w:r>
              <w:rPr>
                <w:rFonts w:ascii="Arial" w:cs="Arial" w:eastAsia="Arial" w:hAnsi="Arial"/>
                <w:b/>
                <w:bCs/>
                <w:i w:val="false"/>
                <w:iCs w:val="false"/>
                <w:color w:val="1A1A1A"/>
                <w:sz w:val="21"/>
                <w:szCs w:val="21"/>
                <w:rtl/>
              </w:rPr>
              <w:t xml:space="preserve">البوابة</w:t>
            </w:r>
          </w:p>
        </w:tc>
        <w:tc>
          <w:tcPr>
            <w:tcW w:type="pct" w:w="60%"/>
            <w:shd w:fill="C9A84C" w:val="clear"/>
            <w:tcMar>
              <w:top w:type="dxa" w:w="80"/>
              <w:left w:type="dxa" w:w="120"/>
              <w:bottom w:type="dxa" w:w="80"/>
              <w:right w:type="dxa" w:w="120"/>
            </w:tcMar>
          </w:tcPr>
          <w:p>
            <w:pPr>
              <w:bidi/>
              <w:spacing w:line="300"/>
              <w:jc w:val="start"/>
            </w:pPr>
            <w:r>
              <w:rPr>
                <w:rFonts w:ascii="Arial" w:cs="Arial" w:eastAsia="Arial" w:hAnsi="Arial"/>
                <w:b/>
                <w:bCs/>
                <w:i w:val="false"/>
                <w:iCs w:val="false"/>
                <w:color w:val="1A1A1A"/>
                <w:sz w:val="21"/>
                <w:szCs w:val="21"/>
                <w:rtl/>
              </w:rPr>
              <w:t xml:space="preserve">النتيجة</w:t>
            </w:r>
          </w:p>
        </w:tc>
      </w:tr>
      <w:tr>
        <w:trPr>
          <w:cantSplit/>
        </w:trPr>
        <w:tc>
          <w:tcPr>
            <w:tcW w:type="pct" w:w="NaNاح"/>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فحص الأنواع (الجذر + النموذج الأولي)</w:t>
            </w:r>
          </w:p>
        </w:tc>
      </w:tr>
      <w:tr>
        <w:trPr>
          <w:cantSplit/>
        </w:trPr>
        <w:tc>
          <w:tcPr>
            <w:tcW w:type="pct" w:w="NaNيد"/>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lint</w:t>
            </w:r>
          </w:p>
        </w:tc>
      </w:tr>
      <w:tr>
        <w:trPr>
          <w:cantSplit/>
        </w:trPr>
        <w:tc>
          <w:tcPr>
            <w:tcW w:type="pct" w:w="NaNم)"/>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اختبارات المجال</w:t>
            </w:r>
          </w:p>
        </w:tc>
      </w:tr>
      <w:tr>
        <w:trPr>
          <w:cantSplit/>
        </w:trPr>
        <w:tc>
          <w:tcPr>
            <w:tcW w:type="pct" w:w="NaNت)"/>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اختبارات النموذج الأولي</w:t>
            </w:r>
          </w:p>
        </w:tc>
      </w:tr>
      <w:tr>
        <w:trPr>
          <w:cantSplit/>
        </w:trPr>
        <w:tc>
          <w:tcPr>
            <w:tcW w:type="pct" w:w="NaN89"/>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الكثافة النصية</w:t>
            </w:r>
          </w:p>
        </w:tc>
      </w:tr>
      <w:tr>
        <w:trPr>
          <w:cantSplit/>
        </w:trPr>
        <w:tc>
          <w:tcPr>
            <w:tcW w:type="pct" w:w="NaNاح"/>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حرّاس رموز التصميم + stylelint</w:t>
            </w:r>
          </w:p>
        </w:tc>
      </w:tr>
      <w:tr>
        <w:trPr>
          <w:cantSplit/>
        </w:trPr>
        <w:tc>
          <w:tcPr>
            <w:tcW w:type="pct" w:w="NaNن)"/>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البناء الإنتاجي</w:t>
            </w:r>
          </w:p>
        </w:tc>
      </w:tr>
      <w:tr>
        <w:trPr>
          <w:cantSplit/>
        </w:trPr>
        <w:tc>
          <w:tcPr>
            <w:tcW w:type="pct" w:w="NaNc5"/>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تكامل GitHub Actions</w:t>
            </w:r>
          </w:p>
        </w:tc>
      </w:tr>
      <w:tr>
        <w:trPr>
          <w:cantSplit/>
        </w:trPr>
        <w:tc>
          <w:tcPr>
            <w:tcW w:type="pct" w:w="NaNفة"/>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الدمج</w:t>
            </w:r>
          </w:p>
        </w:tc>
      </w:tr>
    </w:tbl>
    <w:p>
      <w:pPr>
        <w:bidi/>
        <w:spacing w:after="120" w:line="312"/>
        <w:jc w:val="both"/>
      </w:pPr>
      <w:r>
        <w:rPr>
          <w:rFonts w:ascii="Arial" w:cs="Arial" w:eastAsia="Arial" w:hAnsi="Arial"/>
          <w:b w:val="false"/>
          <w:bCs w:val="false"/>
          <w:i w:val="false"/>
          <w:iCs w:val="false"/>
          <w:color w:val="000000"/>
          <w:sz w:val="24"/>
          <w:szCs w:val="24"/>
          <w:rtl/>
        </w:rPr>
        <w:t xml:space="preserve">الاختبارات الجديدة (41) تحرس كل عقد: تطبيع الوسم وحدّه وتجميده ونسخه في التراجع؛ التوائم على مستوى المجال والخدمة بكل فروض الحصة؛ دورة الترحيل كاملة مع رفض الوسم الطويل وعدم مسّ البيانات؛ انحدار دورة التحويل المعكوس؛ قفل الكانون بتطابق الكائن والتجسس وnull؛ نظافة الفحص من الكتابات بلقطة متطابقة، واكتشاف كل تلف مزروع بمعرّفه، والحالات المعلقة تحذيرًا؛ رحلة المحرر الموجّهة كاملة من وجهة الصرف إلى صدق فشل النسبة والمسودة؛ رقاقة المسار السريع؛ سطح فحص السلامة وحالاته؛ وأسطح الباب والتجميع ووسم صف السجل.</w:t>
      </w:r>
    </w:p>
    <w:p>
      <w:pPr>
        <w:pStyle w:val="Heading1"/>
        <w:bidi/>
        <w:spacing w:after="160" w:before="360" w:line="380" w:lineRule="atLeast"/>
        <w:jc w:val="start"/>
      </w:pPr>
      <w:bookmarkStart w:id="100008" w:name="_Toc100008"/>
      <w:r>
        <w:rPr>
          <w:rFonts w:ascii="Arial" w:cs="Arial" w:eastAsia="Arial" w:hAnsi="Arial"/>
          <w:b/>
          <w:bCs/>
          <w:i w:val="false"/>
          <w:iCs w:val="false"/>
          <w:color w:val="1A1A1A"/>
          <w:sz w:val="30"/>
          <w:szCs w:val="30"/>
          <w:rtl/>
        </w:rPr>
        <w:t xml:space="preserve">الفحص الحي على بناء الإنتاج</w:t>
      </w:r>
      <w:bookmarkEnd w:id="100008"/>
    </w:p>
    <w:p>
      <w:pPr>
        <w:bidi/>
        <w:spacing w:after="120" w:line="312"/>
        <w:jc w:val="both"/>
      </w:pPr>
      <w:r>
        <w:rPr>
          <w:rFonts w:ascii="Arial" w:cs="Arial" w:eastAsia="Arial" w:hAnsi="Arial"/>
          <w:b w:val="false"/>
          <w:bCs w:val="false"/>
          <w:i w:val="false"/>
          <w:iCs w:val="false"/>
          <w:color w:val="000000"/>
          <w:sz w:val="24"/>
          <w:szCs w:val="24"/>
          <w:rtl/>
        </w:rPr>
        <w:t xml:space="preserve">شُغّل البناء الإنتاجي محليًا وقُد بجلسة متصفح حقيقية بدقة 390×844 من اليمين إلى اليسار. اكتملت رحلة الاستخدام الأولى (اسم المشروع، محفظة «الدرج»، بداية من الصفر) وشريط التنقل الخماسي مع زر التسجيل في المنتصف كما هو. السيناريو أ: من زر التسجيل، مصروف 25.00 دينار من «الدرج» برقاقة «بنزين»، فظهر سطر الأثر بالمحفظة وبالسلبيات، ثم الوصل «سُجّل مصروف 25.00 د.أ — الكاش المسجل الآن -25.00 د.أ.»، ثم صف السجل يعرض «للمشروع · معروف · تصنيفك: بنزين». السيناريو ب: 300.00 دينار بتصنيف «رواتب» وطبيعة «ثابت غالبًا» مع المعاينة، فأطلق فشل النسبة الحقيقي (رصيد المحفظة صفر) وأبقى الصفحة ظاهرة بالنص الصادق ووصلة السجل وزر العودة الآمن. السيناريو ج: مشترك 100.00 بنسبة 60% فعرضت بطاقة المراجعة الصفوف المتطابقة (الإجمالي 100.00 والحصة 60.00 والباقي خارج المشروع 40.00 والمتبقي غير الموزع 0.00) والمعاينة بالحصة المحسوبة 60.00. السيناريو هـ: معاينة المستحق بلا تغيير كاش. فحص السلامة: «سليم — الأرقام متسقة» بتاريخ 03/09/2026 وخمس بطاقات سليمة. وباب مالي حاضر، وتجميع الكشف يفتح إلى «رواتب 300.00» و«بنزين 25.00» بمصادرهما. صفر أخطاء طرفية وصفحية طوال الجلسة.</w:t>
      </w:r>
    </w:p>
    <w:p>
      <w:pPr>
        <w:pStyle w:val="Heading1"/>
        <w:bidi/>
        <w:spacing w:after="160" w:before="360" w:line="380" w:lineRule="atLeast"/>
        <w:jc w:val="start"/>
      </w:pPr>
      <w:bookmarkStart w:id="100009" w:name="_Toc100009"/>
      <w:r>
        <w:rPr>
          <w:rFonts w:ascii="Arial" w:cs="Arial" w:eastAsia="Arial" w:hAnsi="Arial"/>
          <w:b/>
          <w:bCs/>
          <w:i w:val="false"/>
          <w:iCs w:val="false"/>
          <w:color w:val="1A1A1A"/>
          <w:sz w:val="30"/>
          <w:szCs w:val="30"/>
          <w:rtl/>
        </w:rPr>
        <w:t xml:space="preserve">القرارات والحدود المؤجلة والحالة النهائية</w:t>
      </w:r>
      <w:bookmarkEnd w:id="100009"/>
    </w:p>
    <w:p>
      <w:pPr>
        <w:bidi/>
        <w:spacing w:after="120" w:line="312"/>
        <w:jc w:val="both"/>
      </w:pPr>
      <w:r>
        <w:rPr>
          <w:rFonts w:ascii="Arial" w:cs="Arial" w:eastAsia="Arial" w:hAnsi="Arial"/>
          <w:b w:val="false"/>
          <w:bCs w:val="false"/>
          <w:i w:val="false"/>
          <w:iCs w:val="false"/>
          <w:color w:val="000000"/>
          <w:sz w:val="24"/>
          <w:szCs w:val="24"/>
          <w:rtl/>
        </w:rPr>
        <w:t xml:space="preserve">القرارات المسجلة: موضع الوسم داخل سياق المصروف؛ المقترحات الهجينة (مشتقة ∪ بذور عرضية لا متجر إدارة)؛ D-025 (المفتاح وحدة إيداع)؛ D-026 (باب مالي داخل نقطة عمى قياس سابقة للكثافة — المجموعة المقيسة لم تتغير فلا رفع سقف، وإصلاح العدّاد قرار مستقل)؛ وحفظ نموذج «مشروع واحد + مشاركة خارجية» بدل توزيع متعدد المشاريع مع شرحه الصادق في واجهة المراجعة. الحدود المؤجلة بوعي: تصدير الكشف كملف، وطبقة النشاط الموحدة، وجسور المخزون، ومرشّح الوسم في طبقة الأحداث (يحتاج مدخلًا في معجم التنقل المغلق)، وتلميح القرض في محرر السحب (سقف كثافته ممتلئ)، وفحوص MIC المتبقية — كلها للمجموعات اللاحقة. وتبقى حدود القبول القائمة كما هي: فحص جهاز فعلي وقبول Cloudflare إنتاجي وPilot بشري خارج هذه المجموعة.</w:t>
      </w:r>
    </w:p>
    <w:p>
      <w:pPr>
        <w:bidi/>
        <w:spacing w:after="120" w:line="312"/>
        <w:jc w:val="both"/>
      </w:pPr>
      <w:r>
        <w:rPr>
          <w:rFonts w:ascii="Arial" w:cs="Arial" w:eastAsia="Arial" w:hAnsi="Arial"/>
          <w:b w:val="false"/>
          <w:bCs w:val="false"/>
          <w:i w:val="false"/>
          <w:iCs w:val="false"/>
          <w:color w:val="000000"/>
          <w:sz w:val="24"/>
          <w:szCs w:val="24"/>
          <w:rtl/>
        </w:rPr>
        <w:t xml:space="preserve">الحالة النهائية: main عند 761638b بعد دمج طلب 149، والمحلي والبعيد متطابقان وشجرة العمل نظيفة، والتقارير مسلّمة في مستودع التقارير تحت reports/2026/2026-09-03/micro-group-1-guided-financial-entry-001، ولا وجود لأي سر أو رمز دخول في فرق التغيير.</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b w:val="false"/>
        <w:bCs w:val="false"/>
        <w:i w:val="false"/>
        <w:iCs w:val="false"/>
        <w:color w:val="888888"/>
        <w:sz w:val="18"/>
        <w:szCs w:val="18"/>
        <w:rtl/>
      </w:rPr>
      <w:t xml:space="preserve">تقرير تنفيذ المجموعة الأولى — برنامج النقل من Zman إلى Micro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A1A1A"/>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2026-09-03T16:38:04.423Z</dcterms:created>
  <dcterms:modified xsi:type="dcterms:W3CDTF">2026-09-03T16:38:04.423Z</dcterms:modified>
</cp:coreProperties>
</file>

<file path=docProps/custom.xml><?xml version="1.0" encoding="utf-8"?>
<Properties xmlns="http://schemas.openxmlformats.org/officeDocument/2006/custom-properties" xmlns:vt="http://schemas.openxmlformats.org/officeDocument/2006/docPropsVTypes"/>
</file>