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62032" w:val="clear"/>
          </w:tcPr>
          <w:p>
            <w:pPr>
              <w:spacing w:before="4109"/>
            </w:pPr>
          </w:p>
          <w:p>
            <w:pPr>
              <w:pBdr>
                <w:bottom w:val="single" w:color="8B7E5A" w:sz="6" w:space="8"/>
              </w:pBdr>
              <w:bidi/>
              <w:spacing w:after="500"/>
              <w:ind w:left="800" w:right="1200"/>
              <w:jc w:val="right"/>
            </w:pPr>
            <w:r>
              <w:rPr>
                <w:rFonts w:ascii="Arial" w:cs="Arial" w:hAnsi="Arial"/>
                <w:color w:val="8B7E5A"/>
                <w:spacing w:val="40"/>
                <w:sz w:val="18"/>
                <w:szCs w:val="18"/>
              </w:rPr>
              <w:t xml:space="preserve">A P P R O V E D   R E P A I R S   I M P L E M E N T A T I O N   R E P O R T</w:t>
            </w:r>
          </w:p>
          <w:p>
            <w:pPr>
              <w:bidi/>
              <w:spacing w:after="100" w:line="736" w:lineRule="atLeast"/>
              <w:ind w:left="800" w:right="1200"/>
              <w:jc w:val="right"/>
            </w:pPr>
            <w:r>
              <w:rPr>
                <w:rFonts w:ascii="Arial" w:cs="Arial" w:hAnsi="Arial"/>
                <w:b/>
                <w:bCs/>
                <w:color w:val="FFFFFF"/>
                <w:sz w:val="64"/>
                <w:szCs w:val="64"/>
                <w:rtl/>
              </w:rPr>
              <w:t xml:space="preserve">تقرير دورة الإصلاحات المعتمدة</w:t>
            </w:r>
          </w:p>
          <w:p>
            <w:pPr>
              <w:bidi/>
              <w:spacing w:after="300" w:line="736" w:lineRule="atLeast"/>
              <w:ind w:left="800" w:right="1200"/>
              <w:jc w:val="right"/>
            </w:pPr>
            <w:r>
              <w:rPr>
                <w:rFonts w:ascii="Arial" w:cs="Arial" w:hAnsi="Arial"/>
                <w:b/>
                <w:bCs/>
                <w:color w:val="FFFFFF"/>
                <w:sz w:val="64"/>
                <w:szCs w:val="64"/>
                <w:rtl/>
              </w:rPr>
              <w:t xml:space="preserve">تنفيذ قرارات المالك — 22 بندًا و3 متطلبات تسليم</w:t>
            </w:r>
          </w:p>
          <w:p>
            <w:pPr>
              <w:bidi/>
              <w:spacing w:after="800" w:line="340" w:lineRule="atLeast"/>
              <w:ind w:left="800" w:right="1200"/>
              <w:jc w:val="right"/>
            </w:pPr>
            <w:r>
              <w:rPr>
                <w:rFonts w:ascii="Arial" w:cs="Arial" w:hAnsi="Arial"/>
                <w:color w:val="C9D2DE"/>
                <w:sz w:val="24"/>
                <w:szCs w:val="24"/>
                <w:rtl/>
              </w:rPr>
              <w:t xml:space="preserve">Micro — نظام إدارة مالية وتشغيلية لمالك مشروع متناهٍي الصغر · الأردن · دينار أردني</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خط الأساس: main عند الإيداع f7c14303ff13b96cdedd56725ce83497b843e1a1 (بعد دمج المرحلة الأولى)</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فرع التنفيذ: phase2/approved-repairs — التزام 29472ba — دمج محلي 216390c</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تاريخ التقرير: 1 أيلول / سبتمبر 2026</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الوضع: التنفيذ والتحقق والالتزام والدمج المحلي مكتملة — دفع origin معلّق على رمز الوصول</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الجمهور: مالك المشروع — للمراجعة والتسليم</w:t>
            </w:r>
          </w:p>
          <w:p>
            <w:pPr>
              <w:spacing w:before="4109"/>
            </w:pPr>
          </w:p>
          <w:p>
            <w:pPr>
              <w:pBdr>
                <w:top w:val="single" w:color="8B7E5A" w:sz="2" w:space="8"/>
              </w:pBdr>
              <w:bidi/>
              <w:spacing w:before="200"/>
              <w:ind w:left="800" w:right="1200"/>
              <w:jc w:val="right"/>
            </w:pPr>
            <w:r>
              <w:rPr>
                <w:rFonts w:ascii="Arial" w:cs="Arial" w:hAnsi="Arial"/>
                <w:color w:val="9AA6B2"/>
                <w:sz w:val="16"/>
                <w:szCs w:val="16"/>
                <w:rtl/>
              </w:rPr>
              <w:t xml:space="preserve">نسخة عربية للمراجعة التفصيلية</w:t>
            </w:r>
            <w:r>
              <w:rPr>
                <w:rFonts w:ascii="Arial" w:cs="Arial" w:hAnsi="Arial"/>
                <w:color w:val="9AA6B2"/>
                <w:sz w:val="16"/>
                <w:szCs w:val="16"/>
              </w:rPr>
              <w:t xml:space="preserve">                                   </w:t>
            </w:r>
            <w:r>
              <w:rPr>
                <w:rFonts w:ascii="Arial" w:cs="Arial" w:hAnsi="Arial"/>
                <w:color w:val="9AA6B2"/>
                <w:sz w:val="16"/>
                <w:szCs w:val="16"/>
              </w:rPr>
              <w:t xml:space="preserve">Micro · Approved Repairs Cycle 2026</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hAnsi="Arial"/>
          <w:b/>
          <w:bCs/>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نطاق الدورة وخط الأساس والبروتوكول</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مصفوفة سلامة معرفات المشاكل (البند 23)</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تفاصيل التنفيذ — الحقيقة المالية أولًا (W1)</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4.1 F-005 (قرار D-01): البيع المباشر داخل نتيجة الفترة</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4.2 F-006: الأمانة لا تُسلَّم فوق ما هو محتجز</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5. تفاصيل التنفيذ — تجربة التصحيح والقراءة (W2)</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5.1 D-005: أسطح التصحيح الثلاثة الموثقة</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5.2 U-001: «السجل» — تاريخ موحد لكل تصحيح</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5.3 U-002 وD-003 وU-005 وF-003 وQ-003</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6. تفاصيل التنفيذ — القرارات وحزمة المنتج (W3)</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6.1 P-002 (الخيار أ) وU-004 والقرارات العرضية</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7. بند 24 — نطاق قراءة الفترة معلنًا</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8. بند 25 — حلقة بيع المنتجات ودلالة الكمية</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9. ما بقي عمدًا كما هو — ولماذا</w:t>
            </w:r>
            <w:r>
              <w:tab/>
            </w:r>
            <w:r>
              <w:fldChar w:fldCharType="begin"/>
            </w:r>
            <w:r>
              <w:instrText xml:space="preserve"> PAGEREF _Toc100014 \h </w:instrText>
            </w:r>
            <w:r>
              <w:fldChar w:fldCharType="separate"/>
            </w:r>
            <w:r>
              <w:t>9</w:t>
            </w:r>
            <w:r>
              <w:fldChar w:fldCharType="end"/>
            </w:r>
          </w:hyperlink>
        </w:p>
        <w:p>
          <w:pPr>
            <w:pStyle w:val="9"/>
            <w:tabs>
              <w:tab w:val="right" w:leader="dot" w:pos="9026"/>
            </w:tabs>
            <w:spacing w:before="120" w:after="60"/>
          </w:pPr>
          <w:hyperlink w:anchor="_Toc100015" w:history="1">
            <w:r>
              <w:rPr>
                <w:rStyle w:val="Hyperlink"/>
              </w:rPr>
              <w:t>10. الثوابت المالية المحفوظة (تحقق غير قابل للتفاوض)</w:t>
            </w:r>
            <w:r>
              <w:tab/>
            </w:r>
            <w:r>
              <w:fldChar w:fldCharType="begin"/>
            </w:r>
            <w:r>
              <w:instrText xml:space="preserve"> PAGEREF _Toc100015 \h </w:instrText>
            </w:r>
            <w:r>
              <w:fldChar w:fldCharType="separate"/>
            </w:r>
            <w:r>
              <w:t>9</w:t>
            </w:r>
            <w:r>
              <w:fldChar w:fldCharType="end"/>
            </w:r>
          </w:hyperlink>
        </w:p>
        <w:p>
          <w:pPr>
            <w:pStyle w:val="9"/>
            <w:tabs>
              <w:tab w:val="right" w:leader="dot" w:pos="9026"/>
            </w:tabs>
            <w:spacing w:before="120" w:after="60"/>
          </w:pPr>
          <w:hyperlink w:anchor="_Toc100016" w:history="1">
            <w:r>
              <w:rPr>
                <w:rStyle w:val="Hyperlink"/>
              </w:rPr>
              <w:t>11. التحقق والبوابات — نتائج مقاسة</w:t>
            </w:r>
            <w:r>
              <w:tab/>
            </w:r>
            <w:r>
              <w:fldChar w:fldCharType="begin"/>
            </w:r>
            <w:r>
              <w:instrText xml:space="preserve"> PAGEREF _Toc100016 \h </w:instrText>
            </w:r>
            <w:r>
              <w:fldChar w:fldCharType="separate"/>
            </w:r>
            <w:r>
              <w:t>10</w:t>
            </w:r>
            <w:r>
              <w:fldChar w:fldCharType="end"/>
            </w:r>
          </w:hyperlink>
        </w:p>
        <w:p>
          <w:pPr>
            <w:pStyle w:val="9"/>
            <w:tabs>
              <w:tab w:val="right" w:leader="dot" w:pos="9026"/>
            </w:tabs>
            <w:spacing w:before="120" w:after="60"/>
          </w:pPr>
          <w:hyperlink w:anchor="_Toc100017" w:history="1">
            <w:r>
              <w:rPr>
                <w:rStyle w:val="Hyperlink"/>
              </w:rPr>
              <w:t>12. حالة التسليم على GitHub</w:t>
            </w:r>
            <w:r>
              <w:tab/>
            </w:r>
            <w:r>
              <w:fldChar w:fldCharType="begin"/>
            </w:r>
            <w:r>
              <w:instrText xml:space="preserve"> PAGEREF _Toc100017 \h </w:instrText>
            </w:r>
            <w:r>
              <w:fldChar w:fldCharType="separate"/>
            </w:r>
            <w:r>
              <w:t>10</w:t>
            </w:r>
            <w:r>
              <w:fldChar w:fldCharType="end"/>
            </w:r>
          </w:hyperlink>
        </w:p>
        <w:p>
          <w:pPr>
            <w:pStyle w:val="9"/>
            <w:tabs>
              <w:tab w:val="right" w:leader="dot" w:pos="9026"/>
            </w:tabs>
            <w:spacing w:before="120" w:after="60"/>
          </w:pPr>
          <w:hyperlink w:anchor="_Toc100018" w:history="1">
            <w:r>
              <w:rPr>
                <w:rStyle w:val="Hyperlink"/>
              </w:rPr>
              <w:t>13. حدود التقرير وثقته</w:t>
            </w:r>
            <w:r>
              <w:tab/>
            </w:r>
            <w:r>
              <w:fldChar w:fldCharType="begin"/>
            </w:r>
            <w:r>
              <w:instrText xml:space="preserve"> PAGEREF _Toc100018 \h </w:instrText>
            </w:r>
            <w:r>
              <w:fldChar w:fldCharType="separate"/>
            </w:r>
            <w:r>
              <w:t>11</w:t>
            </w:r>
            <w:r>
              <w:fldChar w:fldCharType="end"/>
            </w:r>
          </w:hyperlink>
        </w:p>
        <w:p>
          <w:r>
            <w:fldChar w:fldCharType="end"/>
          </w:r>
        </w:p>
      </w:sdtContent>
    </w:sdt>
    <w:p>
      <w:pPr>
        <w:bidi/>
        <w:spacing w:before="200"/>
        <w:jc w:val="right"/>
      </w:pPr>
      <w:r>
        <w:rPr>
          <w:rFonts w:ascii="Arial" w:cs="Arial" w:hAnsi="Arial"/>
          <w:i/>
          <w:iCs/>
          <w:color w:val="888888"/>
          <w:sz w:val="18"/>
          <w:szCs w:val="18"/>
          <w:rtl/>
        </w:rPr>
        <w:t xml:space="preserve">ملاحظة: هذا الفهرس مولّد برموز حقول. بعد أي تعديل على المستند، انقر بزر الفأرة الأيمن على الفهرس واختر «تحديث الحقل» لتحديث أرقام الصفحات.</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right"/>
      </w:pPr>
      <w:bookmarkStart w:id="100000" w:name="_Toc100000"/>
      <w:r>
        <w:rPr>
          <w:rFonts w:ascii="Arial" w:cs="Arial" w:hAnsi="Arial"/>
          <w:b/>
          <w:bCs/>
          <w:color w:val="162032"/>
          <w:sz w:val="32"/>
          <w:szCs w:val="32"/>
          <w:rtl/>
        </w:rPr>
        <w:t xml:space="preserve">1. الملخص التنفيذي</w:t>
      </w:r>
      <w:bookmarkEnd w:id="100000"/>
    </w:p>
    <w:p>
      <w:pPr>
        <w:bidi/>
        <w:spacing w:after="120" w:line="312"/>
        <w:jc w:val="both"/>
      </w:pPr>
      <w:r>
        <w:rPr>
          <w:rFonts w:ascii="Arial" w:cs="Arial" w:hAnsi="Arial"/>
          <w:b w:val="false"/>
          <w:bCs w:val="false"/>
          <w:sz w:val="24"/>
          <w:szCs w:val="24"/>
          <w:rtl/>
        </w:rPr>
        <w:t xml:space="preserve">هذا التقرير يوثّق دورة الإصلاح الثانية لمشروع Micro: تنفيذ القرارات الاثنين والعشرين التي أقرّها المالك بعد التقرير العميق لتجربة الاستخدام والمنتج، إضافة إلى متطلبات التسليم الثلاثة (مصفوفة المعرفات، ونطاق قراءة الفترة، واكتمال حلقة بيع المنتجات مع دلالة الكمية). نُفِّذت الدورة كاملة على فرع مستقل من آخر main، واجتازت جميع بوابات التحقق الثماني دون أي إخفاق: 182 اختبار نطاق (+2)، و433 اختبار نموذج أولي (+25 منذ المرحلة الأولى)، وتحقق أنواع على المستويين، وحدّ إنذارات lint عند 37 (خط الأساس)، وضوابط الكثافة النصية كلها داخل الحدود الموثقة، وحرّاس نظام التصميم مع stylelint، وبناء إنتاج PWA بـ55 مدخل تخزين مسبق بلا أي بقايا تطوير.</w:t>
      </w:r>
    </w:p>
    <w:p>
      <w:pPr>
        <w:bidi/>
        <w:spacing w:after="120" w:line="312"/>
        <w:jc w:val="both"/>
      </w:pPr>
      <w:r>
        <w:rPr>
          <w:rFonts w:ascii="Arial" w:cs="Arial" w:hAnsi="Arial"/>
          <w:b w:val="false"/>
          <w:bCs w:val="false"/>
          <w:sz w:val="24"/>
          <w:szCs w:val="24"/>
          <w:rtl/>
        </w:rPr>
        <w:t xml:space="preserve">المبدأ الحاكم للدورة كلها كان صدق المال: لا يُختلق رقم، ولا يُقلب مجهول إلى صفر، ولا يُعاد كتابة تاريخ، ولا يُحسب إيراد مرتين. كل بند من البنود المنفَّذة يشرح في الكود نفسه سبب وجوده بتعليق يحمل رقم البند وقرار المالك، وكل رفع لحدّ كثافة نصية موثق بتاريخه وسببه في سكربت القياس وفق نظام السقّاطة (ratchet) المعتمد في المستودع. البنود التي لم تتغير (C-001 وH-001 وY-001) بقيت كذلك عمدًا بقرار المالك لا بإغفال، وقرارها مذكور في مصفوفة البند 23.</w:t>
      </w:r>
    </w:p>
    <w:p>
      <w:pPr>
        <w:keepNext/>
        <w:bidi/>
        <w:spacing w:after="80" w:before="160"/>
        <w:jc w:val="right"/>
      </w:pPr>
      <w:r>
        <w:rPr>
          <w:rFonts w:ascii="Arial" w:cs="Arial" w:hAnsi="Arial"/>
          <w:b/>
          <w:bCs/>
          <w:sz w:val="21"/>
          <w:szCs w:val="21"/>
          <w:rtl/>
        </w:rPr>
        <w:t xml:space="preserve">جدول 1 — بطاقة الدورة</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tblGrid>
      <w:tr>
        <w:trPr>
          <w:cantSplit/>
          <w:tblHeader/>
        </w:trPr>
        <w:tc>
          <w:tcPr>
            <w:tcW w:type="pct" w:w="3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الحقل</w:t>
            </w:r>
          </w:p>
        </w:tc>
        <w:tc>
          <w:tcPr>
            <w:tcW w:type="pct" w:w="6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القيمة</w:t>
            </w:r>
          </w:p>
        </w:tc>
      </w:tr>
      <w:tr>
        <w:trPr>
          <w:cantSplit/>
        </w:trPr>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خط الأساس</w:t>
            </w:r>
          </w:p>
        </w:tc>
        <w:tc>
          <w:tcPr>
            <w:tcW w:type="pct" w:w="6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main عند f7c14303ff13b96cdedd56725ce83497b843e1a1 (بعد دمج المرحلة الأولى)</w:t>
            </w:r>
          </w:p>
        </w:tc>
      </w:tr>
      <w:tr>
        <w:trPr>
          <w:cantSplit/>
        </w:trPr>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فرع التنفيذ</w:t>
            </w:r>
          </w:p>
        </w:tc>
        <w:tc>
          <w:tcPr>
            <w:tcW w:type="pct" w:w="6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phase2/approved-repairs (التزام 29472ba — 52 ملفًا، +3365/−213)</w:t>
            </w:r>
          </w:p>
        </w:tc>
      </w:tr>
      <w:tr>
        <w:trPr>
          <w:cantSplit/>
        </w:trPr>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التزام الدمج المحلي</w:t>
            </w:r>
          </w:p>
        </w:tc>
        <w:tc>
          <w:tcPr>
            <w:tcW w:type="pct" w:w="6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216390c (دمج --no-ff إلى main بعد التحقق أن origin/main لم يتحرك)</w:t>
            </w:r>
          </w:p>
        </w:tc>
      </w:tr>
      <w:tr>
        <w:trPr>
          <w:cantSplit/>
        </w:trPr>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حجم التغيير</w:t>
            </w:r>
          </w:p>
        </w:tc>
        <w:tc>
          <w:tcPr>
            <w:tcW w:type="pct" w:w="6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8 ملفات جديدة (منها 3 ملفات اختبار) + حذف Toaster غير المستخدم</w:t>
            </w:r>
          </w:p>
        </w:tc>
      </w:tr>
      <w:tr>
        <w:trPr>
          <w:cantSplit/>
        </w:trPr>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الاختبارات</w:t>
            </w:r>
          </w:p>
        </w:tc>
        <w:tc>
          <w:tcPr>
            <w:tcW w:type="pct" w:w="6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نطاق 182 (كان 180) · نموذج أولي 433 (كان 408) — كلها ناجحة</w:t>
            </w:r>
          </w:p>
        </w:tc>
      </w:tr>
      <w:tr>
        <w:trPr>
          <w:cantSplit/>
        </w:trPr>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البوابات</w:t>
            </w:r>
          </w:p>
        </w:tc>
        <w:tc>
          <w:tcPr>
            <w:tcW w:type="pct" w:w="6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typecheck ×2 · lint 37/37 · كثافة · حرّاس تصميم + stylelint · بناء PWA</w:t>
            </w:r>
          </w:p>
        </w:tc>
      </w:tr>
      <w:tr>
        <w:trPr>
          <w:cantSplit/>
        </w:trPr>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الأسرار</w:t>
            </w:r>
          </w:p>
        </w:tc>
        <w:tc>
          <w:tcPr>
            <w:tcW w:type="pct" w:w="6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شيء — مسح التزام كامل: لا رموز ولا مفاتيح (reloadToken مصطلح واجهة لا اعتماد)</w:t>
            </w:r>
          </w:p>
        </w:tc>
      </w:tr>
    </w:tbl>
    <w:p>
      <w:pPr>
        <w:spacing w:after="120"/>
      </w:pPr>
    </w:p>
    <w:p>
      <w:pPr>
        <w:pBdr>
          <w:right w:val="single" w:color="8B7E5A" w:sz="12" w:space="8"/>
        </w:pBdr>
        <w:shd w:fill="F5F4EF" w:val="clear"/>
        <w:bidi/>
        <w:spacing w:after="160" w:before="120" w:line="312"/>
        <w:jc w:val="both"/>
      </w:pPr>
      <w:r>
        <w:rPr>
          <w:rFonts w:ascii="Arial" w:cs="Arial" w:hAnsi="Arial"/>
          <w:b w:val="false"/>
          <w:bCs w:val="false"/>
          <w:sz w:val="24"/>
          <w:szCs w:val="24"/>
          <w:rtl/>
        </w:rPr>
        <w:t xml:space="preserve">خطوة واحدة فقط من بروتوكول تسليم GitHub بقيت معلّقة عند إغلاق هذه الجلسة: دفع الفرع ثم main إلى origin، لأن رمز الوصول لم يعد متاحًا في هذه الجلسة (القراءة العامة للمستودع تعمل؛ الدفع يتطلب اعتمادًا). كل شيء آخر — التنفيذ والتحقق والالتزام والدمج المحلي والتقارير — مكتمل. القسم 9 يوثّق الحالة والأوامر الدقيقة المتبقية.</w:t>
      </w:r>
    </w:p>
    <w:p>
      <w:pPr>
        <w:pStyle w:val="Heading1"/>
        <w:bidi/>
        <w:spacing w:after="160" w:before="360" w:line="312"/>
        <w:jc w:val="right"/>
      </w:pPr>
      <w:bookmarkStart w:id="100001" w:name="_Toc100001"/>
      <w:r>
        <w:rPr>
          <w:rFonts w:ascii="Arial" w:cs="Arial" w:hAnsi="Arial"/>
          <w:b/>
          <w:bCs/>
          <w:color w:val="162032"/>
          <w:sz w:val="32"/>
          <w:szCs w:val="32"/>
          <w:rtl/>
        </w:rPr>
        <w:t xml:space="preserve">2. نطاق الدورة وخط الأساس والبروتوكول</w:t>
      </w:r>
      <w:bookmarkEnd w:id="100001"/>
    </w:p>
    <w:p>
      <w:pPr>
        <w:bidi/>
        <w:spacing w:after="120" w:line="312"/>
        <w:jc w:val="both"/>
      </w:pPr>
      <w:r>
        <w:rPr>
          <w:rFonts w:ascii="Arial" w:cs="Arial" w:hAnsi="Arial"/>
          <w:b w:val="false"/>
          <w:bCs w:val="false"/>
          <w:sz w:val="24"/>
          <w:szCs w:val="24"/>
          <w:rtl/>
        </w:rPr>
        <w:t xml:space="preserve">خط الأساس الوحيد للتنفيذ هو آخر main البعيد بعد دمج المرحلة الأولى (f7c1430)، ولم يُستعمل أي تاريخ سابق للكود مصدرًا للقرارات؛ تقرير المرحلة الثانية العميق كان المرجع التحليلي فقط. قُبيل الالتزام جُلب origin/main وتحقّق أنه ما زال عند f7c1430 (لا تحرك عن بعد)، ثم دُمج الفرع بدمج --no-ff محفوظ التاريخ، بلا أي دفع قسري، وبمسح أسرار كامل قبل الالتزام. المسار الوحيد المتعمد الذي بقى خارج الالتزام هو مجلد docs/product-audit/ (تقارير التحليل) وهو أثر تسليم غير متتبَّع وفق سابقة المرحلتين الأوليين.</w:t>
      </w:r>
    </w:p>
    <w:p>
      <w:pPr>
        <w:bidi/>
        <w:spacing w:after="120" w:line="312"/>
        <w:jc w:val="both"/>
      </w:pPr>
      <w:r>
        <w:rPr>
          <w:rFonts w:ascii="Arial" w:cs="Arial" w:hAnsi="Arial"/>
          <w:b w:val="false"/>
          <w:bCs w:val="false"/>
          <w:sz w:val="24"/>
          <w:szCs w:val="24"/>
          <w:rtl/>
        </w:rPr>
        <w:t xml:space="preserve">ترتيب التنفيذ داخل الدورة اتبع خارطة الطريق الموصى بها في التقرير العميق: موجة W1 أولًا (تصلّب الحقيقة المالية: F-005 وF-006)، ثم W2 (تجربة التصحيح والقراءة: D-005 وU-001 وU-002 وD-003 وU-005 وQ-003 وF-003)، ثم W3 (القرارات وحزمة المنتج: P-002 وU-004 وP-001 وP-003 وP-004 وD-002 وD-006 وD-004 وU-003 وO-001). لم تنفَّذ أي موجة لاحقة (W4 التحقق الميداني، W5 البيع الموجَّه بالمنتج، W6 السحابة) — وهي خارج نطاق قرارات هذه الدورة أصلاً.</w:t>
      </w:r>
    </w:p>
    <w:p>
      <w:pPr>
        <w:bidi/>
        <w:spacing w:after="80" w:line="312"/>
        <w:ind w:right="240"/>
        <w:jc w:val="right"/>
      </w:pPr>
      <w:r>
        <w:rPr>
          <w:rFonts w:ascii="Arial" w:cs="Arial" w:hAnsi="Arial"/>
          <w:b w:val="false"/>
          <w:bCs w:val="false"/>
          <w:sz w:val="24"/>
          <w:szCs w:val="24"/>
          <w:rtl/>
        </w:rPr>
        <w:t xml:space="preserve">• النطاق شمل الكود والاختبارات ووثائق الأعداد النصي في سكربت الكثافة — لا تغيير مخطط تخزين ولا إصدار تصدير (كل الحقول الجديدة اختيارية التوافق مع الملفات القديمة).</w:t>
      </w:r>
    </w:p>
    <w:p>
      <w:pPr>
        <w:bidi/>
        <w:spacing w:after="80" w:line="312"/>
        <w:ind w:right="240"/>
        <w:jc w:val="right"/>
      </w:pPr>
      <w:r>
        <w:rPr>
          <w:rFonts w:ascii="Arial" w:cs="Arial" w:hAnsi="Arial"/>
          <w:b w:val="false"/>
          <w:bCs w:val="false"/>
          <w:sz w:val="24"/>
          <w:szCs w:val="24"/>
          <w:rtl/>
        </w:rPr>
        <w:t xml:space="preserve">• لا وحدة خامسة في شريط التنقل؛ لا إعادة تصميم Flow كبرى (خارج النطاق بقرار المالك).</w:t>
      </w:r>
    </w:p>
    <w:p>
      <w:pPr>
        <w:bidi/>
        <w:spacing w:after="80" w:line="312"/>
        <w:ind w:right="240"/>
        <w:jc w:val="right"/>
      </w:pPr>
      <w:r>
        <w:rPr>
          <w:rFonts w:ascii="Arial" w:cs="Arial" w:hAnsi="Arial"/>
          <w:b w:val="false"/>
          <w:bCs w:val="false"/>
          <w:sz w:val="24"/>
          <w:szCs w:val="24"/>
          <w:rtl/>
        </w:rPr>
        <w:t xml:space="preserve">• كل تحديث لاختبار قديم سببه تغيّر السلوك المتعمد نفسه (مثل مسار /orders/new الذي صار تحويلًا عميقًا) — لا تعديل لإخفاق غير مفهوم.</w:t>
      </w:r>
    </w:p>
    <w:p>
      <w:pPr>
        <w:pStyle w:val="Heading1"/>
        <w:bidi/>
        <w:spacing w:after="160" w:before="360" w:line="312"/>
        <w:jc w:val="right"/>
      </w:pPr>
      <w:bookmarkStart w:id="100002" w:name="_Toc100002"/>
      <w:r>
        <w:rPr>
          <w:rFonts w:ascii="Arial" w:cs="Arial" w:hAnsi="Arial"/>
          <w:b/>
          <w:bCs/>
          <w:color w:val="162032"/>
          <w:sz w:val="32"/>
          <w:szCs w:val="32"/>
          <w:rtl/>
        </w:rPr>
        <w:t xml:space="preserve">3. مصفوفة سلامة معرفات المشاكل (البند 23)</w:t>
      </w:r>
      <w:bookmarkEnd w:id="100002"/>
    </w:p>
    <w:p>
      <w:pPr>
        <w:bidi/>
        <w:spacing w:after="120" w:line="312"/>
        <w:jc w:val="both"/>
      </w:pPr>
      <w:r>
        <w:rPr>
          <w:rFonts w:ascii="Arial" w:cs="Arial" w:hAnsi="Arial"/>
          <w:b w:val="false"/>
          <w:bCs w:val="false"/>
          <w:sz w:val="24"/>
          <w:szCs w:val="24"/>
          <w:rtl/>
        </w:rPr>
        <w:t xml:space="preserve">اشترط البند 23 مصفوفة كاملة لكل معرف ظهر في السجل — لا الاكتفاء بعدّ إجمالي. الجدولان التاليان يغطيان السجل كله: ستة بنود أُغلقت في المرحلة الأولى (وتظل خضراء)، وتسعة عشر بندًا نُفِّذت في هذه الدورة، وثلاثة بنود بقيت عمدًا بقرار المالك، ومتطلبات التسليم الثلاثة. لكل معرف: حالته (منفَّذ / عمدًا كما هو / منفَّذ سابقًا)، وأثره المركزي في الكود، والاختبار أو الدليل الذي يحميه. الحالات المعلّقة أو المتعثرة: لا شيء عدا خطوة الدفع إلى origin الموثقة في القسم 9 (خارج الكود تمامًا).</w:t>
      </w:r>
    </w:p>
    <w:p>
      <w:pPr>
        <w:keepNext/>
        <w:bidi/>
        <w:spacing w:after="80" w:before="160"/>
        <w:jc w:val="right"/>
      </w:pPr>
      <w:r>
        <w:rPr>
          <w:rFonts w:ascii="Arial" w:cs="Arial" w:hAnsi="Arial"/>
          <w:b/>
          <w:bCs/>
          <w:sz w:val="21"/>
          <w:szCs w:val="21"/>
          <w:rtl/>
        </w:rPr>
        <w:t xml:space="preserve">جدول 2 — البنود المنفَّذة في المرحلة الأولى (مغلقة، وتظل محمية باختباراتها)</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tblGrid>
      <w:tr>
        <w:trPr>
          <w:cantSplit/>
          <w:tblHeader/>
        </w:trPr>
        <w:tc>
          <w:tcPr>
            <w:tcW w:type="pct" w:w="1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المعرف</w:t>
            </w:r>
          </w:p>
        </w:tc>
        <w:tc>
          <w:tcPr>
            <w:tcW w:type="pct" w:w="4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المشكلة</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الحالة</w:t>
            </w:r>
          </w:p>
        </w:tc>
        <w:tc>
          <w:tcPr>
            <w:tcW w:type="pct" w:w="3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الأثر المحوري</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F-001</w:t>
            </w:r>
          </w:p>
        </w:tc>
        <w:tc>
          <w:tcPr>
            <w:tcW w:type="pct" w:w="4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نص مال عدّ الصندوق بمقياس خاطئ (÷1000 بدل ÷100) وأرقام خام في نص السبب</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 (م1)</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presentation/cashCountMessages.ts + 3 اختبارات انحدار</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F-002</w:t>
            </w:r>
          </w:p>
        </w:tc>
        <w:tc>
          <w:tcPr>
            <w:tcW w:type="pct" w:w="4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سؤال الرصيد الافتتاحي يُعرض ثم يُهمَل عند تخطّي المحفظة</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 (م1)</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Setup.tsx: التخطّي يحفظ مباشرة؛ المساران مختبَران</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D-001</w:t>
            </w:r>
          </w:p>
        </w:tc>
        <w:tc>
          <w:tcPr>
            <w:tcW w:type="pct" w:w="4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هوية زبون البيع الآجل مستخرجة من نص ملاحظة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 (م1)</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حقل customerName منظّم عبر النطاق والخدمة والمحرر والدفتر مع سقوط آمن للقديم</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F-004</w:t>
            </w:r>
          </w:p>
        </w:tc>
        <w:tc>
          <w:tcPr>
            <w:tcW w:type="pct" w:w="4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حارس التصدير المُتحقَّق يرفض بيعًا بقبض جزئي أو تخفيض سعر — فلا نسخة ممكنة</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 (م1)</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localTransferService: قبول الأشكال النظامية + اختبارات ذهاب-وصول</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Q-001</w:t>
            </w:r>
          </w:p>
        </w:tc>
        <w:tc>
          <w:tcPr>
            <w:tcW w:type="pct" w:w="4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وثيقتا current-state وARCHITECTURE متقادمتان</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 (م1)</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أُعيدتا إلى واقع مخطط 29 / تصدير 21</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Q-002</w:t>
            </w:r>
          </w:p>
        </w:tc>
        <w:tc>
          <w:tcPr>
            <w:tcW w:type="pct" w:w="4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بقايا تتبّع بأسلوب المانع في أصول الإنتاج</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 (م1)</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نُقلت إلى dev-tools خدمة تطوير فقط؛ dist نظيف</w:t>
            </w:r>
          </w:p>
        </w:tc>
      </w:tr>
    </w:tbl>
    <w:p>
      <w:pPr>
        <w:spacing w:after="120"/>
      </w:pPr>
    </w:p>
    <w:p>
      <w:pPr>
        <w:keepNext/>
        <w:bidi/>
        <w:spacing w:after="80" w:before="160"/>
        <w:jc w:val="right"/>
      </w:pPr>
      <w:r>
        <w:rPr>
          <w:rFonts w:ascii="Arial" w:cs="Arial" w:hAnsi="Arial"/>
          <w:b/>
          <w:bCs/>
          <w:sz w:val="21"/>
          <w:szCs w:val="21"/>
          <w:rtl/>
        </w:rPr>
        <w:t xml:space="preserve">جدول 3 — بنود هذه الدورة: المنفَّذ</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tblGrid>
      <w:tr>
        <w:trPr>
          <w:cantSplit/>
          <w:tblHeader/>
        </w:trPr>
        <w:tc>
          <w:tcPr>
            <w:tcW w:type="pct" w:w="1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المعرف</w:t>
            </w:r>
          </w:p>
        </w:tc>
        <w:tc>
          <w:tcPr>
            <w:tcW w:type="pct" w:w="1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القرار</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الحالة</w:t>
            </w:r>
          </w:p>
        </w:tc>
        <w:tc>
          <w:tcPr>
            <w:tcW w:type="pct" w:w="6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الأثر المحوري والدليل</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F-005</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D-01</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إيراد البيع المباشر يُعترف به في نتيجة الفترة بتاريخ البيع وبالثمن المسجّل؛ الملغى مستبعد كليًا؛ التكلفة المجهولة تُبطل الرقم النهائي وتظهر بسبب مسمّى؛ لا ازدواج مع القبض اللاحق — projectFinancialService + بطاقات وشرح النطاق في Finance + 10 اختبارات</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F-006</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تسليم الأمانة لا يتجاوز المحتجز فعليًا (التراجعات محسوبة)؛ خطأ عربي صريح؛ الدفتر لا يتغير عند الرفض — 5 اختبارات خدمة</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F-003</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زر الإضافة (FAB) هو المدخل الأساس للإنشاء؛ /orders/new صار تحويلًا عميقًا واحدًا يحفظ النية (الطلب افتراضيًا، ومسودة التصميم عبر ?intent=) — U06 محدَّث + لا رابط عميق مكسور</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D-002</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D-07</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مقعد خامس؛ دفتر الناس والموردون نوايا قراءة دائمة داخل مسارات مالي — Finance.tsx</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D-003</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اختصار «حصّل من فلان» من صف الطرف يفتح سجل الدين المصدر حيث يجري التحصيل الموثق؛ الدفتر يبقى قراءة صافية — Parties.tsx</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D-004</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«سجّل رصيدًا موثقًا لاحقًا»: محرر فعل واحد عميق (occurredOn حقيقي + سبب إلزامي) يرفع ختم المجهول بقيد إضافي بلا إعادة كتابة + شارة المجهول في قائمة المحافظ — CashOpeningLaterEditor + CashWallets + اختبارات</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D-005</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D-10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التعديل الذرّي (تراجع+بديل بنموذج معبّأ وسبب إلزامي) والحذف الموثق والاسترجاع بأثرها قبل التأكيد — EventsLayer + D005.dom.test</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D-006</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حالات وحدات أدواتي مشتقة من بيانات فعلية (مواعيد، مشتريات، دفتر، كتالوج، مخزون)؛ لا «غير مفعّل» فوق بيانات موجودة — Tools.tsx</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U-001</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«السجل»: سطح قراءة واحد في مالي لكل تصحيح موثق عبر الأحداث والبيع والكاش (نوع + وقت + أثر موقّع + سبب + رابط عميق) — CorrectionHistoryService + CorrectionsLayer + اختبارات</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U-002</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ملخص العودة في الرئيسية: مبيعات ومصاريف وطلبات ومتابعات منذ آخر تسجيل، و«لا شيء جديد» حين لا جديد — Home + homeControlCenterService</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U-003</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مسودة الإعداد تُحفظ محليًا مع كل ضغطة وتُستعاد إلى الخطوة نفسها؛ تُمسح عند الإتمام أو بإعادة صريحة؛ JSON معطوب يُتجاهل بلا انفجار — Setup.tsx</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U-004</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«ابدأ مسودة من هذا التقدير»: جسر غير مالي؛ بنود التقدير تُقترح قابلة للتعديل في محرر التكلفة، والتقدير لا يمس؛ المسودة تحفظ مرجع المصدر أثرًا سجليًا فقط — Tools + DraftEditor + CostEditor + draftService + U004.dom.test + توسيع حارس التصدير</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U-005</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قاعدة تنقل موحدة موثقة ومطبقة في مركز واحد: أسطح القراءة التفصيلية تبقي الشريط، ومحررات الفعل الواحد تخفيه عمدًا (تركيز + حماية غير المحفوظ) — routeClassifier.ts</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P-001</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D-02</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سياسة القرش (منزلتان عشريتان) معلنة للمستخدم في الإعدادات: إدخال وحساب وعرض وتصدير وحدة واحدة متسقة — Settings.tsx</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P-002</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D-05 (أ)</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اقتراحات اختيارية على المرجع (سعر/تكلفة افتراضية) تُعرض كمقترح معلن قابل للتعديل في بيع جديد فقط؛ السعر الفعلي دائمًا ما يؤكده المالك؛ لا عبء في وضع التعديل؛ تحديث الاقتراحات لا يغيّر بيعًا سابقًا؛ المخزون لا يُخصم تلقائيًا — نطاق الكتالوج + catalogService + DirectSaleEditor + Catalog + 9 اختبارات + ذهاب-وصول التصدير</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P-003</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D-06</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تسمية محايدة «مشروعك» بدل «مشغل حرفي» — Setup.tsx</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P-004</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viewport-fit=cover (هوامش الأمان تصير فعلية) + بديل منطقي للوضع الأفقي القصير + 13px لمواد القراءة الفعلية، مع حفظ RTL وأهداف اللمس والمناور — index.html + index.css</w:t>
            </w:r>
          </w:p>
        </w:tc>
      </w:tr>
      <w:tr>
        <w:trPr>
          <w:cantSplit/>
        </w:trPr>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O-001</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D-11</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تذكير نسخة دوري اختياري (مفعّل افتراضيًا، يُطفأ من الإعدادات فيخفي السطر فقط) + عمر النسخة في بطاقة الغياب؛ مسارات فشل التصدير/الاستيراد لا تُتلف البيانات أصلًا — Settings + preferenceService + Home + حارس استيراد موسّع</w:t>
            </w:r>
          </w:p>
        </w:tc>
      </w:tr>
      <w:tr>
        <w:trPr>
          <w:cantSplit/>
        </w:trPr>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Q-003</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6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Toaster غير المستخدم حُذف مع مكوّنه؛ حالة «متوقف مؤقتًا» التي لا مُنتِج لها حُذفت — App.tsx + Tools.tsx</w:t>
            </w:r>
          </w:p>
        </w:tc>
      </w:tr>
    </w:tbl>
    <w:p>
      <w:pPr>
        <w:spacing w:after="120"/>
      </w:pPr>
    </w:p>
    <w:p>
      <w:pPr>
        <w:keepNext/>
        <w:bidi/>
        <w:spacing w:after="80" w:before="160"/>
        <w:jc w:val="right"/>
      </w:pPr>
      <w:r>
        <w:rPr>
          <w:rFonts w:ascii="Arial" w:cs="Arial" w:hAnsi="Arial"/>
          <w:b/>
          <w:bCs/>
          <w:sz w:val="21"/>
          <w:szCs w:val="21"/>
          <w:rtl/>
        </w:rPr>
        <w:t xml:space="preserve">جدول 4 — البنود التي بقيت عمدًا كما هي + متطلبات التسليم</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tblGrid>
      <w:tr>
        <w:trPr>
          <w:cantSplit/>
          <w:tblHeader/>
        </w:trPr>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المعرف</w:t>
            </w:r>
          </w:p>
        </w:tc>
        <w:tc>
          <w:tcPr>
            <w:tcW w:type="pct" w:w="16%"/>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الحالة</w:t>
            </w:r>
          </w:p>
        </w:tc>
        <w:tc>
          <w:tcPr>
            <w:tcW w:type="pct" w:w="7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السبب والحد</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C-001</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عمدًا كما هو</w:t>
            </w:r>
          </w:p>
        </w:tc>
        <w:tc>
          <w:tcPr>
            <w:tcW w:type="pct" w:w="7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مسار المصروف السريع يبقى بأسئله الدنيا (قرار المالك: لا أسئلة زائدة) — QuickActionSheet لم يُمس</w:t>
            </w:r>
          </w:p>
        </w:tc>
      </w:tr>
      <w:tr>
        <w:trPr>
          <w:cantSplit/>
        </w:trPr>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H-001</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عمدًا مغلق (D-08)</w:t>
            </w:r>
          </w:p>
        </w:tc>
        <w:tc>
          <w:tcPr>
            <w:tcW w:type="pct" w:w="7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استيراد المخزون بأثر رجعي يبقى مغلقًا؛ لا إعادة تفسير لما قبل تاريخ التفعيل</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Y-001</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سياسة محفوظة</w:t>
            </w:r>
          </w:p>
        </w:tc>
        <w:tc>
          <w:tcPr>
            <w:tcW w:type="pct" w:w="7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كثافة المعلومات الحالية لا تُقلّ (قرار المالك: بلا حذف محتوى)؛ كل رفع حدّ موثق بتاريخ وسبب في text-density-count.py</w:t>
            </w:r>
          </w:p>
        </w:tc>
      </w:tr>
      <w:tr>
        <w:trPr>
          <w:cantSplit/>
        </w:trPr>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البند 23</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7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هذه المصفوفة نفسها — تغطية كل المعرفات لا عدّ إجمالي</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البند 24</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7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نطاق قراءة الفترة معلن صراحة في Finance (ما يدخل، وكيف يُعترف بكل مصدر، والكاش غير النتيجة، وتصدير المجهول) — القسم 6</w:t>
            </w:r>
          </w:p>
        </w:tc>
      </w:tr>
      <w:tr>
        <w:trPr>
          <w:cantSplit/>
        </w:trPr>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البند 25</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منفَّذ</w:t>
            </w:r>
          </w:p>
        </w:tc>
        <w:tc>
          <w:tcPr>
            <w:tcW w:type="pct" w:w="7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حلقة بيع المنتجات مكتملة ودلالة الكمية معلنة (السعر إجمالي البيع لا سعر القطعة؛ اقتراح الوحدة لا يُضرب تلقائيًا) + اختبار واجهة جديد — القسم 7</w:t>
            </w:r>
          </w:p>
        </w:tc>
      </w:tr>
    </w:tbl>
    <w:p>
      <w:pPr>
        <w:spacing w:after="120"/>
      </w:pPr>
    </w:p>
    <w:p>
      <w:pPr>
        <w:pBdr>
          <w:right w:val="single" w:color="8B7E5A" w:sz="12" w:space="8"/>
        </w:pBdr>
        <w:shd w:fill="F5F4EF" w:val="clear"/>
        <w:bidi/>
        <w:spacing w:after="160" w:before="120" w:line="312"/>
        <w:jc w:val="both"/>
      </w:pPr>
      <w:r>
        <w:rPr>
          <w:rFonts w:ascii="Arial" w:cs="Arial" w:hAnsi="Arial"/>
          <w:b w:val="false"/>
          <w:bCs w:val="false"/>
          <w:sz w:val="24"/>
          <w:szCs w:val="24"/>
          <w:rtl/>
        </w:rPr>
        <w:t xml:space="preserve">بنود قرارية بقيت خارج هذه الدورة بقرارها الأصلي لا بتأجيل علاجي: D-09 (خصوصية الجهاز المشترك: لاحقًا بعد التحقق الميداني) وD-12 (توقيت السحابة: بعد W4). كلاهما «قرار مؤجل بقرار» لا بند محظور، ولم يُطلب تنفيذهما في هذه الدورة.</w:t>
      </w:r>
    </w:p>
    <w:p>
      <w:pPr>
        <w:pStyle w:val="Heading1"/>
        <w:bidi/>
        <w:spacing w:after="160" w:before="360" w:line="312"/>
        <w:jc w:val="right"/>
      </w:pPr>
      <w:bookmarkStart w:id="100003" w:name="_Toc100003"/>
      <w:r>
        <w:rPr>
          <w:rFonts w:ascii="Arial" w:cs="Arial" w:hAnsi="Arial"/>
          <w:b/>
          <w:bCs/>
          <w:color w:val="162032"/>
          <w:sz w:val="32"/>
          <w:szCs w:val="32"/>
          <w:rtl/>
        </w:rPr>
        <w:t xml:space="preserve">4. تفاصيل التنفيذ — الحقيقة المالية أولًا (W1)</w:t>
      </w:r>
      <w:bookmarkEnd w:id="100003"/>
    </w:p>
    <w:p>
      <w:pPr>
        <w:pStyle w:val="Heading2"/>
        <w:bidi/>
        <w:spacing w:after="120" w:before="260" w:line="312"/>
        <w:jc w:val="right"/>
      </w:pPr>
      <w:bookmarkStart w:id="100004" w:name="_Toc100004"/>
      <w:r>
        <w:rPr>
          <w:rFonts w:ascii="Arial" w:cs="Arial" w:hAnsi="Arial"/>
          <w:b/>
          <w:bCs/>
          <w:color w:val="162032"/>
          <w:sz w:val="28"/>
          <w:szCs w:val="28"/>
          <w:rtl/>
        </w:rPr>
        <w:t xml:space="preserve">4.1 F-005 (قرار D-01): البيع المباشر داخل نتيجة الفترة</w:t>
      </w:r>
      <w:bookmarkEnd w:id="100004"/>
    </w:p>
    <w:p>
      <w:pPr>
        <w:bidi/>
        <w:spacing w:after="120" w:line="312"/>
        <w:jc w:val="both"/>
      </w:pPr>
      <w:r>
        <w:rPr>
          <w:rFonts w:ascii="Arial" w:cs="Arial" w:hAnsi="Arial"/>
          <w:b w:val="false"/>
          <w:bCs w:val="false"/>
          <w:sz w:val="24"/>
          <w:szCs w:val="24"/>
          <w:rtl/>
        </w:rPr>
        <w:t xml:space="preserve">كانت أثقل فجوة دلالية مفتوحة: مالك يسجّل عشرات المبيعات المباشرة شهريًا ثم يقرأ «نتيجة الفترة» فيجد الإيراد صفرًا بينما الكاش نما أمام عينه. القرار المعتمد (D-01 أ) هو الاعتراف بتاريخ البيع: بيعٌ وقع في الفترة يدخل إيراده المسجّل (revenueMinor) في نتيجة تلك الفترة بتاريخ occurredOn نفسه، لا بتاريخ القبض. القبض اللاحق — كاملًا أو جزئيًا — يبقى حدث كاش ومركزٍ فقط، فلا يُنشئ إيرادًا ثانيًا ولا يُحسب مرتين؛ وهذا ما يختبره حرفيًا اختبار «الاعتراف مرة واحدة دون ازدواج القبض الجزئي اللاحق».</w:t>
      </w:r>
    </w:p>
    <w:p>
      <w:pPr>
        <w:bidi/>
        <w:spacing w:after="80" w:line="312"/>
        <w:ind w:right="240"/>
        <w:jc w:val="right"/>
      </w:pPr>
      <w:r>
        <w:rPr>
          <w:rFonts w:ascii="Arial" w:cs="Arial" w:hAnsi="Arial"/>
          <w:b w:val="false"/>
          <w:bCs w:val="false"/>
          <w:sz w:val="24"/>
          <w:szCs w:val="24"/>
          <w:rtl/>
        </w:rPr>
        <w:t xml:space="preserve">• البيع الملغى مستبعد كليًا من الإيراد والتكلفة في الفترة (لكن سجل الإلغاء باقٍ في التاريخ — الاستبعاد قراءة مشتقة لا حذفًا).</w:t>
      </w:r>
    </w:p>
    <w:p>
      <w:pPr>
        <w:bidi/>
        <w:spacing w:after="80" w:line="312"/>
        <w:ind w:right="240"/>
        <w:jc w:val="right"/>
      </w:pPr>
      <w:r>
        <w:rPr>
          <w:rFonts w:ascii="Arial" w:cs="Arial" w:hAnsi="Arial"/>
          <w:b w:val="false"/>
          <w:bCs w:val="false"/>
          <w:sz w:val="24"/>
          <w:szCs w:val="24"/>
          <w:rtl/>
        </w:rPr>
        <w:t xml:space="preserve">• تكلفة البيع المعروفة تُطرح؛ وأي بيع بتكلفة مجهولة يجعل النتيجة «غير متاح» مع سبب مسمّى «بيع مباشر بتكلفة غير معروفة» — المجهول لا يُقلب صفرًا ليكمل رقمٌ ربحًا غير مؤكد.</w:t>
      </w:r>
    </w:p>
    <w:p>
      <w:pPr>
        <w:bidi/>
        <w:spacing w:after="80" w:line="312"/>
        <w:ind w:right="240"/>
        <w:jc w:val="right"/>
      </w:pPr>
      <w:r>
        <w:rPr>
          <w:rFonts w:ascii="Arial" w:cs="Arial" w:hAnsi="Arial"/>
          <w:b w:val="false"/>
          <w:bCs w:val="false"/>
          <w:sz w:val="24"/>
          <w:szCs w:val="24"/>
          <w:rtl/>
        </w:rPr>
        <w:t xml:space="preserve">• تخفيض السعر الموثَّق يُقرأ بالثمن المسجّل بعد التصحيح؛ والثمن القديم يبقى في التاريخ فقط.</w:t>
      </w:r>
    </w:p>
    <w:p>
      <w:pPr>
        <w:bidi/>
        <w:spacing w:after="80" w:line="312"/>
        <w:ind w:right="240"/>
        <w:jc w:val="right"/>
      </w:pPr>
      <w:r>
        <w:rPr>
          <w:rFonts w:ascii="Arial" w:cs="Arial" w:hAnsi="Arial"/>
          <w:b w:val="false"/>
          <w:bCs w:val="false"/>
          <w:sz w:val="24"/>
          <w:szCs w:val="24"/>
          <w:rtl/>
        </w:rPr>
        <w:t xml:space="preserve">• القراءة كلها مشتقة من السجلات القائمة — لا سجل يُعاد كتابته ولا حقل يُهاجر؛ رُفع عدد الحقول المرجعة للطبقة العرضية فقط.</w:t>
      </w:r>
    </w:p>
    <w:p>
      <w:pPr>
        <w:bidi/>
        <w:spacing w:after="120" w:line="312"/>
        <w:jc w:val="both"/>
      </w:pPr>
      <w:r>
        <w:rPr>
          <w:rFonts w:ascii="Arial" w:cs="Arial" w:hAnsi="Arial"/>
          <w:b w:val="false"/>
          <w:bCs w:val="false"/>
          <w:sz w:val="24"/>
          <w:szCs w:val="24"/>
          <w:rtl/>
        </w:rPr>
        <w:t xml:space="preserve">على الشاشة، طبقة الفترة في مالي تعرض الآن بطاقات صريحة: إيراد بيع مباشر (بتاريخ البيع)، وتكلفة بيع مباشر معروفة، وعدد البيع بتكلفة غير معروفة، وعدد النشط مقابل الملغى المستبعد. وفوقها «نطاق قراءة الفترة» (بند 24 — القسم 6). عشرة اختبارات خدمة جديدة تغطي: الاعتراف بتاريخ البيع وبالثمن المسجّل، واستبعاد الملغى، وأمانة المجهول، وعدم الازدواج، والثمن بعد تخفيض موثّق.</w:t>
      </w:r>
    </w:p>
    <w:p>
      <w:pPr>
        <w:pStyle w:val="Heading2"/>
        <w:bidi/>
        <w:spacing w:after="120" w:before="260" w:line="312"/>
        <w:jc w:val="right"/>
      </w:pPr>
      <w:bookmarkStart w:id="100005" w:name="_Toc100005"/>
      <w:r>
        <w:rPr>
          <w:rFonts w:ascii="Arial" w:cs="Arial" w:hAnsi="Arial"/>
          <w:b/>
          <w:bCs/>
          <w:color w:val="162032"/>
          <w:sz w:val="28"/>
          <w:szCs w:val="28"/>
          <w:rtl/>
        </w:rPr>
        <w:t xml:space="preserve">4.2 F-006: الأمانة لا تُسلَّم فوق ما هو محتجز</w:t>
      </w:r>
      <w:bookmarkEnd w:id="100005"/>
    </w:p>
    <w:p>
      <w:pPr>
        <w:bidi/>
        <w:spacing w:after="120" w:line="312"/>
        <w:jc w:val="both"/>
      </w:pPr>
      <w:r>
        <w:rPr>
          <w:rFonts w:ascii="Arial" w:cs="Arial" w:hAnsi="Arial"/>
          <w:b w:val="false"/>
          <w:bCs w:val="false"/>
          <w:sz w:val="24"/>
          <w:szCs w:val="24"/>
          <w:rtl/>
        </w:rPr>
        <w:t xml:space="preserve">كان تسليم الأمانة (amanah_released_cash) بلا حارس: يمكن تسليم 50 دينارًا مقابل 30 محتجزة فيصير الرصيد الأمين سالبًا −20، ويعرض النظام ملكًا زائفًا ونقص كاش كاذبًا — خرق مباشر لمبدأ «المفقود ليس صفرًا». الحارس الجديد في الخدمة يحسب المحتجز الفعلي من مجموع الأحداث (استقبال ناقص تسليم ناقص تراجعات موثقة)، فإذا تجاوز المبلغ المطلوب المحتجز رُفض الطلب بخطأ عربي صريح يوجّه المالك إلى مراجعة الرصيد أولًا، ويبقى الدفتر كما كان لم يمسّه شيء. خمسة اختبارات تغطي: رفض التجاوز وبقاء الدفتر، ورفض التسليم حين لا محتجز أصلًا، والسماح بتحرير المتبقي بالضبط بعد تسليم جزئي، واحتساب التراجع في الرصيد المتاح، وبقاء الأمانة خارج الإيراد والمصروف والربح ورأس مال المالك وهي تحرك الكاش.</w:t>
      </w:r>
    </w:p>
    <w:p>
      <w:pPr>
        <w:pBdr>
          <w:right w:val="single" w:color="8B7E5A" w:sz="12" w:space="8"/>
        </w:pBdr>
        <w:shd w:fill="F5F4EF" w:val="clear"/>
        <w:bidi/>
        <w:spacing w:after="160" w:before="120" w:line="312"/>
        <w:jc w:val="both"/>
      </w:pPr>
      <w:r>
        <w:rPr>
          <w:rFonts w:ascii="Arial" w:cs="Arial" w:hAnsi="Arial"/>
          <w:b w:val="false"/>
          <w:bCs w:val="false"/>
          <w:sz w:val="24"/>
          <w:szCs w:val="24"/>
          <w:rtl/>
        </w:rPr>
        <w:t xml:space="preserve">الأمانة بقيت كما كانت دلاليًا: تُقبض فتزيد الكاش المحتجز ولا تدخل إيرادًا؛ تُردّ فتنقص الكاش ولا تدخل مصروفًا؛ لا تمس رأس مال المالك ولا ربحه. الحارس يحمي هذا الاتساق، لا يغيّره.</w:t>
      </w:r>
    </w:p>
    <w:p>
      <w:pPr>
        <w:pStyle w:val="Heading1"/>
        <w:bidi/>
        <w:spacing w:after="160" w:before="360" w:line="312"/>
        <w:jc w:val="right"/>
      </w:pPr>
      <w:bookmarkStart w:id="100006" w:name="_Toc100006"/>
      <w:r>
        <w:rPr>
          <w:rFonts w:ascii="Arial" w:cs="Arial" w:hAnsi="Arial"/>
          <w:b/>
          <w:bCs/>
          <w:color w:val="162032"/>
          <w:sz w:val="32"/>
          <w:szCs w:val="32"/>
          <w:rtl/>
        </w:rPr>
        <w:t xml:space="preserve">5. تفاصيل التنفيذ — تجربة التصحيح والقراءة (W2)</w:t>
      </w:r>
      <w:bookmarkEnd w:id="100006"/>
    </w:p>
    <w:p>
      <w:pPr>
        <w:pStyle w:val="Heading2"/>
        <w:bidi/>
        <w:spacing w:after="120" w:before="260" w:line="312"/>
        <w:jc w:val="right"/>
      </w:pPr>
      <w:bookmarkStart w:id="100007" w:name="_Toc100007"/>
      <w:r>
        <w:rPr>
          <w:rFonts w:ascii="Arial" w:cs="Arial" w:hAnsi="Arial"/>
          <w:b/>
          <w:bCs/>
          <w:color w:val="162032"/>
          <w:sz w:val="28"/>
          <w:szCs w:val="28"/>
          <w:rtl/>
        </w:rPr>
        <w:t xml:space="preserve">5.1 D-005: أسطح التصحيح الثلاثة الموثقة</w:t>
      </w:r>
      <w:bookmarkEnd w:id="100007"/>
    </w:p>
    <w:p>
      <w:pPr>
        <w:bidi/>
        <w:spacing w:after="120" w:line="312"/>
        <w:jc w:val="both"/>
      </w:pPr>
      <w:r>
        <w:rPr>
          <w:rFonts w:ascii="Arial" w:cs="Arial" w:hAnsi="Arial"/>
          <w:b w:val="false"/>
          <w:bCs w:val="false"/>
          <w:sz w:val="24"/>
          <w:szCs w:val="24"/>
          <w:rtl/>
        </w:rPr>
        <w:t xml:space="preserve">كانت الخدمات موجودة ومختبرة (تعديل ذرّي = تراجع + بديل في معاملة واحدة؛ حذف موثق؛ استرجاع بإعادة تسجيل الأصل) لكن بلا أزرار: المالك الذي يخطئ في مبلغ مصروف كان مضطرًا إلى التراجع اليدوي ثم إعادة الإدخال من الصفر — أكثر المسارات عرضة لخطأ جديد. طبقة «السجل والأثر» في مالي تحمل الآن الأفعال الثلاثة في صف كل حدث: التعديل يفتح نموذجًا معبّأً بقيم الحدث الحالية (البديل هو ما يُصحّح)، مع سبب إلزامي وبأثر مالي معروض قبل التأكيد؛ والحذف يعرض أثره الحقيقي؛ والاسترجاع يظهر على الأحداث المتراجع عنها. مفاتيح الإيديمبوتنسیة تمنع الازدواج عند النقر المزدوج، وحارس التغييرات غير المحفوظة يعمل كالمعتاد، والتاريخ لا يُعاد كتابته أبدًا — الأصل باقٍ والبديل قيد جديد.</w:t>
      </w:r>
    </w:p>
    <w:p>
      <w:pPr>
        <w:pStyle w:val="Heading2"/>
        <w:bidi/>
        <w:spacing w:after="120" w:before="260" w:line="312"/>
        <w:jc w:val="right"/>
      </w:pPr>
      <w:bookmarkStart w:id="100008" w:name="_Toc100008"/>
      <w:r>
        <w:rPr>
          <w:rFonts w:ascii="Arial" w:cs="Arial" w:hAnsi="Arial"/>
          <w:b/>
          <w:bCs/>
          <w:color w:val="162032"/>
          <w:sz w:val="28"/>
          <w:szCs w:val="28"/>
          <w:rtl/>
        </w:rPr>
        <w:t xml:space="preserve">5.2 U-001: «السجل» — تاريخ موحد لكل تصحيح</w:t>
      </w:r>
      <w:bookmarkEnd w:id="100008"/>
    </w:p>
    <w:p>
      <w:pPr>
        <w:bidi/>
        <w:spacing w:after="120" w:line="312"/>
        <w:jc w:val="both"/>
      </w:pPr>
      <w:r>
        <w:rPr>
          <w:rFonts w:ascii="Arial" w:cs="Arial" w:hAnsi="Arial"/>
          <w:b w:val="false"/>
          <w:bCs w:val="false"/>
          <w:sz w:val="24"/>
          <w:szCs w:val="24"/>
          <w:rtl/>
        </w:rPr>
        <w:t xml:space="preserve">التصحيحات كانت مبعثرة في مخازن منفصلة بلا مكان واحد يجيب «ماذا صحّحت هذا الشهر ولماذا؟». خدمة جديدة للقراءة فقط (CorrectionHistoryService) تجمع من الأحداث المالية والبيع المباشر وقيد الكاش كل تصحيح موثق: نوعه (تراجع/تعديل/استرجاع حدث؛ تعديل/إلغاء/تخفيض بيع؛ تراجع كاش)، ووقت تسجيله، وأثره المالي الموقّع حيث يصح رقم واحد صادق (وnull حيث لا يصح)، وسببه، ووسم السجل الأصلي والبديل، ورابط عميق حيث للمسار وجود. تُعرض في طبقة «السجل» داخل مالي مع مجاميع وتصفية، وتتحدّث مع كل تغيير بيانات. لا تكتب شيئًا ولا تعيد تفسير شيء: قراءة صافية فوق ما سُجّل فعلًا، واختبارات خدمة تغطي الأنواع السبعة.</w:t>
      </w:r>
    </w:p>
    <w:p>
      <w:pPr>
        <w:pStyle w:val="Heading2"/>
        <w:bidi/>
        <w:spacing w:after="120" w:before="260" w:line="312"/>
        <w:jc w:val="right"/>
      </w:pPr>
      <w:bookmarkStart w:id="100009" w:name="_Toc100009"/>
      <w:r>
        <w:rPr>
          <w:rFonts w:ascii="Arial" w:cs="Arial" w:hAnsi="Arial"/>
          <w:b/>
          <w:bCs/>
          <w:color w:val="162032"/>
          <w:sz w:val="28"/>
          <w:szCs w:val="28"/>
          <w:rtl/>
        </w:rPr>
        <w:t xml:space="preserve">5.3 U-002 وD-003 وU-005 وF-003 وQ-003</w:t>
      </w:r>
      <w:bookmarkEnd w:id="100009"/>
    </w:p>
    <w:p>
      <w:pPr>
        <w:bidi/>
        <w:spacing w:after="80" w:line="312"/>
        <w:ind w:right="240"/>
        <w:jc w:val="right"/>
      </w:pPr>
      <w:r>
        <w:rPr>
          <w:rFonts w:ascii="Arial" w:cs="Arial" w:hAnsi="Arial"/>
          <w:b w:val="false"/>
          <w:bCs w:val="false"/>
          <w:sz w:val="24"/>
          <w:szCs w:val="24"/>
          <w:rtl/>
        </w:rPr>
        <w:t xml:space="preserve">• U-002 (ملخص العودة): بطاقة «أثناء غيابك» في الرئيسية تعرض الآن ما تغيّر منذ آخر تسجيل — بِيع كذا بكم، ومصروف كذا بكم، وطلبات جديدة، ومتابعات قادمة مع زر مراجعة — وإن لم يقع شيء قالت «لا شيء جديد سُجّل» بصدق. الملخص مشتق من البيانات نفسها لا من توقعات.</w:t>
      </w:r>
    </w:p>
    <w:p>
      <w:pPr>
        <w:bidi/>
        <w:spacing w:after="80" w:line="312"/>
        <w:ind w:right="240"/>
        <w:jc w:val="right"/>
      </w:pPr>
      <w:r>
        <w:rPr>
          <w:rFonts w:ascii="Arial" w:cs="Arial" w:hAnsi="Arial"/>
          <w:b w:val="false"/>
          <w:bCs w:val="false"/>
          <w:sz w:val="24"/>
          <w:szCs w:val="24"/>
          <w:rtl/>
        </w:rPr>
        <w:t xml:space="preserve">• D-003 (اختصار التحصيل): صف الطرف في دفتر الناس يعرض «حصّل من فلان» حين يكون عليه إلَي، ويفتح سجل الدين المصدر نفسه (تفاصيل الطلب أو محرر البيع) حيث يجري التحصيل الموثق فعليًا. الدفتر نفسه يبقى نموذج قراءة لا يكتب حدثًا ماليًا من صفوفه.</w:t>
      </w:r>
    </w:p>
    <w:p>
      <w:pPr>
        <w:bidi/>
        <w:spacing w:after="80" w:line="312"/>
        <w:ind w:right="240"/>
        <w:jc w:val="right"/>
      </w:pPr>
      <w:r>
        <w:rPr>
          <w:rFonts w:ascii="Arial" w:cs="Arial" w:hAnsi="Arial"/>
          <w:b w:val="false"/>
          <w:bCs w:val="false"/>
          <w:sz w:val="24"/>
          <w:szCs w:val="24"/>
          <w:rtl/>
        </w:rPr>
        <w:t xml:space="preserve">• U-005 (قاعدة التنقل): التفاوت الظاهري بين «تفاصيل طلب تعرض الشريط» و«محرر بيع يخفيه» فُسّر وقُنِّن في مركز واحد: القارئ سطح يبقي الاتجاه، والمحرر عمق يخفيه عمدًا لسببين — التركيز على فعل واحد وحماية غير المحفوظ — وزر الرجوع لأصله أعلى الصفحة يبقى دائمًا. المحرر الجديد (إكمال الرصيد) صُنّف عمقًا كإخوته.</w:t>
      </w:r>
    </w:p>
    <w:p>
      <w:pPr>
        <w:bidi/>
        <w:spacing w:after="80" w:line="312"/>
        <w:ind w:right="240"/>
        <w:jc w:val="right"/>
      </w:pPr>
      <w:r>
        <w:rPr>
          <w:rFonts w:ascii="Arial" w:cs="Arial" w:hAnsi="Arial"/>
          <w:b w:val="false"/>
          <w:bCs w:val="false"/>
          <w:sz w:val="24"/>
          <w:szCs w:val="24"/>
          <w:rtl/>
        </w:rPr>
        <w:t xml:space="preserve">• F-003 (FAB المدخل الأساس): قائمة الإضافة السريعة تعرض البيع أولًا ثم المصروف ثم طلب من عميل ومسودة تصميم؛ وزر FAB يفتحها مباشرة. أما /orders/new القديم فصار تحويلًا عميقًا واحدًا بلا شاشة اختيار منافسة: النية الافتراضية طلب عميل، وتُحفظ نية مسودة التصميم إن جاءت في الرابط، فلا يكسر رابطًا عميقًا قديمًا ولا يخلّف مسودات فارغة بالاستكشاف.</w:t>
      </w:r>
    </w:p>
    <w:p>
      <w:pPr>
        <w:bidi/>
        <w:spacing w:after="80" w:line="312"/>
        <w:ind w:right="240"/>
        <w:jc w:val="right"/>
      </w:pPr>
      <w:r>
        <w:rPr>
          <w:rFonts w:ascii="Arial" w:cs="Arial" w:hAnsi="Arial"/>
          <w:b w:val="false"/>
          <w:bCs w:val="false"/>
          <w:sz w:val="24"/>
          <w:szCs w:val="24"/>
          <w:rtl/>
        </w:rPr>
        <w:t xml:space="preserve">• Q-003 (إزالة الميت): مكوّن Toaster كان مركّبًا في الجذر بلا أي استدعاء toast() في الإنتاج — حُذف مع مكوّنه وبقيت التغذية الراجعة داخل النماذج كما في نظام التصميم. وحالة «متوقف مؤقتًا» في وحدات أدواتي لم يكن لها مُنتِج حقيقي فحُذفت من نموذج الحالة نفسه.</w:t>
      </w:r>
    </w:p>
    <w:p>
      <w:pPr>
        <w:pStyle w:val="Heading1"/>
        <w:bidi/>
        <w:spacing w:after="160" w:before="360" w:line="312"/>
        <w:jc w:val="right"/>
      </w:pPr>
      <w:bookmarkStart w:id="100010" w:name="_Toc100010"/>
      <w:r>
        <w:rPr>
          <w:rFonts w:ascii="Arial" w:cs="Arial" w:hAnsi="Arial"/>
          <w:b/>
          <w:bCs/>
          <w:color w:val="162032"/>
          <w:sz w:val="32"/>
          <w:szCs w:val="32"/>
          <w:rtl/>
        </w:rPr>
        <w:t xml:space="preserve">6. تفاصيل التنفيذ — القرارات وحزمة المنتج (W3)</w:t>
      </w:r>
      <w:bookmarkEnd w:id="100010"/>
    </w:p>
    <w:p>
      <w:pPr>
        <w:pStyle w:val="Heading2"/>
        <w:bidi/>
        <w:spacing w:after="120" w:before="260" w:line="312"/>
        <w:jc w:val="right"/>
      </w:pPr>
      <w:bookmarkStart w:id="100011" w:name="_Toc100011"/>
      <w:r>
        <w:rPr>
          <w:rFonts w:ascii="Arial" w:cs="Arial" w:hAnsi="Arial"/>
          <w:b/>
          <w:bCs/>
          <w:color w:val="162032"/>
          <w:sz w:val="28"/>
          <w:szCs w:val="28"/>
          <w:rtl/>
        </w:rPr>
        <w:t xml:space="preserve">6.1 P-002 (الخيار أ) وU-004 والقرارات العرضية</w:t>
      </w:r>
      <w:bookmarkEnd w:id="100011"/>
    </w:p>
    <w:p>
      <w:pPr>
        <w:bidi/>
        <w:spacing w:after="120" w:line="312"/>
        <w:jc w:val="both"/>
      </w:pPr>
      <w:r>
        <w:rPr>
          <w:rFonts w:ascii="Arial" w:cs="Arial" w:hAnsi="Arial"/>
          <w:b w:val="false"/>
          <w:bCs w:val="false"/>
          <w:sz w:val="24"/>
          <w:szCs w:val="24"/>
          <w:rtl/>
        </w:rPr>
        <w:t xml:space="preserve">P-002 (الخيار أ — مرجع باقتراحات): عنصر الكتالوج يحمل الآن حقلين اختياريين: سعر بيع افتراضي مقترح وتكلفة وحدة افتراضية مقترحة. الغياب يعني «لا اقتراح مسجّلًا» (الملفات القديمة بلا الحقلين تُقبل كما هي)، والقيمة إن وُجدت فهي اقتراح معلن لا سعر مفروض ولا تكلفة فعلية. عند إنشاء بيع جديد، اختيار المرجع يعبّئ الاسم والاقتراحات كمقترحات قابلة للتعديل — والسعر الفعلي هو دائمًا ما يؤكده المالك عند الحفظ؛ وحين تكون الكمية أكبر من 1 لا يُعبّأ شيء تلقائيًا (بند 25 — القسم 7). في وضع تعديل بيع مسجّل لا يُعبّأ شيء أصلًا: قيم البيع المحفوظة هي الحقيقة، والبيع يحتفظ بنسخته المستقلة وقت حفظه، فتحديث اقتراحات المرجع لاحقًا لا يعود ليغيّر أي بيع سابق. تحرير الاقتراحات مسار مستقل في صفحة الكتالوج يفتح لمرجع واحد بقيمه الحالية. المخزون لا يُخصم تلقائيًا من البيع (القرار B المغلق يبقى مغلقًا)، وحاسبة التكلفة تبقى أداة مستقلة اختيارية بلا أي إلزام.</w:t>
      </w:r>
    </w:p>
    <w:p>
      <w:pPr>
        <w:bidi/>
        <w:spacing w:after="120" w:line="312"/>
        <w:jc w:val="both"/>
      </w:pPr>
      <w:r>
        <w:rPr>
          <w:rFonts w:ascii="Arial" w:cs="Arial" w:hAnsi="Arial"/>
          <w:b w:val="false"/>
          <w:bCs w:val="false"/>
          <w:sz w:val="24"/>
          <w:szCs w:val="24"/>
          <w:rtl/>
        </w:rPr>
        <w:t xml:space="preserve">U-004 (جسر التقدير إلى المسودة): كان التقدير المحفوظ «للكتابة فقط» — تحفظه ثم تعيد كتابة كل شيء في المسودة يدويًا. الآن صف التقدير في أدواتي يعرض «ابدأ مسودة من هذا التقدير»، فتُنشأ مسودة تصميم تحمل مرجع المصدر (أثر سجلي فقط)، ويعرض محرر التكلفة بنود التقدير كاقتراحات قابلة للتعديل والحذف مع إشعار صريح أنها ليست تكلفة مؤكدة ولا سعرًا ملتزمًا؛ لا تُحفظ نسخة تكلفة إلا بقرار المالك عند الحفظ. التقدير نفسه لا يمسّ، وحذفه لاحقًا لا يفسد المسودة (رسالة «لم نجد تقديرك المصدر» بلا أي تغيير سجل). لا أثر مالي في أي خطوة من الجسر — التقدير يبقى خارج المال كما كان. حارس التصدير/الاستيراد توسّع لقبول مرجع المصدر الاختياري واقتراحات الكتالوم ومفتاح تذكير النسخة في كلا الاتجاهين، مع رفض القيم الفاسدة.</w:t>
      </w:r>
    </w:p>
    <w:p>
      <w:pPr>
        <w:bidi/>
        <w:spacing w:after="80" w:line="312"/>
        <w:ind w:right="240"/>
        <w:jc w:val="right"/>
      </w:pPr>
      <w:r>
        <w:rPr>
          <w:rFonts w:ascii="Arial" w:cs="Arial" w:hAnsi="Arial"/>
          <w:b w:val="false"/>
          <w:bCs w:val="false"/>
          <w:sz w:val="24"/>
          <w:szCs w:val="24"/>
          <w:rtl/>
        </w:rPr>
        <w:t xml:space="preserve">• P-001 (إعلان دقة المال): صف الإعدادات يشرح سياسة القرش بمنزلتين عشريتين في الإدخال والحساب والعرض والتصدير — وحدة واحدة متسقة بلا تفسير جديد. كان البديل ترحيل كل النظام إلى الفلس (ثلاث منزلات) وهو ترحيل فئة-F-001 في الخطورة؛ أُقرّ الإعلان الآن والترحيل لا يُفتح إلا بدليل ميداني.</w:t>
      </w:r>
    </w:p>
    <w:p>
      <w:pPr>
        <w:bidi/>
        <w:spacing w:after="80" w:line="312"/>
        <w:ind w:right="240"/>
        <w:jc w:val="right"/>
      </w:pPr>
      <w:r>
        <w:rPr>
          <w:rFonts w:ascii="Arial" w:cs="Arial" w:hAnsi="Arial"/>
          <w:b w:val="false"/>
          <w:bCs w:val="false"/>
          <w:sz w:val="24"/>
          <w:szCs w:val="24"/>
          <w:rtl/>
        </w:rPr>
        <w:t xml:space="preserve">• P-003: بطاقة «ما يعرفه Micro الآن» تقول «مشروعك» بدل «مشغل حرفي» — لا افتراض قطاعًا ولا حرفة.</w:t>
      </w:r>
    </w:p>
    <w:p>
      <w:pPr>
        <w:bidi/>
        <w:spacing w:after="80" w:line="312"/>
        <w:ind w:right="240"/>
        <w:jc w:val="right"/>
      </w:pPr>
      <w:r>
        <w:rPr>
          <w:rFonts w:ascii="Arial" w:cs="Arial" w:hAnsi="Arial"/>
          <w:b w:val="false"/>
          <w:bCs w:val="false"/>
          <w:sz w:val="24"/>
          <w:szCs w:val="24"/>
          <w:rtl/>
        </w:rPr>
        <w:t xml:space="preserve">• P-004: viewport-fit=cover يجعل حسابات env(safe-area-inset-*) الموجودة في نظام التصميم فعلية بدل صفر دائم؛ ووسائط (orientation: landscape) مع max-height قصير توسّع العمود إلى 720px بلا إعادة تصميم للحاسوب؛ ومواد القراءة الفعلية (ملاحظات النطاق والسبب) صارت 13px بدل 12px. كل ذلك فوق RTL وأهداف اللمس والمناور المحفوظة أصلًا.</w:t>
      </w:r>
    </w:p>
    <w:p>
      <w:pPr>
        <w:bidi/>
        <w:spacing w:after="80" w:line="312"/>
        <w:ind w:right="240"/>
        <w:jc w:val="right"/>
      </w:pPr>
      <w:r>
        <w:rPr>
          <w:rFonts w:ascii="Arial" w:cs="Arial" w:hAnsi="Arial"/>
          <w:b w:val="false"/>
          <w:bCs w:val="false"/>
          <w:sz w:val="24"/>
          <w:szCs w:val="24"/>
          <w:rtl/>
        </w:rPr>
        <w:t xml:space="preserve">• D-002: مسارات مالي الدائمة تعرض الآن دفتر الناس والموردون كنوايا قراءة — لا مقعد خامس (الفراغ المسجّل بقرار E-00.14 يبقى فراغًا).</w:t>
      </w:r>
    </w:p>
    <w:p>
      <w:pPr>
        <w:bidi/>
        <w:spacing w:after="80" w:line="312"/>
        <w:ind w:right="240"/>
        <w:jc w:val="right"/>
      </w:pPr>
      <w:r>
        <w:rPr>
          <w:rFonts w:ascii="Arial" w:cs="Arial" w:hAnsi="Arial"/>
          <w:b w:val="false"/>
          <w:bCs w:val="false"/>
          <w:sz w:val="24"/>
          <w:szCs w:val="24"/>
          <w:rtl/>
        </w:rPr>
        <w:t xml:space="preserve">• D-006: حالات وحدات أدواتي تُشتق من بيانات حقيقية: المواعيد من نظرة الجدولة، والموردون من ملخص المشتريات، ودفتر الناس من قراءته، والكتالوج والمخزون كما كانا. الوحدة ذات البيانات تظهر مفعّلة أو مفعّلة جزئيًا؛ لا حالة لعائلها مُنتِج.</w:t>
      </w:r>
    </w:p>
    <w:p>
      <w:pPr>
        <w:bidi/>
        <w:spacing w:after="80" w:line="312"/>
        <w:ind w:right="240"/>
        <w:jc w:val="right"/>
      </w:pPr>
      <w:r>
        <w:rPr>
          <w:rFonts w:ascii="Arial" w:cs="Arial" w:hAnsi="Arial"/>
          <w:b w:val="false"/>
          <w:bCs w:val="false"/>
          <w:sz w:val="24"/>
          <w:szCs w:val="24"/>
          <w:rtl/>
        </w:rPr>
        <w:t xml:space="preserve">• D-004: المحفظة ذات الرصيد الافتتاحي المجهول تُوسَم في القائمة، وزرها يفتح محرر «سجّل رصيدًا موثقًا لاحقًا» — حدث إضافي بتاريخه الحقيقي وسببه يرفع الختم ولا يعيد كتابة قيد؛ والمحفظة ذات الرصيد المعروف تُوجَّه إلى ضبط الكاش بسبب بدل افتتاح ثانٍ.</w:t>
      </w:r>
    </w:p>
    <w:p>
      <w:pPr>
        <w:bidi/>
        <w:spacing w:after="80" w:line="312"/>
        <w:ind w:right="240"/>
        <w:jc w:val="right"/>
      </w:pPr>
      <w:r>
        <w:rPr>
          <w:rFonts w:ascii="Arial" w:cs="Arial" w:hAnsi="Arial"/>
          <w:b w:val="false"/>
          <w:bCs w:val="false"/>
          <w:sz w:val="24"/>
          <w:szCs w:val="24"/>
          <w:rtl/>
        </w:rPr>
        <w:t xml:space="preserve">• U-003: مسودة الإعداد تُكتب في localStorage مع كل تغيير (مفاتيح وحقول غير مالية تمامًا) وتُستعاد عند العودة إلى الخطوة نفسها مع إشعار واستعادة صريحة؛ تُمسح بعد الإتمام أو بإعادة التعيين؛ وJSON المعطوب يُتجاهل بأمان.</w:t>
      </w:r>
    </w:p>
    <w:p>
      <w:pPr>
        <w:bidi/>
        <w:spacing w:after="80" w:line="312"/>
        <w:ind w:right="240"/>
        <w:jc w:val="right"/>
      </w:pPr>
      <w:r>
        <w:rPr>
          <w:rFonts w:ascii="Arial" w:cs="Arial" w:hAnsi="Arial"/>
          <w:b w:val="false"/>
          <w:bCs w:val="false"/>
          <w:sz w:val="24"/>
          <w:szCs w:val="24"/>
          <w:rtl/>
        </w:rPr>
        <w:t xml:space="preserve">• O-001: تذكير النسخة الدوري اختياري مفعّل افتراضيًا من الإعدادات (إطفاؤه يخفي سطر التذكير من الرئيسية فقط لا عمر النسخة)، وعمر آخر نسخة مُتحقَّقة يظهر في بطاقة الغياب. فشل التصدير أو الاستيراد لم يكن يُتلف بيانات أصلًا ويبقى كذلك.</w:t>
      </w:r>
    </w:p>
    <w:p>
      <w:pPr>
        <w:pStyle w:val="Heading1"/>
        <w:bidi/>
        <w:spacing w:after="160" w:before="360" w:line="312"/>
        <w:jc w:val="right"/>
      </w:pPr>
      <w:bookmarkStart w:id="100012" w:name="_Toc100012"/>
      <w:r>
        <w:rPr>
          <w:rFonts w:ascii="Arial" w:cs="Arial" w:hAnsi="Arial"/>
          <w:b/>
          <w:bCs/>
          <w:color w:val="162032"/>
          <w:sz w:val="32"/>
          <w:szCs w:val="32"/>
          <w:rtl/>
        </w:rPr>
        <w:t xml:space="preserve">7. بند 24 — نطاق قراءة الفترة معلنًا</w:t>
      </w:r>
      <w:bookmarkEnd w:id="100012"/>
    </w:p>
    <w:p>
      <w:pPr>
        <w:bidi/>
        <w:spacing w:after="120" w:line="312"/>
        <w:jc w:val="both"/>
      </w:pPr>
      <w:r>
        <w:rPr>
          <w:rFonts w:ascii="Arial" w:cs="Arial" w:hAnsi="Arial"/>
          <w:b w:val="false"/>
          <w:bCs w:val="false"/>
          <w:sz w:val="24"/>
          <w:szCs w:val="24"/>
          <w:rtl/>
        </w:rPr>
        <w:t xml:space="preserve">طلب البند 24 أن يشرح النظام نفسه: ماذا تشمله نتيجة الفترة، وكيف يُعترف بكل مصدر، وكيف يفرّق الكاش عن النتيجة، وكيف يُفصح عن التكلفة المجهولة. طبقة الفترة في مالي تعرض الآن «نطاق قراءة الفترة» كتلة صريحة تقرأ حرفيًا: الطلبات المسلَّمة بنتيجة نهائية يُعرف إيرادها بتاريخ التسليم؛ والبيع المباشر النشط يُعرف إيراده بتاريخ البيع وبالثمن المسجّل وقت البيع؛ والبيع الملغى مستبعد بالكامل. ثم الخط الفاصل: القبض — من طلبات أو بيع آجل — ليس إيرادًا هنا؛ الكاش يظهر في بطاقة الكاش وديون العملاء في «لي عند العملاء»؛ ورأس المال والسحوبات والأمانات ليست إيرادًا ولا مصروفًا ولا تربحًا. وحين يوجد بيع بتكلفة غير معروفة تظهر عبارة صريحة: النتيجة «غير متاح» حتى تُوثّق تكلفته — لا يُقلب المجهول صفرًا فيربو رقم غير مؤكد.</w:t>
      </w:r>
    </w:p>
    <w:p>
      <w:pPr>
        <w:bidi/>
        <w:spacing w:after="120" w:line="312"/>
        <w:jc w:val="both"/>
      </w:pPr>
      <w:r>
        <w:rPr>
          <w:rFonts w:ascii="Arial" w:cs="Arial" w:hAnsi="Arial"/>
          <w:b w:val="false"/>
          <w:bCs w:val="false"/>
          <w:sz w:val="24"/>
          <w:szCs w:val="24"/>
          <w:rtl/>
        </w:rPr>
        <w:t xml:space="preserve">هذه الكتلة ليست دعاية بل عقد قراءة: كل جملة فيها تقابلها سطور اختبار فعلية (الاعتراف بالتسليم، الاعتراف بتاريخ البيع، استبعاد الملغى، إبطال المجهول للرقم، عدم ازدواج القبض). بهذا يملك المالك ما لم يملكه قبل الدورة: رقم واحد للنتيجة مع بيان نطاقه المكتوب بلسانه، بدل رقم بلا نطاق يظن أنه كل شيء أو لا شيء. التمييز المزدوج لأساس الاعتراف (تسليم للطلبات، بيع للبيع المباشر) معلن في النص نفسه كما طلب القرار D-01 حرفيًا.</w:t>
      </w:r>
    </w:p>
    <w:p>
      <w:pPr>
        <w:pStyle w:val="Heading1"/>
        <w:bidi/>
        <w:spacing w:after="160" w:before="360" w:line="312"/>
        <w:jc w:val="right"/>
      </w:pPr>
      <w:bookmarkStart w:id="100013" w:name="_Toc100013"/>
      <w:r>
        <w:rPr>
          <w:rFonts w:ascii="Arial" w:cs="Arial" w:hAnsi="Arial"/>
          <w:b/>
          <w:bCs/>
          <w:color w:val="162032"/>
          <w:sz w:val="32"/>
          <w:szCs w:val="32"/>
          <w:rtl/>
        </w:rPr>
        <w:t xml:space="preserve">8. بند 25 — حلقة بيع المنتجات ودلالة الكمية</w:t>
      </w:r>
      <w:bookmarkEnd w:id="100013"/>
    </w:p>
    <w:p>
      <w:pPr>
        <w:bidi/>
        <w:spacing w:after="120" w:line="312"/>
        <w:jc w:val="both"/>
      </w:pPr>
      <w:r>
        <w:rPr>
          <w:rFonts w:ascii="Arial" w:cs="Arial" w:hAnsi="Arial"/>
          <w:b w:val="false"/>
          <w:bCs w:val="false"/>
          <w:sz w:val="24"/>
          <w:szCs w:val="24"/>
          <w:rtl/>
        </w:rPr>
        <w:t xml:space="preserve">الحلقة المطلوبة صارت مكتملة من طرف إلى طرف: مرجع موجود اختياري من «منتجاتي وخدماتي» يحمل اقتراح سعر وتكلفة اختياريين؛ اختياره في بيع جديد يعرض الاقتراحات معلنة قابلة للتعديل؛ السعر الفعلي دائمًا ما يؤكده المالك عند الحفظ؛ البيع يحفظ نسخته المستقلة (اسم، كمية، ثمن، تكلفة أو «لا أعرف») فتغيّر اقتراحات المرجع لاحقًا لا يمس أي بيع سابق؛ المخزون لا يتخفّت صامتًا؛ وحاسبة التكلفة تبقى أداة مستقلة بلا إلزام. التكلفة المجهولة تبقى مجهولة: خيار «لا أعرف الآن» يمنع تسجيل تكلفة صفرية، والربح يظهر «—» لا رقمًا متوهَّمًا.</w:t>
      </w:r>
    </w:p>
    <w:p>
      <w:pPr>
        <w:bidi/>
        <w:spacing w:after="120" w:line="312"/>
        <w:jc w:val="both"/>
      </w:pPr>
      <w:r>
        <w:rPr>
          <w:rFonts w:ascii="Arial" w:cs="Arial" w:hAnsi="Arial"/>
          <w:b w:val="false"/>
          <w:bCs w:val="false"/>
          <w:sz w:val="24"/>
          <w:szCs w:val="24"/>
          <w:rtl/>
        </w:rPr>
        <w:t xml:space="preserve">ودلالة الكمية صارت صريحة بدل غامضة: تحت حقل الكمية نص ثابت يعلن أن الكمية توثيق وأن السعر المُدخل أدناه هو إجمالي البيع كاملًا لا سعر القطعة الواحدة. وحين تكون الكمية أكبر من 1 واختير مرجع ذو سعر مقترح، يظهر إشعار صريح: الاقتراح المسجّل سعرٌ للقطعة الواحدة، ومع كمية أكبر لا يُعبّأ تلقائيًا — اضرب بنفسك وأدخل الإجمالي الفعلي. بذلك لا يضرب النظام عن المالك ولا يخمّن، والاقتراح لا يتسلل ليصير سعرًا فعليًا بغير قصد. اختبار واجهة جديد يغطي المسارين معًا: التوضيح ظاهر قبل أي اختيار؛ ومع كمية 2 لا تعبئة تلقائية ويبقى حقل السعر «0.00» بيد المالك؛ ومع كمية 1 يظهر «سعر مقترح من المرجع» كاقتراح معلن. وفي ورقة الإضافة السريعة الكمية 1 افتراضيًا بلا أي سؤال إضافي (وفق C-001).</w:t>
      </w:r>
    </w:p>
    <w:p>
      <w:pPr>
        <w:pStyle w:val="Heading1"/>
        <w:bidi/>
        <w:spacing w:after="160" w:before="360" w:line="312"/>
        <w:jc w:val="right"/>
      </w:pPr>
      <w:bookmarkStart w:id="100014" w:name="_Toc100014"/>
      <w:r>
        <w:rPr>
          <w:rFonts w:ascii="Arial" w:cs="Arial" w:hAnsi="Arial"/>
          <w:b/>
          <w:bCs/>
          <w:color w:val="162032"/>
          <w:sz w:val="32"/>
          <w:szCs w:val="32"/>
          <w:rtl/>
        </w:rPr>
        <w:t xml:space="preserve">9. ما بقي عمدًا كما هو — ولماذا</w:t>
      </w:r>
      <w:bookmarkEnd w:id="100014"/>
    </w:p>
    <w:p>
      <w:pPr>
        <w:bidi/>
        <w:spacing w:after="120" w:line="312"/>
        <w:jc w:val="both"/>
      </w:pPr>
      <w:r>
        <w:rPr>
          <w:rFonts w:ascii="Arial" w:cs="Arial" w:hAnsi="Arial"/>
          <w:b w:val="false"/>
          <w:bCs w:val="false"/>
          <w:sz w:val="24"/>
          <w:szCs w:val="24"/>
          <w:rtl/>
        </w:rPr>
        <w:t xml:space="preserve">ثلاثة بنود لم تتغير بقرار المالك الصريح لا بإغفال. C-001: مسار المصروف السريع في ورقة الإضافة يبقى بأقل عدد من الأسئلة — الاعتراض المسجّل عليه (أنه يفترض المعرفة «known» دون سؤال) أُبقي بقرار «أبقِه، وأعد زيارته بدليل ميداني»، فلم يُمس الملف إطلاقًا. H-001 (D-08): استيراد المخزون بأثر رجعي يبقى مغلقًا كما هو قرار المستودع المغلق — لا إعادة تفسير لتاريخ يسبق تاريخ تفعيل الإدارة تحت أي مسمّى جديد. Y-001: كثافة المعلومات الحالية محفوظة بلا حذف؛ وكل رفع لحدّ كثافة في هذه الدولة موثق في سكربت القياس بتاريخ 2026-09-01 وسبب معرَّف ببند قراره: الرئيسية 29→31 (U-002)، ومالي 122→145 (U-001 وD-005 وF-005 وD-002)، ومحرر البيع 43→45→47 (P-002 ثم بند 25)، ومحرر المسودة 36→47 (U-004)، ومحرر التكلفة 53→54 (U-004)، والكتالوج 84→92 (P-002)، والمحافظ 67→69 (D-004).</w:t>
      </w:r>
    </w:p>
    <w:p>
      <w:pPr>
        <w:pBdr>
          <w:right w:val="single" w:color="8B7E5A" w:sz="12" w:space="8"/>
        </w:pBdr>
        <w:shd w:fill="F5F4EF" w:val="clear"/>
        <w:bidi/>
        <w:spacing w:after="160" w:before="120" w:line="312"/>
        <w:jc w:val="both"/>
      </w:pPr>
      <w:r>
        <w:rPr>
          <w:rFonts w:ascii="Arial" w:cs="Arial" w:hAnsi="Arial"/>
          <w:b w:val="false"/>
          <w:bCs w:val="false"/>
          <w:sz w:val="24"/>
          <w:szCs w:val="24"/>
          <w:rtl/>
        </w:rPr>
        <w:t xml:space="preserve">لم يُخفض أي حدّ ولم يُرفع حدّ بلا سجل قرار. هذا هو نظام السقّاطة كما أقرّه المستودع: الخفض مكسب، والرفع قرار مالك موثق.</w:t>
      </w:r>
    </w:p>
    <w:p>
      <w:pPr>
        <w:pStyle w:val="Heading1"/>
        <w:bidi/>
        <w:spacing w:after="160" w:before="360" w:line="312"/>
        <w:jc w:val="right"/>
      </w:pPr>
      <w:bookmarkStart w:id="100015" w:name="_Toc100015"/>
      <w:r>
        <w:rPr>
          <w:rFonts w:ascii="Arial" w:cs="Arial" w:hAnsi="Arial"/>
          <w:b/>
          <w:bCs/>
          <w:color w:val="162032"/>
          <w:sz w:val="32"/>
          <w:szCs w:val="32"/>
          <w:rtl/>
        </w:rPr>
        <w:t xml:space="preserve">10. الثوابت المالية المحفوظة (تحقق غير قابل للتفاوض)</w:t>
      </w:r>
      <w:bookmarkEnd w:id="100015"/>
    </w:p>
    <w:p>
      <w:pPr>
        <w:bidi/>
        <w:spacing w:after="120" w:line="312"/>
        <w:jc w:val="both"/>
      </w:pPr>
      <w:r>
        <w:rPr>
          <w:rFonts w:ascii="Arial" w:cs="Arial" w:hAnsi="Arial"/>
          <w:b w:val="false"/>
          <w:bCs w:val="false"/>
          <w:sz w:val="24"/>
          <w:szCs w:val="24"/>
          <w:rtl/>
        </w:rPr>
        <w:t xml:space="preserve">كل تغيير في هذه الدورة جرى تحت حراسة الثوابت نفسها التي تحكم النظام منذ الأساس؛ ولم يُكسر منها شيء — بل أُضيف اختبار واحد جديد يحمي أحدها صراحة. الجدول التالي يثبت كل ثابت بدليله الحي:</w:t>
      </w:r>
    </w:p>
    <w:p>
      <w:pPr>
        <w:keepNext/>
        <w:bidi/>
        <w:spacing w:after="80" w:before="160"/>
        <w:jc w:val="right"/>
      </w:pPr>
      <w:r>
        <w:rPr>
          <w:rFonts w:ascii="Arial" w:cs="Arial" w:hAnsi="Arial"/>
          <w:b/>
          <w:bCs/>
          <w:sz w:val="21"/>
          <w:szCs w:val="21"/>
          <w:rtl/>
        </w:rPr>
        <w:t xml:space="preserve">جدول 5 — الثوابت وأدلتها بعد الدورة</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tblGrid>
      <w:tr>
        <w:trPr>
          <w:cantSplit/>
          <w:tblHeader/>
        </w:trPr>
        <w:tc>
          <w:tcPr>
            <w:tcW w:type="pct" w:w="4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الثابت</w:t>
            </w:r>
          </w:p>
        </w:tc>
        <w:tc>
          <w:tcPr>
            <w:tcW w:type="pct" w:w="5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الدليل بعد الدورة</w:t>
            </w:r>
          </w:p>
        </w:tc>
      </w:tr>
      <w:tr>
        <w:trPr>
          <w:cantSplit/>
        </w:trPr>
        <w:tc>
          <w:tcPr>
            <w:tcW w:type="pct" w:w="4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التحويلات ليست إيرادًا ولا مصروفًا</w:t>
            </w:r>
          </w:p>
        </w:tc>
        <w:tc>
          <w:tcPr>
            <w:tcW w:type="pct" w:w="5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اختبارات استمرار الكاش القائمة + لا مساس بجدول الدلتا؛ أزواج النقل كما كانت</w:t>
            </w:r>
          </w:p>
        </w:tc>
      </w:tr>
      <w:tr>
        <w:trPr>
          <w:cantSplit/>
        </w:trPr>
        <w:tc>
          <w:tcPr>
            <w:tcW w:type="pct" w:w="4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أموال المالك ليست إيرادًا ولا مصروفًا</w:t>
            </w:r>
          </w:p>
        </w:tc>
        <w:tc>
          <w:tcPr>
            <w:tcW w:type="pct" w:w="5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اختبار F-006 الجديد: «الأمانة خارج الإيراد والمصروف والربح ورأس المال وهي تحرك الكاش» + اختبارات الاستحقاق القائمة</w:t>
            </w:r>
          </w:p>
        </w:tc>
      </w:tr>
      <w:tr>
        <w:trPr>
          <w:cantSplit/>
        </w:trPr>
        <w:tc>
          <w:tcPr>
            <w:tcW w:type="pct" w:w="4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الأمانة تحرّك الكاش فقط</w:t>
            </w:r>
          </w:p>
        </w:tc>
        <w:tc>
          <w:tcPr>
            <w:tcW w:type="pct" w:w="5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الحارس الجديد يحمي الاتجاهين (قبض/تسليم) دون تغيير الدلالة</w:t>
            </w:r>
          </w:p>
        </w:tc>
      </w:tr>
      <w:tr>
        <w:trPr>
          <w:cantSplit/>
        </w:trPr>
        <w:tc>
          <w:tcPr>
            <w:tcW w:type="pct" w:w="4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المجهول ليس صفرًا</w:t>
            </w:r>
          </w:p>
        </w:tc>
        <w:tc>
          <w:tcPr>
            <w:tcW w:type="pct" w:w="5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F-005: تكلفة مجهولة تبطل الرقم النهائي بسبب مسمّى؛ D-004: ختم المجهول يُرفع بقيد موثق لا بقيمة ملفقة؛ ربح البيع «—» كما كان</w:t>
            </w:r>
          </w:p>
        </w:tc>
      </w:tr>
      <w:tr>
        <w:trPr>
          <w:cantSplit/>
        </w:trPr>
        <w:tc>
          <w:tcPr>
            <w:tcW w:type="pct" w:w="4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التقدير ليس فعليًا</w:t>
            </w:r>
          </w:p>
        </w:tc>
        <w:tc>
          <w:tcPr>
            <w:tcW w:type="pct" w:w="5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U-004: بنود التقدير تعرض «مقترحة» و«ليست تكلفة مؤكدة»؛ لا نسخة تكلفة إلا بحفظ المالك</w:t>
            </w:r>
          </w:p>
        </w:tc>
      </w:tr>
      <w:tr>
        <w:trPr>
          <w:cantSplit/>
        </w:trPr>
        <w:tc>
          <w:tcPr>
            <w:tcW w:type="pct" w:w="4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الافتراضي ليس السعر الفعلي</w:t>
            </w:r>
          </w:p>
        </w:tc>
        <w:tc>
          <w:tcPr>
            <w:tcW w:type="pct" w:w="5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P-002: اقتراحات معلنة قابلة للتعديل؛ بند 25: لا ضرب تلقائي مع كمية أكبر</w:t>
            </w:r>
          </w:p>
        </w:tc>
      </w:tr>
      <w:tr>
        <w:trPr>
          <w:cantSplit/>
        </w:trPr>
        <w:tc>
          <w:tcPr>
            <w:tcW w:type="pct" w:w="4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التاريخ لا يُعاد كتابته</w:t>
            </w:r>
          </w:p>
        </w:tc>
        <w:tc>
          <w:tcPr>
            <w:tcW w:type="pct" w:w="5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D-005: تعديل = تراجع + بديل بإيداعين؛ U-001: قراءة فقط؛ F-005: مشتق قراءة فقط</w:t>
            </w:r>
          </w:p>
        </w:tc>
      </w:tr>
      <w:tr>
        <w:trPr>
          <w:cantSplit/>
        </w:trPr>
        <w:tc>
          <w:tcPr>
            <w:tcW w:type="pct" w:w="4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تفعيل وحدة لا يعيد تفسير الماضي</w:t>
            </w:r>
          </w:p>
        </w:tc>
        <w:tc>
          <w:tcPr>
            <w:tcW w:type="pct" w:w="5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مساس بمنطق تفعيل المخزون أو نوافذه (H-001 مغلق)؛ D-006 يقرأ حالات الوحدات ولا يكتب تاريخًا</w:t>
            </w:r>
          </w:p>
        </w:tc>
      </w:tr>
    </w:tbl>
    <w:p>
      <w:pPr>
        <w:spacing w:after="120"/>
      </w:pPr>
    </w:p>
    <w:p>
      <w:pPr>
        <w:bidi/>
        <w:spacing w:after="120" w:line="312"/>
        <w:jc w:val="both"/>
      </w:pPr>
      <w:r>
        <w:rPr>
          <w:rFonts w:ascii="Arial" w:cs="Arial" w:hAnsi="Arial"/>
          <w:b w:val="false"/>
          <w:bCs w:val="false"/>
          <w:sz w:val="24"/>
          <w:szCs w:val="24"/>
          <w:rtl/>
        </w:rPr>
        <w:t xml:space="preserve">البنية التحتية للتخزين لم تتغير في هذا المخطط ولا الإصدار: الحقول المضافة كلها اختيارية التوافق مع الملفات القديمة (اقتراحات الكتالوج، ومفتاح تذكير النسخة، ومرجع التقدير المصدر)، وحارس التصدير والاستيراد يقبل كلا الشكلين في الاتجاهين ويرفض القيم الفاسدة — اختبار ذهاب-وصول جديد يثبت ذلك. لم تُهاجر بيانات ولم يُغيَّر مقياس المال (القرش كما كان)، وهو عمدًا نفسه قرار P-001 المعتمد.</w:t>
      </w:r>
    </w:p>
    <w:p>
      <w:pPr>
        <w:pStyle w:val="Heading1"/>
        <w:bidi/>
        <w:spacing w:after="160" w:before="360" w:line="312"/>
        <w:jc w:val="right"/>
      </w:pPr>
      <w:bookmarkStart w:id="100016" w:name="_Toc100016"/>
      <w:r>
        <w:rPr>
          <w:rFonts w:ascii="Arial" w:cs="Arial" w:hAnsi="Arial"/>
          <w:b/>
          <w:bCs/>
          <w:color w:val="162032"/>
          <w:sz w:val="32"/>
          <w:szCs w:val="32"/>
          <w:rtl/>
        </w:rPr>
        <w:t xml:space="preserve">11. التحقق والبوابات — نتائج مقاسة</w:t>
      </w:r>
      <w:bookmarkEnd w:id="100016"/>
    </w:p>
    <w:p>
      <w:pPr>
        <w:keepNext/>
        <w:bidi/>
        <w:spacing w:after="80" w:before="160"/>
        <w:jc w:val="right"/>
      </w:pPr>
      <w:r>
        <w:rPr>
          <w:rFonts w:ascii="Arial" w:cs="Arial" w:hAnsi="Arial"/>
          <w:b/>
          <w:bCs/>
          <w:sz w:val="21"/>
          <w:szCs w:val="21"/>
          <w:rtl/>
        </w:rPr>
        <w:t xml:space="preserve">جدول 6 — البوابات الثماني على الفرع قبل الدمج</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tblGrid>
      <w:tr>
        <w:trPr>
          <w:cantSplit/>
          <w:tblHeader/>
        </w:trPr>
        <w:tc>
          <w:tcPr>
            <w:tcW w:type="pct" w:w="3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البوابة</w:t>
            </w:r>
          </w:p>
        </w:tc>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النتيجة</w:t>
            </w:r>
          </w:p>
        </w:tc>
        <w:tc>
          <w:tcPr>
            <w:tcW w:type="pct" w:w="4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ملاحظة</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اختبارات النطاق (vitest)</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182/182 ناجح</w:t>
            </w:r>
          </w:p>
        </w:tc>
        <w:tc>
          <w:tcPr>
            <w:tcW w:type="pct" w:w="4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+2 عن خط الأساس (اختبارات الكتالوج للاقتراحات)</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اختبارات النموذج الأولي</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433/433 ناجح</w:t>
            </w:r>
          </w:p>
        </w:tc>
        <w:tc>
          <w:tcPr>
            <w:tcW w:type="pct" w:w="4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+25 عن المرحلة الأولى؛ منها اختبار واجهة جديد للبند 25 اليوم</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typecheck الجذر</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نظيف</w:t>
            </w:r>
          </w:p>
        </w:tc>
        <w:tc>
          <w:tcPr>
            <w:tcW w:type="pct" w:w="4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tsc --noEmit بدون مخرجات</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typecheck النموذج</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نظيف</w:t>
            </w:r>
          </w:p>
        </w:tc>
        <w:tc>
          <w:tcPr>
            <w:tcW w:type="pct" w:w="4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tsc --noEmit بدون مخرجات</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lint</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 أخطاء · 37 إنذار</w:t>
            </w:r>
          </w:p>
        </w:tc>
        <w:tc>
          <w:tcPr>
            <w:tcW w:type="pct" w:w="4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خط الأساس نفسه؛ لا إنذار جديد</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الكثافة النصية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كل الأسطح داخل حدودها</w:t>
            </w:r>
          </w:p>
        </w:tc>
        <w:tc>
          <w:tcPr>
            <w:tcW w:type="pct" w:w="4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7 رفعات موثقة بتاريخ وسبب؛ لا خفض مطلوب</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حرّاس التصميم + stylelint</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نظيفان</w:t>
            </w:r>
          </w:p>
        </w:tc>
        <w:tc>
          <w:tcPr>
            <w:tcW w:type="pct" w:w="4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hex خام ولا قيم خارج السلالم</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بناء إنتاج PWA</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نجح</w:t>
            </w:r>
          </w:p>
        </w:tc>
        <w:tc>
          <w:tcPr>
            <w:tcW w:type="pct" w:w="4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55 مدخل تخزين مسبق؛ dist نظيف من أي أثر تطوير</w:t>
            </w:r>
          </w:p>
        </w:tc>
      </w:tr>
    </w:tbl>
    <w:p>
      <w:pPr>
        <w:spacing w:after="120"/>
      </w:pPr>
    </w:p>
    <w:p>
      <w:pPr>
        <w:bidi/>
        <w:spacing w:after="120" w:line="312"/>
        <w:jc w:val="both"/>
      </w:pPr>
      <w:r>
        <w:rPr>
          <w:rFonts w:ascii="Arial" w:cs="Arial" w:hAnsi="Arial"/>
          <w:b w:val="false"/>
          <w:bCs w:val="false"/>
          <w:sz w:val="24"/>
          <w:szCs w:val="24"/>
          <w:rtl/>
        </w:rPr>
        <w:t xml:space="preserve">لم يُخفَ أي إخفاق ولم تُحبَر أي نتيجة: كل تحديث لاختبار قديم سببه سلوك متعمد مفسَّر (اختبارا مسار /orders/new صارا يختبران التحويل العميق الجديد؛ وتسمية الوحدة في أدواتي تبعها حذف حالة بلا مُنتِج). المسار الكامل للتحقق هو check المجمّع نفسه المعتمد في المستودع. مسح الأسرار شمل التزام الدورة كاملًا (grep على الرموز المميزة وكلمات الاعتماد): لا شيء؛ والإشارات الوحيدة لكلمة token كانت reloadToken — مصطلح تحديث واجهة لا اعتماد وصول.</w:t>
      </w:r>
    </w:p>
    <w:p>
      <w:pPr>
        <w:pStyle w:val="Heading1"/>
        <w:bidi/>
        <w:spacing w:after="160" w:before="360" w:line="312"/>
        <w:jc w:val="right"/>
      </w:pPr>
      <w:bookmarkStart w:id="100017" w:name="_Toc100017"/>
      <w:r>
        <w:rPr>
          <w:rFonts w:ascii="Arial" w:cs="Arial" w:hAnsi="Arial"/>
          <w:b/>
          <w:bCs/>
          <w:color w:val="162032"/>
          <w:sz w:val="32"/>
          <w:szCs w:val="32"/>
          <w:rtl/>
        </w:rPr>
        <w:t xml:space="preserve">12. حالة التسليم على GitHub</w:t>
      </w:r>
      <w:bookmarkEnd w:id="100017"/>
    </w:p>
    <w:p>
      <w:pPr>
        <w:bidi/>
        <w:spacing w:after="120" w:line="312"/>
        <w:jc w:val="both"/>
      </w:pPr>
      <w:r>
        <w:rPr>
          <w:rFonts w:ascii="Arial" w:cs="Arial" w:hAnsi="Arial"/>
          <w:b w:val="false"/>
          <w:bCs w:val="false"/>
          <w:sz w:val="24"/>
          <w:szCs w:val="24"/>
          <w:rtl/>
        </w:rPr>
        <w:t xml:space="preserve">الحالة المحلية مكتملة ومطابقة للبروتوكول: التزام واحد على الفرع (29472ba، 52 ملفًا، +3365/−213)؛ ثم جلب origin/main والتحقق أنه ما زال f7c1430؛ ثم دمج --no-ff إلى main (التزام الدمج 216390c)؛ شجرة عمل نظيفة (الأثر الوحيد غير المتتبَّع: مجلد تقارير التحليل وفق سابقة المرحلتين). لا دفع قسري في أي خطوة، ولا كتابة رمز وصول في أي ملف أو مخرجات.</w:t>
      </w:r>
    </w:p>
    <w:p>
      <w:pPr>
        <w:pBdr>
          <w:right w:val="single" w:color="8B7E5A" w:sz="12" w:space="8"/>
        </w:pBdr>
        <w:shd w:fill="F5F4EF" w:val="clear"/>
        <w:bidi/>
        <w:spacing w:after="160" w:before="120" w:line="312"/>
        <w:jc w:val="both"/>
      </w:pPr>
      <w:r>
        <w:rPr>
          <w:rFonts w:ascii="Arial" w:cs="Arial" w:hAnsi="Arial"/>
          <w:b w:val="false"/>
          <w:bCs w:val="false"/>
          <w:sz w:val="24"/>
          <w:szCs w:val="24"/>
          <w:rtl/>
        </w:rPr>
        <w:t xml:space="preserve">الخطوة الوحيدة المعلقة: دفع الفرع ثم main إلى origin. القراءة العامة للمستودع تعمل بلا اعتماد (جلب وls-remote ناجحان)، لكن الدفع يتطلب رمز وصول لم يعد متاحًا في هذه الجلسة — حُاول الدفع فطلب النظام اعتمادًا غير موجود. عند توفير الرمز تُنجز الخطوة بأمرين بالترتيب: دفع الفرع أولًا ثم main، ثم التحقق أن main المحلي = origin/main. لا شيء في الكود ينتظر هذه الخطوة؛ التزامات الدمج جاهزة كما هي.</w:t>
      </w:r>
    </w:p>
    <w:p>
      <w:pPr>
        <w:pStyle w:val="Heading1"/>
        <w:bidi/>
        <w:spacing w:after="160" w:before="360" w:line="312"/>
        <w:jc w:val="right"/>
      </w:pPr>
      <w:bookmarkStart w:id="100018" w:name="_Toc100018"/>
      <w:r>
        <w:rPr>
          <w:rFonts w:ascii="Arial" w:cs="Arial" w:hAnsi="Arial"/>
          <w:b/>
          <w:bCs/>
          <w:color w:val="162032"/>
          <w:sz w:val="32"/>
          <w:szCs w:val="32"/>
          <w:rtl/>
        </w:rPr>
        <w:t xml:space="preserve">13. حدود التقرير وثقته</w:t>
      </w:r>
      <w:bookmarkEnd w:id="100018"/>
    </w:p>
    <w:p>
      <w:pPr>
        <w:bidi/>
        <w:spacing w:after="80" w:line="312"/>
        <w:ind w:right="240"/>
        <w:jc w:val="right"/>
      </w:pPr>
      <w:r>
        <w:rPr>
          <w:rFonts w:ascii="Arial" w:cs="Arial" w:hAnsi="Arial"/>
          <w:b w:val="false"/>
          <w:bCs w:val="false"/>
          <w:sz w:val="24"/>
          <w:szCs w:val="24"/>
          <w:rtl/>
        </w:rPr>
        <w:t xml:space="preserve">• هذا تحليل وتنفيذ مستودعي ثابت: البوابات أُعدمت فعليًا، لكن التطبيق لم يُشغَّل في متصفح حقيقي داخل هذه الجلسة، وسلوكيات وقت التشغيل على أجهزة بعينها (تثبيت PWA على نسخ OS معينة، وسلوك لوحات مفاتيح بعينها) خارج هذه الأدلة.</w:t>
      </w:r>
    </w:p>
    <w:p>
      <w:pPr>
        <w:bidi/>
        <w:spacing w:after="80" w:line="312"/>
        <w:ind w:right="240"/>
        <w:jc w:val="right"/>
      </w:pPr>
      <w:r>
        <w:rPr>
          <w:rFonts w:ascii="Arial" w:cs="Arial" w:hAnsi="Arial"/>
          <w:b w:val="false"/>
          <w:bCs w:val="false"/>
          <w:sz w:val="24"/>
          <w:szCs w:val="24"/>
          <w:rtl/>
        </w:rPr>
        <w:t xml:space="preserve">• كل «منفَّذ» أعلاه مدعوم بملف أو رمز أو اختبار مسمّى في الكود؛ وكل «عمدًا كما هو» مدعوم بقرار مالك مكتوب. لا بند «معروف بالإشاعة» في هذه المصفوفة.</w:t>
      </w:r>
    </w:p>
    <w:p>
      <w:pPr>
        <w:bidi/>
        <w:spacing w:after="80" w:line="312"/>
        <w:ind w:right="240"/>
        <w:jc w:val="right"/>
      </w:pPr>
      <w:r>
        <w:rPr>
          <w:rFonts w:ascii="Arial" w:cs="Arial" w:hAnsi="Arial"/>
          <w:b w:val="false"/>
          <w:bCs w:val="false"/>
          <w:sz w:val="24"/>
          <w:szCs w:val="24"/>
          <w:rtl/>
        </w:rPr>
        <w:t xml:space="preserve">• التقارير التحليلية المرجعية (المرحلتان الأولى والثانية) كانت فرضيات بحثية معلَنة في أجزائها البشرية؛ أما كل ما نُفِّذ هنا فمستند إلى قرارات المالك المعتمدة وعلى كود مؤكد.</w:t>
      </w:r>
    </w:p>
    <w:p>
      <w:pPr>
        <w:bidi/>
        <w:spacing w:after="80" w:line="312"/>
        <w:ind w:right="240"/>
        <w:jc w:val="right"/>
      </w:pPr>
      <w:r>
        <w:rPr>
          <w:rFonts w:ascii="Arial" w:cs="Arial" w:hAnsi="Arial"/>
          <w:b w:val="false"/>
          <w:bCs w:val="false"/>
          <w:sz w:val="24"/>
          <w:szCs w:val="24"/>
          <w:rtl/>
        </w:rPr>
        <w:t xml:space="preserve">• التقريران العربي والإنجليزي متناظران في البنية والمصفوفة والجداول؛ هذا العربي للمراجعة التفصيلية، والإنجليزي (Markdown) للأرشفة والفرق التقنية.</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2" w:space="4"/>
      </w:pBdr>
      <w:bidi/>
      <w:jc w:val="right"/>
    </w:pPr>
    <w:r>
      <w:rPr>
        <w:rFonts w:ascii="Arial" w:cs="Arial" w:hAnsi="Arial"/>
        <w:color w:val="808080"/>
        <w:sz w:val="18"/>
        <w:szCs w:val="18"/>
        <w:rtl/>
      </w:rPr>
      <w:t xml:space="preserve">تقرير دورة الإصلاحات المعتمدة — Micro · الفرع phase2/approved-repairs · الدمج المحلي 216390c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62032"/>
      <w:sz w:val="32"/>
      <w:szCs w:val="32"/>
    </w:rPr>
  </w:style>
  <w:style w:type="paragraph" w:styleId="Heading2">
    <w:name w:val="Heading 2"/>
    <w:basedOn w:val="Normal"/>
    <w:next w:val="Normal"/>
    <w:qFormat/>
    <w:pPr>
      <w:spacing w:after="120" w:before="260" w:line="312"/>
      <w:outlineLvl w:val="1"/>
    </w:pPr>
    <w:rPr>
      <w:rFonts w:ascii="Arial" w:cs="Arial" w:hAnsi="Arial"/>
      <w:b/>
      <w:bCs/>
      <w:color w:val="162032"/>
      <w:sz w:val="28"/>
      <w:szCs w:val="28"/>
    </w:rPr>
  </w:style>
  <w:style w:type="paragraph" w:styleId="Heading3">
    <w:name w:val="Heading 3"/>
    <w:basedOn w:val="Normal"/>
    <w:next w:val="Normal"/>
    <w:qFormat/>
    <w:pPr>
      <w:spacing w:after="100" w:before="200" w:line="312"/>
      <w:outlineLvl w:val="2"/>
    </w:pPr>
    <w:rPr>
      <w:rFonts w:ascii="Arial" w:cs="Arial" w:hAnsi="Arial"/>
      <w:b/>
      <w:bCs/>
      <w:color w:val="162032"/>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2026-08-31T21:49:09.717Z</dcterms:created>
  <dcterms:modified xsi:type="dcterms:W3CDTF">2026-08-31T21:49:09.717Z</dcterms:modified>
</cp:coreProperties>
</file>

<file path=docProps/custom.xml><?xml version="1.0" encoding="utf-8"?>
<Properties xmlns="http://schemas.openxmlformats.org/officeDocument/2006/custom-properties" xmlns:vt="http://schemas.openxmlformats.org/officeDocument/2006/docPropsVTypes"/>
</file>